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120" w:after="80" w:line="240" w:lineRule="auto"/>
        <w:jc w:val="center"/>
      </w:pPr>
      <w:r>
        <w:rPr>
          <w:rFonts w:ascii="DejaVu Sans" w:hAnsi="DejaVu Sans"/>
          <w:b/>
          <w:i w:val="0"/>
          <w:color w:val="173B63"/>
          <w:sz w:val="48"/>
        </w:rPr>
        <w:t>MONOGRAPH</w:t>
      </w:r>
    </w:p>
    <w:p>
      <w:pPr>
        <w:keepNext w:val="0"/>
        <w:spacing w:before="0" w:after="40" w:line="240" w:lineRule="auto"/>
        <w:jc w:val="center"/>
      </w:pPr>
      <w:r>
        <w:rPr>
          <w:rFonts w:ascii="DejaVu Sans" w:hAnsi="DejaVu Sans"/>
          <w:b/>
          <w:i w:val="0"/>
          <w:color w:val="173B63"/>
          <w:sz w:val="46"/>
        </w:rPr>
        <w:t>BASIC KLT-RBD PROJECT</w:t>
      </w:r>
    </w:p>
    <w:p>
      <w:pPr>
        <w:keepNext w:val="0"/>
        <w:spacing w:before="0" w:after="160" w:line="240" w:lineRule="auto"/>
        <w:jc w:val="center"/>
      </w:pPr>
      <w:r>
        <w:rPr>
          <w:rFonts w:ascii="DejaVu Sans" w:hAnsi="DejaVu Sans"/>
          <w:b/>
          <w:i w:val="0"/>
          <w:color w:val="A87918"/>
          <w:sz w:val="44"/>
        </w:rPr>
        <w:t>VOLUME I</w:t>
      </w:r>
    </w:p>
    <w:p>
      <w:pPr>
        <w:keepNext w:val="0"/>
        <w:spacing w:before="0" w:after="120" w:line="240" w:lineRule="auto"/>
        <w:jc w:val="center"/>
      </w:pPr>
      <w:r>
        <w:rPr>
          <w:rFonts w:ascii="DejaVu Sans" w:hAnsi="DejaVu Sans"/>
          <w:b/>
          <w:i w:val="0"/>
          <w:color w:val="173B63"/>
          <w:sz w:val="35"/>
        </w:rPr>
        <w:t>AXIOMATICS OF PACKET REPER LOGIC</w:t>
      </w:r>
    </w:p>
    <w:p>
      <w:pPr>
        <w:keepNext w:val="0"/>
        <w:spacing w:before="0" w:after="240" w:line="240" w:lineRule="auto"/>
        <w:jc w:val="center"/>
      </w:pPr>
      <w:r>
        <w:rPr>
          <w:rFonts w:ascii="DejaVu Sans" w:hAnsi="DejaVu Sans" w:eastAsia="DejaVu Sans"/>
          <w:b/>
          <w:color w:val="17345F"/>
          <w:sz w:val="26"/>
        </w:rPr>
        <w:t>Controlled English Derivative - Frozen Authorial Release</w:t>
      </w:r>
    </w:p>
    <w:p>
      <w:pPr>
        <w:keepNext w:val="0"/>
        <w:spacing w:before="0" w:after="120" w:line="240" w:lineRule="auto"/>
        <w:jc w:val="center"/>
      </w:pPr>
      <w:r>
        <w:drawing>
          <wp:inline xmlns:a="http://schemas.openxmlformats.org/drawingml/2006/main" xmlns:pic="http://schemas.openxmlformats.org/drawingml/2006/picture">
            <wp:extent cx="1404000" cy="1404000"/>
            <wp:docPr id="1" name="Picture 1"/>
            <wp:cNvGraphicFramePr>
              <a:graphicFrameLocks noChangeAspect="1"/>
            </wp:cNvGraphicFramePr>
            <a:graphic>
              <a:graphicData uri="http://schemas.openxmlformats.org/drawingml/2006/picture">
                <pic:pic>
                  <pic:nvPicPr>
                    <pic:cNvPr id="0" name="image1.jpg"/>
                    <pic:cNvPicPr/>
                  </pic:nvPicPr>
                  <pic:blipFill>
                    <a:blip r:embed="rId11"/>
                    <a:stretch>
                      <a:fillRect/>
                    </a:stretch>
                  </pic:blipFill>
                  <pic:spPr>
                    <a:xfrm>
                      <a:off x="0" y="0"/>
                      <a:ext cx="1404000" cy="1404000"/>
                    </a:xfrm>
                    <a:prstGeom prst="rect"/>
                  </pic:spPr>
                </pic:pic>
              </a:graphicData>
            </a:graphic>
          </wp:inline>
        </w:drawing>
      </w:r>
    </w:p>
    <w:p>
      <w:pPr>
        <w:keepNext w:val="0"/>
        <w:spacing w:before="0" w:after="20" w:line="240" w:lineRule="auto"/>
        <w:jc w:val="center"/>
      </w:pPr>
      <w:r>
        <w:rPr>
          <w:rFonts w:ascii="DejaVu Sans" w:hAnsi="DejaVu Sans"/>
          <w:b/>
          <w:i w:val="0"/>
          <w:color w:val="173B63"/>
          <w:sz w:val="30"/>
        </w:rPr>
        <w:t>Ivan Borisovich Kurpishev</w:t>
      </w:r>
    </w:p>
    <w:p>
      <w:pPr>
        <w:keepNext w:val="0"/>
        <w:spacing w:before="0" w:after="160" w:line="240" w:lineRule="auto"/>
        <w:jc w:val="center"/>
      </w:pPr>
      <w:r>
        <w:rPr>
          <w:rFonts w:ascii="DejaVu Serif" w:hAnsi="DejaVu Serif"/>
          <w:b w:val="0"/>
          <w:i w:val="0"/>
          <w:color w:val="5E6873"/>
          <w:sz w:val="21"/>
        </w:rPr>
        <w:t>Independent Researcher · Kaliningrad · 2026</w:t>
      </w:r>
    </w:p>
    <w:tbl>
      <w:tblPr>
        <w:tblStyle w:val="TableGrid"/>
        <w:tblW w:type="auto" w:w="0"/>
        <w:jc w:val="center"/>
        <w:tblLayout w:type="autofit"/>
        <w:tblLook w:firstColumn="1" w:firstRow="1" w:lastColumn="0" w:lastRow="0" w:noHBand="0" w:noVBand="1" w:val="04A0"/>
      </w:tblPr>
      <w:tblGrid>
        <w:gridCol w:w="10092"/>
      </w:tblGrid>
      <w:tr>
        <w:trPr>
          <w:cantSplit/>
          <w:tblHeader w:val="true"/>
          <w:cantSplit/>
          <w:tblHeader w:val="true"/>
        </w:trPr>
        <w:tc>
          <w:tcPr>
            <w:tcW w:type="dxa" w:w="10092"/>
            <w:shd w:fill="F8F1DC"/>
            <w:tcMar>
              <w:top w:w="90" w:type="dxa"/>
              <w:start w:w="100" w:type="dxa"/>
              <w:bottom w:w="90" w:type="dxa"/>
              <w:end w:w="100" w:type="dxa"/>
            </w:tcMar>
            <w:vAlign w:val="center"/>
          </w:tcPr>
          <w:p>
            <w:pPr>
              <w:spacing w:before="0" w:after="0" w:line="252" w:lineRule="auto"/>
            </w:pPr>
            <w:r>
              <w:rPr>
                <w:rFonts w:ascii="DejaVu Serif" w:hAnsi="DejaVu Serif" w:eastAsia="DejaVu Serif"/>
                <w:sz w:val="18"/>
              </w:rPr>
              <w:t>CHECKPOINT. T1-EN-FREEZE-v1.0 is the immutable authorial English release of Volume I. It is issued exclusively from the accepted freeze candidate T1-EN-FC-v0.12 after final render, integrity, no-scientific-change, and visual-QA gates.</w:t>
            </w:r>
          </w:p>
        </w:tc>
      </w:tr>
    </w:tbl>
    <w:tbl>
      <w:tblPr>
        <w:tblStyle w:val="TableGrid"/>
        <w:tblW w:type="auto" w:w="0"/>
        <w:jc w:val="center"/>
        <w:tblLayout w:type="autofit"/>
        <w:tblLook w:firstColumn="1" w:firstRow="1" w:lastColumn="0" w:lastRow="0" w:noHBand="0" w:noVBand="1" w:val="04A0"/>
      </w:tblPr>
      <w:tblGrid>
        <w:gridCol w:w="10092"/>
      </w:tblGrid>
      <w:tr>
        <w:trPr>
          <w:cantSplit/>
          <w:tblHeader w:val="true"/>
          <w:cantSplit/>
          <w:tblHeader w:val="true"/>
        </w:trPr>
        <w:tc>
          <w:tcPr>
            <w:tcW w:type="dxa" w:w="10092"/>
            <w:shd w:fill="FBE9E7"/>
            <w:tcMar>
              <w:top w:w="90" w:type="dxa"/>
              <w:start w:w="100" w:type="dxa"/>
              <w:bottom w:w="90" w:type="dxa"/>
              <w:end w:w="100" w:type="dxa"/>
            </w:tcMar>
            <w:vAlign w:val="center"/>
          </w:tcPr>
          <w:p>
            <w:pPr>
              <w:spacing w:before="0" w:after="0" w:line="252" w:lineRule="auto"/>
            </w:pPr>
            <w:r>
              <w:rPr>
                <w:rFonts w:ascii="DejaVu Serif" w:hAnsi="DejaVu Serif" w:eastAsia="DejaVu Serif"/>
                <w:sz w:val="18"/>
              </w:rPr>
              <w:t>STATUS LOCK. truth_layer_promotion=0. Chapters 1-52, canonical Appendices A-G, derivative Appendices H-I, formulas F001-F086, negative results, and evidence statuses are unchanged from the accepted v0.12 candidate. This release is frozen; every later change requires a documented change-set and a new version. An external signed bilingual audit remains OPEN NON-VETO; independent EXT-RUN and EMP-OBS remain absent.</w:t>
            </w:r>
          </w:p>
        </w:tc>
      </w:tr>
    </w:tbl>
    <w:p>
      <w:r>
        <w:br w:type="page"/>
      </w:r>
    </w:p>
    <w:p>
      <w:pPr>
        <w:pStyle w:val="Heading1"/>
        <w:keepNext/>
      </w:pPr>
    </w:p>
    <w:tbl>
      <w:tblPr>
        <w:tblStyle w:val="TableGrid"/>
        <w:tblW w:type="auto" w:w="0"/>
        <w:jc w:val="center"/>
        <w:tblLayout w:type="autofit"/>
        <w:tblLook w:firstColumn="1" w:firstRow="1" w:lastColumn="0" w:lastRow="0" w:noHBand="0" w:noVBand="1" w:val="04A0"/>
      </w:tblPr>
      <w:tblGrid>
        <w:gridCol w:w="5046"/>
        <w:gridCol w:w="5046"/>
      </w:tblGrid>
      <w:tr>
        <w:trPr>
          <w:tblHeader w:val="true"/>
          <w:cantSplit/>
          <w:cantSplit/>
          <w:tblHeader w:val="true"/>
          <w:cantSplit/>
          <w:tblHeader w:val="true"/>
        </w:trPr>
        <w:tc>
          <w:tcPr>
            <w:tcW w:type="dxa" w:w="2438"/>
            <w:shd w:fill="E8EEF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17345F"/>
                <w:sz w:val="17"/>
              </w:rPr>
              <w:t>Field</w:t>
            </w:r>
          </w:p>
        </w:tc>
        <w:tc>
          <w:tcPr>
            <w:tcW w:type="dxa" w:w="6803"/>
            <w:shd w:fill="E8EEF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17345F"/>
                <w:sz w:val="17"/>
              </w:rPr>
              <w:t>Fixed value</w:t>
            </w:r>
          </w:p>
        </w:tc>
      </w:tr>
      <w:tr>
        <w:trPr>
          <w:cantSplit/>
          <w:cantSplit/>
          <w:cantSplit/>
        </w:trPr>
        <w:tc>
          <w:tcPr>
            <w:tcW w:type="dxa" w:w="2438"/>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Author</w:t>
            </w:r>
          </w:p>
        </w:tc>
        <w:tc>
          <w:tcPr>
            <w:tcW w:type="dxa" w:w="6803"/>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Ivan Borisovich Kurpishev</w:t>
            </w:r>
          </w:p>
        </w:tc>
      </w:tr>
      <w:tr>
        <w:trPr>
          <w:cantSplit/>
          <w:cantSplit/>
          <w:cantSplit/>
        </w:trPr>
        <w:tc>
          <w:tcPr>
            <w:tcW w:type="dxa" w:w="2438"/>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Project</w:t>
            </w:r>
          </w:p>
        </w:tc>
        <w:tc>
          <w:tcPr>
            <w:tcW w:type="dxa" w:w="6803"/>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KURPISHEV LOGIC 2 · Basic KLT-RBD Project</w:t>
            </w:r>
          </w:p>
        </w:tc>
      </w:tr>
      <w:tr>
        <w:trPr>
          <w:cantSplit/>
          <w:cantSplit/>
          <w:cantSplit/>
        </w:trPr>
        <w:tc>
          <w:tcPr>
            <w:tcW w:type="dxa" w:w="2438"/>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Volume</w:t>
            </w:r>
          </w:p>
        </w:tc>
        <w:tc>
          <w:tcPr>
            <w:tcW w:type="dxa" w:w="6803"/>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I · Axiomatics of Packet Reper Logic</w:t>
            </w:r>
          </w:p>
        </w:tc>
      </w:tr>
      <w:tr>
        <w:trPr>
          <w:cantSplit/>
          <w:cantSplit/>
          <w:cantSplit/>
        </w:trPr>
        <w:tc>
          <w:tcPr>
            <w:tcW w:type="dxa" w:w="2438"/>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Checkpoint</w:t>
            </w:r>
          </w:p>
        </w:tc>
        <w:tc>
          <w:tcPr>
            <w:tcW w:type="dxa" w:w="6803"/>
            <w:shd w:fill="F7F9FB"/>
            <w:tcMar>
              <w:top w:w="90" w:type="dxa"/>
              <w:start w:w="100" w:type="dxa"/>
              <w:bottom w:w="90" w:type="dxa"/>
              <w:end w:w="100" w:type="dxa"/>
            </w:tcMar>
            <w:vAlign w:val="center"/>
          </w:tcPr>
          <w:p>
            <w:pPr>
              <w:spacing w:before="0" w:after="0" w:line="252" w:lineRule="auto"/>
            </w:pPr>
            <w:r>
              <w:rPr>
                <w:rFonts w:ascii="DejaVu Serif" w:hAnsi="DejaVu Serif" w:eastAsia="DejaVu Serif"/>
                <w:sz w:val="17"/>
              </w:rPr>
              <w:t>T1-EN-FREEZE-v1.0</w:t>
            </w:r>
          </w:p>
        </w:tc>
      </w:tr>
      <w:tr>
        <w:trPr>
          <w:cantSplit/>
          <w:cantSplit/>
          <w:cantSplit/>
        </w:trPr>
        <w:tc>
          <w:tcPr>
            <w:tcW w:type="dxa" w:w="2438"/>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Canonical Russian source</w:t>
            </w:r>
          </w:p>
        </w:tc>
        <w:tc>
          <w:tcPr>
            <w:tcW w:type="dxa" w:w="6803"/>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tom1_v197_ru.pdf · frozen edition v197 RU</w:t>
            </w:r>
          </w:p>
        </w:tc>
      </w:tr>
      <w:tr>
        <w:trPr>
          <w:cantSplit/>
          <w:cantSplit/>
          <w:cantSplit/>
        </w:trPr>
        <w:tc>
          <w:tcPr>
            <w:tcW w:type="dxa" w:w="2438"/>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Source SHA-256</w:t>
            </w:r>
          </w:p>
        </w:tc>
        <w:tc>
          <w:tcPr>
            <w:tcW w:type="dxa" w:w="6803"/>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5a2021c02428e3e395fe81e029c46cd26b4a0e06ceb7dbfc89befddffd84a7d8</w:t>
            </w:r>
          </w:p>
        </w:tc>
      </w:tr>
      <w:tr>
        <w:trPr>
          <w:cantSplit/>
          <w:cantSplit/>
          <w:cantSplit/>
        </w:trPr>
        <w:tc>
          <w:tcPr>
            <w:tcW w:type="dxa" w:w="2438"/>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Source corpus</w:t>
            </w:r>
          </w:p>
        </w:tc>
        <w:tc>
          <w:tcPr>
            <w:tcW w:type="dxa" w:w="6803"/>
            <w:tcMar>
              <w:top w:w="90" w:type="dxa"/>
              <w:start w:w="100" w:type="dxa"/>
              <w:bottom w:w="90" w:type="dxa"/>
              <w:end w:w="100" w:type="dxa"/>
            </w:tcMar>
            <w:vAlign w:val="center"/>
          </w:tcPr>
          <w:p>
            <w:pPr>
              <w:spacing w:before="0" w:after="0" w:line="252" w:lineRule="auto"/>
            </w:pPr>
            <w:r>
              <w:rPr>
                <w:rFonts w:ascii="DejaVu Serif" w:hAnsi="DejaVu Serif" w:eastAsia="DejaVu Serif"/>
                <w:sz w:val="17"/>
              </w:rPr>
              <w:t>235 numbered RU source pages; 52 chapters; canonical Appendices A-G; derivative Appendices H-I; formula IDs F001-F086</w:t>
            </w:r>
          </w:p>
        </w:tc>
      </w:tr>
      <w:tr>
        <w:trPr>
          <w:cantSplit/>
          <w:cantSplit/>
          <w:cantSplit/>
        </w:trPr>
        <w:tc>
          <w:tcPr>
            <w:tcW w:type="dxa" w:w="2438"/>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Derivative authority</w:t>
            </w:r>
          </w:p>
        </w:tc>
        <w:tc>
          <w:tcPr>
            <w:tcW w:type="dxa" w:w="6803"/>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Authority(T1-RU v197) &gt; Authority(T1-EN)</w:t>
            </w:r>
          </w:p>
        </w:tc>
      </w:tr>
      <w:tr>
        <w:trPr>
          <w:cantSplit/>
          <w:cantSplit/>
          <w:cantSplit/>
        </w:trPr>
        <w:tc>
          <w:tcPr>
            <w:tcW w:type="dxa" w:w="2438"/>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Mathematical status</w:t>
            </w:r>
          </w:p>
        </w:tc>
        <w:tc>
          <w:tcPr>
            <w:tcW w:type="dxa" w:w="6803"/>
            <w:tcMar>
              <w:top w:w="90" w:type="dxa"/>
              <w:start w:w="100" w:type="dxa"/>
              <w:bottom w:w="90" w:type="dxa"/>
              <w:end w:w="100" w:type="dxa"/>
            </w:tcMar>
            <w:vAlign w:val="center"/>
          </w:tcPr>
          <w:p>
            <w:pPr>
              <w:spacing w:before="0" w:after="0" w:line="252" w:lineRule="auto"/>
            </w:pPr>
            <w:r>
              <w:rPr>
                <w:rFonts w:ascii="DejaVu Serif" w:hAnsi="DejaVu Serif" w:eastAsia="DejaVu Serif"/>
                <w:sz w:val="17"/>
              </w:rPr>
              <w:t>DOC / DEF-A / LEM / PROP / THM / COND / MODEL / NUM-SOURCE / FROZEN-AUTHORIAL-RELEASE; Russian source statuses preserved</w:t>
            </w:r>
          </w:p>
        </w:tc>
      </w:tr>
      <w:tr>
        <w:trPr>
          <w:cantSplit/>
          <w:cantSplit/>
          <w:cantSplit/>
        </w:trPr>
        <w:tc>
          <w:tcPr>
            <w:tcW w:type="dxa" w:w="2438"/>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Physical status</w:t>
            </w:r>
          </w:p>
        </w:tc>
        <w:tc>
          <w:tcPr>
            <w:tcW w:type="dxa" w:w="6803"/>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PHY-HYP / EMP-PLAN where applicable; EMP-OBS absent</w:t>
            </w:r>
          </w:p>
        </w:tc>
      </w:tr>
      <w:tr>
        <w:trPr>
          <w:cantSplit/>
          <w:cantSplit/>
          <w:cantSplit/>
        </w:trPr>
        <w:tc>
          <w:tcPr>
            <w:tcW w:type="dxa" w:w="2438"/>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Next checkpoint</w:t>
            </w:r>
          </w:p>
        </w:tc>
        <w:tc>
          <w:tcPr>
            <w:tcW w:type="dxa" w:w="6803"/>
            <w:tcMar>
              <w:top w:w="90" w:type="dxa"/>
              <w:start w:w="100" w:type="dxa"/>
              <w:bottom w:w="90" w:type="dxa"/>
              <w:end w:w="100" w:type="dxa"/>
            </w:tcMar>
            <w:vAlign w:val="center"/>
          </w:tcPr>
          <w:p>
            <w:pPr>
              <w:spacing w:before="0" w:after="0" w:line="252" w:lineRule="auto"/>
            </w:pPr>
            <w:r>
              <w:rPr>
                <w:rFonts w:ascii="DejaVu Serif" w:hAnsi="DejaVu Serif" w:eastAsia="DejaVu Serif"/>
                <w:sz w:val="17"/>
              </w:rPr>
              <w:t>No in-place successor; changes only through a documented change-set and a new version</w:t>
            </w:r>
          </w:p>
        </w:tc>
      </w:tr>
    </w:tbl>
    <w:p>
      <w:pPr>
        <w:pStyle w:val="Heading1"/>
        <w:keepNext/>
      </w:pPr>
    </w:p>
    <w:tbl>
      <w:tblPr>
        <w:tblStyle w:val="TableGrid"/>
        <w:tblW w:type="auto" w:w="0"/>
        <w:jc w:val="center"/>
        <w:tblLayout w:type="fixed"/>
        <w:tblLook w:firstColumn="1" w:firstRow="1" w:lastColumn="0" w:lastRow="0" w:noHBand="0" w:noVBand="1" w:val="04A0"/>
      </w:tblPr>
      <w:tblGrid>
        <w:gridCol w:w="3364"/>
        <w:gridCol w:w="3364"/>
        <w:gridCol w:w="3364"/>
      </w:tblGrid>
      <w:tr>
        <w:trPr>
          <w:tblHeader w:val="true"/>
          <w:cantSplit/>
          <w:cantSplit/>
          <w:tblHeader w:val="true"/>
          <w:cantSplit/>
          <w:tblHeader w:val="true"/>
        </w:trPr>
        <w:tc>
          <w:tcPr>
            <w:tcW w:type="dxa" w:w="1701"/>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7"/>
              </w:rPr>
              <w:t>ID</w:t>
            </w:r>
          </w:p>
        </w:tc>
        <w:tc>
          <w:tcPr>
            <w:tcW w:type="dxa" w:w="6463"/>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7"/>
              </w:rPr>
              <w:t>Change</w:t>
            </w:r>
          </w:p>
        </w:tc>
        <w:tc>
          <w:tcPr>
            <w:tcW w:type="dxa" w:w="1587"/>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7"/>
              </w:rPr>
              <w:t>Status</w:t>
            </w:r>
          </w:p>
        </w:tc>
      </w:tr>
      <w:tr>
        <w:trPr>
          <w:cantSplit/>
          <w:cantSplit/>
          <w:cantSplit/>
        </w:trPr>
        <w:tc>
          <w:tcPr>
            <w:tcW w:type="dxa" w:w="170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T1-EN-CS-001</w:t>
            </w:r>
          </w:p>
        </w:tc>
        <w:tc>
          <w:tcPr>
            <w:tcW w:type="dxa" w:w="6463"/>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Fixed the immutable RU→EN authority relation and no-promotion rule.</w:t>
            </w:r>
          </w:p>
        </w:tc>
        <w:tc>
          <w:tcPr>
            <w:tcW w:type="dxa" w:w="1587"/>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DEF-A</w:t>
            </w:r>
          </w:p>
        </w:tc>
      </w:tr>
      <w:tr>
        <w:trPr>
          <w:cantSplit/>
          <w:cantSplit/>
          <w:cantSplit/>
        </w:trPr>
        <w:tc>
          <w:tcPr>
            <w:tcW w:type="dxa" w:w="170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T1-EN-CS-002</w:t>
            </w:r>
          </w:p>
        </w:tc>
        <w:tc>
          <w:tcPr>
            <w:tcW w:type="dxa" w:w="6463"/>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Prepared the English title, abstract, keywords, and evidence-status boundary.</w:t>
            </w:r>
          </w:p>
        </w:tc>
        <w:tc>
          <w:tcPr>
            <w:tcW w:type="dxa" w:w="1587"/>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EN-DRAFT</w:t>
            </w:r>
          </w:p>
        </w:tc>
      </w:tr>
      <w:tr>
        <w:trPr>
          <w:cantSplit/>
          <w:cantSplit/>
          <w:cantSplit/>
        </w:trPr>
        <w:tc>
          <w:tcPr>
            <w:tcW w:type="dxa" w:w="170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T1-EN-CS-003</w:t>
            </w:r>
          </w:p>
        </w:tc>
        <w:tc>
          <w:tcPr>
            <w:tcW w:type="dxa" w:w="6463"/>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Created a normative T1–T3 terminology ledger and notation safeguards.</w:t>
            </w:r>
          </w:p>
        </w:tc>
        <w:tc>
          <w:tcPr>
            <w:tcW w:type="dxa" w:w="1587"/>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DOC</w:t>
            </w:r>
          </w:p>
        </w:tc>
      </w:tr>
      <w:tr>
        <w:trPr>
          <w:cantSplit/>
          <w:cantSplit/>
          <w:cantSplit/>
        </w:trPr>
        <w:tc>
          <w:tcPr>
            <w:tcW w:type="dxa" w:w="170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T1-EN-CS-004</w:t>
            </w:r>
          </w:p>
        </w:tc>
        <w:tc>
          <w:tcPr>
            <w:tcW w:type="dxa" w:w="6463"/>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Mapped all 52 chapters and Appendices A–G to staged translation checkpoints.</w:t>
            </w:r>
          </w:p>
        </w:tc>
        <w:tc>
          <w:tcPr>
            <w:tcW w:type="dxa" w:w="1587"/>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DOC</w:t>
            </w:r>
          </w:p>
        </w:tc>
      </w:tr>
      <w:tr>
        <w:trPr>
          <w:cantSplit/>
          <w:cantSplit/>
          <w:cantSplit/>
        </w:trPr>
        <w:tc>
          <w:tcPr>
            <w:tcW w:type="dxa" w:w="170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T1-EN-CS-005</w:t>
            </w:r>
          </w:p>
        </w:tc>
        <w:tc>
          <w:tcPr>
            <w:tcW w:type="dxa" w:w="6463"/>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Preserved the continuous formula inventory F001–F086 with Russian source-page locators.</w:t>
            </w:r>
          </w:p>
        </w:tc>
        <w:tc>
          <w:tcPr>
            <w:tcW w:type="dxa" w:w="1587"/>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PARITY</w:t>
            </w:r>
          </w:p>
        </w:tc>
      </w:tr>
      <w:tr>
        <w:trPr>
          <w:cantSplit/>
          <w:cantSplit/>
          <w:cantSplit/>
        </w:trPr>
        <w:tc>
          <w:tcPr>
            <w:tcW w:type="dxa" w:w="170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T1-EN-CS-006</w:t>
            </w:r>
          </w:p>
        </w:tc>
        <w:tc>
          <w:tcPr>
            <w:tcW w:type="dxa" w:w="6463"/>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Created the status dictionary, blockers, evidence obligations, and QA protocol.</w:t>
            </w:r>
          </w:p>
        </w:tc>
        <w:tc>
          <w:tcPr>
            <w:tcW w:type="dxa" w:w="1587"/>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DOC</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T1-EN-CS-013</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Translated Chapters 9–16 with Russian source locators pp. 35–72.</w:t>
            </w:r>
          </w:p>
        </w:tc>
        <w:tc>
          <w:tcPr>
            <w:tcW w:type="dxa" w:w="3364"/>
            <w:tcMar>
              <w:top w:w="70" w:type="dxa"/>
              <w:start w:w="90" w:type="dxa"/>
              <w:bottom w:w="70" w:type="dxa"/>
              <w:end w:w="90" w:type="dxa"/>
            </w:tcMar>
            <w:vAlign w:val="center"/>
          </w:tcPr>
          <w:p>
            <w:r>
              <w:rPr>
                <w:rFonts w:ascii="DejaVu Serif" w:hAnsi="DejaVu Serif" w:eastAsia="DejaVu Serif"/>
                <w:b w:val="0"/>
                <w:i w:val="0"/>
                <w:sz w:val="17"/>
              </w:rPr>
              <w:t>EN-DRAFT</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T1-EN-CS-014</w:t>
            </w:r>
          </w:p>
        </w:tc>
        <w:tc>
          <w:tcPr>
            <w:tcW w:type="dxa" w:w="3364"/>
            <w:tcMar>
              <w:top w:w="70" w:type="dxa"/>
              <w:start w:w="90" w:type="dxa"/>
              <w:bottom w:w="70" w:type="dxa"/>
              <w:end w:w="90" w:type="dxa"/>
            </w:tcMar>
            <w:vAlign w:val="center"/>
          </w:tcPr>
          <w:p>
            <w:r>
              <w:rPr>
                <w:rFonts w:ascii="DejaVu Serif" w:hAnsi="DejaVu Serif" w:eastAsia="DejaVu Serif"/>
                <w:b w:val="0"/>
                <w:i w:val="0"/>
                <w:sz w:val="17"/>
              </w:rPr>
              <w:t>Separated the classical Desargues theorem from the authorial conditional bridge obligations.</w:t>
            </w:r>
          </w:p>
        </w:tc>
        <w:tc>
          <w:tcPr>
            <w:tcW w:type="dxa" w:w="3364"/>
            <w:tcMar>
              <w:top w:w="70" w:type="dxa"/>
              <w:start w:w="90" w:type="dxa"/>
              <w:bottom w:w="70" w:type="dxa"/>
              <w:end w:w="90" w:type="dxa"/>
            </w:tcMar>
            <w:vAlign w:val="center"/>
          </w:tcPr>
          <w:p>
            <w:r>
              <w:rPr>
                <w:rFonts w:ascii="DejaVu Serif" w:hAnsi="DejaVu Serif" w:eastAsia="DejaVu Serif"/>
                <w:b w:val="0"/>
                <w:i w:val="0"/>
                <w:sz w:val="17"/>
              </w:rPr>
              <w:t>CL / COND</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T1-EN-CS-015</w:t>
            </w:r>
          </w:p>
        </w:tc>
        <w:tc>
          <w:tcPr>
            <w:tcW w:type="dxa" w:w="3364"/>
            <w:tcMar>
              <w:top w:w="70" w:type="dxa"/>
              <w:start w:w="90" w:type="dxa"/>
              <w:bottom w:w="70" w:type="dxa"/>
              <w:end w:w="90" w:type="dxa"/>
            </w:tcMar>
            <w:vAlign w:val="center"/>
          </w:tcPr>
          <w:p>
            <w:r>
              <w:rPr>
                <w:rFonts w:ascii="DejaVu Serif" w:hAnsi="DejaVu Serif" w:eastAsia="DejaVu Serif"/>
                <w:b w:val="0"/>
                <w:i w:val="0"/>
                <w:sz w:val="17"/>
              </w:rPr>
              <w:t>Normalized the FOS inverse-limit and early PN.2 model layer without promoting it to the later minimax theorem.</w:t>
            </w:r>
          </w:p>
        </w:tc>
        <w:tc>
          <w:tcPr>
            <w:tcW w:type="dxa" w:w="3364"/>
            <w:tcMar>
              <w:top w:w="70" w:type="dxa"/>
              <w:start w:w="90" w:type="dxa"/>
              <w:bottom w:w="70" w:type="dxa"/>
              <w:end w:w="90" w:type="dxa"/>
            </w:tcMar>
            <w:vAlign w:val="center"/>
          </w:tcPr>
          <w:p>
            <w:r>
              <w:rPr>
                <w:rFonts w:ascii="DejaVu Serif" w:hAnsi="DejaVu Serif" w:eastAsia="DejaVu Serif"/>
                <w:b w:val="0"/>
                <w:i w:val="0"/>
                <w:sz w:val="17"/>
              </w:rPr>
              <w:t>MODEL</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T1-EN-CS-016</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Translated the reduced NAPG deformation complex and explicit associator example.</w:t>
            </w:r>
          </w:p>
        </w:tc>
        <w:tc>
          <w:tcPr>
            <w:tcW w:type="dxa" w:w="3364"/>
            <w:tcMar>
              <w:top w:w="70" w:type="dxa"/>
              <w:start w:w="90" w:type="dxa"/>
              <w:bottom w:w="70" w:type="dxa"/>
              <w:end w:w="90" w:type="dxa"/>
            </w:tcMar>
            <w:vAlign w:val="center"/>
          </w:tcPr>
          <w:p>
            <w:r>
              <w:rPr>
                <w:rFonts w:ascii="DejaVu Serif" w:hAnsi="DejaVu Serif" w:eastAsia="DejaVu Serif"/>
                <w:b w:val="0"/>
                <w:i w:val="0"/>
                <w:sz w:val="17"/>
              </w:rPr>
              <w:t>DEF-A / PROP</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T1-EN-CS-017</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Translated PILOT-01, the FCOC carrier, first-gap theorem, and conditional Fano quotient.</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THM / COND</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T1-EN-CS-018</w:t>
            </w:r>
          </w:p>
        </w:tc>
        <w:tc>
          <w:tcPr>
            <w:tcW w:type="dxa" w:w="3364"/>
            <w:tcMar>
              <w:top w:w="70" w:type="dxa"/>
              <w:start w:w="90" w:type="dxa"/>
              <w:bottom w:w="70" w:type="dxa"/>
              <w:end w:w="90" w:type="dxa"/>
            </w:tcMar>
            <w:vAlign w:val="center"/>
          </w:tcPr>
          <w:p>
            <w:r>
              <w:rPr>
                <w:rFonts w:ascii="DejaVu Serif" w:hAnsi="DejaVu Serif" w:eastAsia="DejaVu Serif"/>
                <w:b w:val="0"/>
                <w:i w:val="0"/>
                <w:sz w:val="17"/>
              </w:rPr>
              <w:t>Specified RBD/RPD data, admissible future sets, matched-null, and ABSTAIN outputs.</w:t>
            </w:r>
          </w:p>
        </w:tc>
        <w:tc>
          <w:tcPr>
            <w:tcW w:type="dxa" w:w="3364"/>
            <w:tcMar>
              <w:top w:w="70" w:type="dxa"/>
              <w:start w:w="90" w:type="dxa"/>
              <w:bottom w:w="70" w:type="dxa"/>
              <w:end w:w="90" w:type="dxa"/>
            </w:tcMar>
            <w:vAlign w:val="center"/>
          </w:tcPr>
          <w:p>
            <w:r>
              <w:rPr>
                <w:rFonts w:ascii="DejaVu Serif" w:hAnsi="DejaVu Serif" w:eastAsia="DejaVu Serif"/>
                <w:b w:val="0"/>
                <w:i w:val="0"/>
                <w:sz w:val="17"/>
              </w:rPr>
              <w:t>DEF-A / EMP-PLAN</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T1-EN-CS-019</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Translated EX-CERT, notation/source passports, and the monotonicity rules for evidence status.</w:t>
            </w:r>
          </w:p>
        </w:tc>
        <w:tc>
          <w:tcPr>
            <w:tcW w:type="dxa" w:w="3364"/>
            <w:tcMar>
              <w:top w:w="70" w:type="dxa"/>
              <w:start w:w="90" w:type="dxa"/>
              <w:bottom w:w="70" w:type="dxa"/>
              <w:end w:w="90" w:type="dxa"/>
            </w:tcMar>
            <w:vAlign w:val="center"/>
          </w:tcPr>
          <w:p>
            <w:r>
              <w:rPr>
                <w:rFonts w:ascii="DejaVu Serif" w:hAnsi="DejaVu Serif" w:eastAsia="DejaVu Serif"/>
                <w:b w:val="0"/>
                <w:i w:val="0"/>
                <w:sz w:val="17"/>
              </w:rPr>
              <w:t>PROP</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T1-EN-CS-020</w:t>
            </w:r>
          </w:p>
        </w:tc>
        <w:tc>
          <w:tcPr>
            <w:tcW w:type="dxa" w:w="3364"/>
            <w:tcMar>
              <w:top w:w="70" w:type="dxa"/>
              <w:start w:w="90" w:type="dxa"/>
              <w:bottom w:w="70" w:type="dxa"/>
              <w:end w:w="90" w:type="dxa"/>
            </w:tcMar>
            <w:vAlign w:val="center"/>
          </w:tcPr>
          <w:p>
            <w:r>
              <w:rPr>
                <w:rFonts w:ascii="DejaVu Serif" w:hAnsi="DejaVu Serif" w:eastAsia="DejaVu Serif"/>
                <w:b w:val="0"/>
                <w:i w:val="0"/>
                <w:sz w:val="17"/>
              </w:rPr>
              <w:t>Audited the classical prior-art boundary and authorial contribution classes CL/AD/IT/CT/OP/EMP.</w:t>
            </w:r>
          </w:p>
        </w:tc>
        <w:tc>
          <w:tcPr>
            <w:tcW w:type="dxa" w:w="3364"/>
            <w:tcMar>
              <w:top w:w="70" w:type="dxa"/>
              <w:start w:w="90" w:type="dxa"/>
              <w:bottom w:w="70" w:type="dxa"/>
              <w:end w:w="90" w:type="dxa"/>
            </w:tcMar>
            <w:vAlign w:val="center"/>
          </w:tcPr>
          <w:p>
            <w:r>
              <w:rPr>
                <w:rFonts w:ascii="DejaVu Serif" w:hAnsi="DejaVu Serif" w:eastAsia="DejaVu Serif"/>
                <w:b w:val="0"/>
                <w:i w:val="0"/>
                <w:sz w:val="17"/>
              </w:rPr>
              <w:t>AUDIT</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T1-EN-CS-021</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Translated Chapters 17–26 with Russian source locators pp. 73–146.</w:t>
            </w:r>
          </w:p>
        </w:tc>
        <w:tc>
          <w:tcPr>
            <w:tcW w:type="dxa" w:w="3364"/>
            <w:tcMar>
              <w:top w:w="70" w:type="dxa"/>
              <w:start w:w="90" w:type="dxa"/>
              <w:bottom w:w="70" w:type="dxa"/>
              <w:end w:w="90" w:type="dxa"/>
            </w:tcMar>
            <w:vAlign w:val="center"/>
          </w:tcPr>
          <w:p>
            <w:r>
              <w:rPr>
                <w:rFonts w:ascii="DejaVu Serif" w:hAnsi="DejaVu Serif" w:eastAsia="DejaVu Serif"/>
                <w:b w:val="0"/>
                <w:i w:val="0"/>
                <w:sz w:val="17"/>
              </w:rPr>
              <w:t>EN-DRAFT</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T1-EN-CS-022</w:t>
            </w:r>
          </w:p>
        </w:tc>
        <w:tc>
          <w:tcPr>
            <w:tcW w:type="dxa" w:w="3364"/>
            <w:tcMar>
              <w:top w:w="70" w:type="dxa"/>
              <w:start w:w="90" w:type="dxa"/>
              <w:bottom w:w="70" w:type="dxa"/>
              <w:end w:w="90" w:type="dxa"/>
            </w:tcMar>
            <w:vAlign w:val="center"/>
          </w:tcPr>
          <w:p>
            <w:r>
              <w:rPr>
                <w:rFonts w:ascii="DejaVu Serif" w:hAnsi="DejaVu Serif" w:eastAsia="DejaVu Serif"/>
                <w:b w:val="0"/>
                <w:i w:val="0"/>
                <w:sz w:val="17"/>
              </w:rPr>
              <w:t>Added complex CP¹ cross-ratio, stability radius, harmonic involution, and real-reduction gate.</w:t>
            </w:r>
          </w:p>
        </w:tc>
        <w:tc>
          <w:tcPr>
            <w:tcW w:type="dxa" w:w="3364"/>
            <w:tcMar>
              <w:top w:w="70" w:type="dxa"/>
              <w:start w:w="90" w:type="dxa"/>
              <w:bottom w:w="70" w:type="dxa"/>
              <w:end w:w="90" w:type="dxa"/>
            </w:tcMar>
            <w:vAlign w:val="center"/>
          </w:tcPr>
          <w:p>
            <w:r>
              <w:rPr>
                <w:rFonts w:ascii="DejaVu Serif" w:hAnsi="DejaVu Serif" w:eastAsia="DejaVu Serif"/>
                <w:b w:val="0"/>
                <w:i w:val="0"/>
                <w:sz w:val="17"/>
              </w:rPr>
              <w:t>PROP / THM</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T1-EN-CS-023</w:t>
            </w:r>
          </w:p>
        </w:tc>
        <w:tc>
          <w:tcPr>
            <w:tcW w:type="dxa" w:w="3364"/>
            <w:tcMar>
              <w:top w:w="70" w:type="dxa"/>
              <w:start w:w="90" w:type="dxa"/>
              <w:bottom w:w="70" w:type="dxa"/>
              <w:end w:w="90" w:type="dxa"/>
            </w:tcMar>
            <w:vAlign w:val="center"/>
          </w:tcPr>
          <w:p>
            <w:r>
              <w:rPr>
                <w:rFonts w:ascii="DejaVu Serif" w:hAnsi="DejaVu Serif" w:eastAsia="DejaVu Serif"/>
                <w:b w:val="0"/>
                <w:i w:val="0"/>
                <w:sz w:val="17"/>
              </w:rPr>
              <w:t>Added right operator cross-ratio with invertibility, order, conjugacy, and conditioning contracts.</w:t>
            </w:r>
          </w:p>
        </w:tc>
        <w:tc>
          <w:tcPr>
            <w:tcW w:type="dxa" w:w="3364"/>
            <w:tcMar>
              <w:top w:w="70" w:type="dxa"/>
              <w:start w:w="90" w:type="dxa"/>
              <w:bottom w:w="70" w:type="dxa"/>
              <w:end w:w="90" w:type="dxa"/>
            </w:tcMar>
            <w:vAlign w:val="center"/>
          </w:tcPr>
          <w:p>
            <w:r>
              <w:rPr>
                <w:rFonts w:ascii="DejaVu Serif" w:hAnsi="DejaVu Serif" w:eastAsia="DejaVu Serif"/>
                <w:b w:val="0"/>
                <w:i w:val="0"/>
                <w:sz w:val="17"/>
              </w:rPr>
              <w:t>DEF-A / COND</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T1-EN-CS-024</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Translated the proof-cleaned Desargues–Kurpishev theorem and its dependency certificate.</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THM / COND</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T1-EN-CS-025</w:t>
            </w:r>
          </w:p>
        </w:tc>
        <w:tc>
          <w:tcPr>
            <w:tcW w:type="dxa" w:w="3364"/>
            <w:tcMar>
              <w:top w:w="70" w:type="dxa"/>
              <w:start w:w="90" w:type="dxa"/>
              <w:bottom w:w="70" w:type="dxa"/>
              <w:end w:w="90" w:type="dxa"/>
            </w:tcMar>
            <w:vAlign w:val="center"/>
          </w:tcPr>
          <w:p>
            <w:r>
              <w:rPr>
                <w:rFonts w:ascii="DejaVu Serif" w:hAnsi="DejaVu Serif" w:eastAsia="DejaVu Serif"/>
                <w:b w:val="0"/>
                <w:i w:val="0"/>
                <w:sz w:val="17"/>
              </w:rPr>
              <w:t>Preserved the typed index, formula registry, and no-status-transfer rule.</w:t>
            </w:r>
          </w:p>
        </w:tc>
        <w:tc>
          <w:tcPr>
            <w:tcW w:type="dxa" w:w="3364"/>
            <w:tcMar>
              <w:top w:w="70" w:type="dxa"/>
              <w:start w:w="90" w:type="dxa"/>
              <w:bottom w:w="70" w:type="dxa"/>
              <w:end w:w="90" w:type="dxa"/>
            </w:tcMar>
            <w:vAlign w:val="center"/>
          </w:tcPr>
          <w:p>
            <w:r>
              <w:rPr>
                <w:rFonts w:ascii="DejaVu Serif" w:hAnsi="DejaVu Serif" w:eastAsia="DejaVu Serif"/>
                <w:b w:val="0"/>
                <w:i w:val="0"/>
                <w:sz w:val="17"/>
              </w:rPr>
              <w:t>DOC / PROP</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T1-EN-CS-026</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Translated the canonical PN.2 minimax theorem package, examples, tests, and limitations.</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THM / NUM</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T1-EN-CS-027</w:t>
            </w:r>
          </w:p>
        </w:tc>
        <w:tc>
          <w:tcPr>
            <w:tcW w:type="dxa" w:w="3364"/>
            <w:tcMar>
              <w:top w:w="70" w:type="dxa"/>
              <w:start w:w="90" w:type="dxa"/>
              <w:bottom w:w="70" w:type="dxa"/>
              <w:end w:w="90" w:type="dxa"/>
            </w:tcMar>
            <w:vAlign w:val="center"/>
          </w:tcPr>
          <w:p>
            <w:r>
              <w:rPr>
                <w:rFonts w:ascii="DejaVu Serif" w:hAnsi="DejaVu Serif" w:eastAsia="DejaVu Serif"/>
                <w:b w:val="0"/>
                <w:i w:val="0"/>
                <w:sz w:val="17"/>
              </w:rPr>
              <w:t>Integrated PN.2 into prediction, matched-null calibration, and subject-matter export gates.</w:t>
            </w:r>
          </w:p>
        </w:tc>
        <w:tc>
          <w:tcPr>
            <w:tcW w:type="dxa" w:w="3364"/>
            <w:tcMar>
              <w:top w:w="70" w:type="dxa"/>
              <w:start w:w="90" w:type="dxa"/>
              <w:bottom w:w="70" w:type="dxa"/>
              <w:end w:w="90" w:type="dxa"/>
            </w:tcMar>
            <w:vAlign w:val="center"/>
          </w:tcPr>
          <w:p>
            <w:r>
              <w:rPr>
                <w:rFonts w:ascii="DejaVu Serif" w:hAnsi="DejaVu Serif" w:eastAsia="DejaVu Serif"/>
                <w:b w:val="0"/>
                <w:i w:val="0"/>
                <w:sz w:val="17"/>
              </w:rPr>
              <w:t>PROP / EMP-PLAN</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T1-EN-CS-028</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Translated typed action/change/reversal operators and the algebra–NAPG duality.</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THM / COND / OPEN</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T1-EN-CS-029</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Translated Chapters 27–31 with Russian source locators pp. 140–168.</w:t>
            </w:r>
          </w:p>
        </w:tc>
        <w:tc>
          <w:tcPr>
            <w:tcW w:type="dxa" w:w="3364"/>
            <w:tcMar>
              <w:top w:w="70" w:type="dxa"/>
              <w:start w:w="90" w:type="dxa"/>
              <w:bottom w:w="70" w:type="dxa"/>
              <w:end w:w="90" w:type="dxa"/>
            </w:tcMar>
            <w:vAlign w:val="center"/>
          </w:tcPr>
          <w:p>
            <w:r>
              <w:rPr>
                <w:rFonts w:ascii="DejaVu Serif" w:hAnsi="DejaVu Serif" w:eastAsia="DejaVu Serif"/>
                <w:b w:val="0"/>
                <w:i w:val="0"/>
                <w:sz w:val="17"/>
              </w:rPr>
              <w:t>EN-DRAFT</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T1-EN-CS-030</w:t>
            </w:r>
          </w:p>
        </w:tc>
        <w:tc>
          <w:tcPr>
            <w:tcW w:type="dxa" w:w="3364"/>
            <w:tcMar>
              <w:top w:w="70" w:type="dxa"/>
              <w:start w:w="90" w:type="dxa"/>
              <w:bottom w:w="70" w:type="dxa"/>
              <w:end w:w="90" w:type="dxa"/>
            </w:tcMar>
            <w:vAlign w:val="center"/>
          </w:tcPr>
          <w:p>
            <w:r>
              <w:rPr>
                <w:rFonts w:ascii="DejaVu Serif" w:hAnsi="DejaVu Serif" w:eastAsia="DejaVu Serif"/>
                <w:b w:val="0"/>
                <w:i w:val="0"/>
                <w:sz w:val="17"/>
              </w:rPr>
              <w:t>Integrated the canonical PN.2 v1.0 theorem package and conservative closure of PO-11 and PO-12.</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THM / NUM-SOURCE</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T1-EN-CS-031</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Translated internal Appendix A: four exact models, counterexamples, c=1, epsilon_minus=3, and sharp 1/4 bounds.</w:t>
            </w:r>
          </w:p>
        </w:tc>
        <w:tc>
          <w:tcPr>
            <w:tcW w:type="dxa" w:w="3364"/>
            <w:tcMar>
              <w:top w:w="70" w:type="dxa"/>
              <w:start w:w="90" w:type="dxa"/>
              <w:bottom w:w="70" w:type="dxa"/>
              <w:end w:w="90" w:type="dxa"/>
            </w:tcMar>
            <w:vAlign w:val="center"/>
          </w:tcPr>
          <w:p>
            <w:r>
              <w:rPr>
                <w:rFonts w:ascii="DejaVu Serif" w:hAnsi="DejaVu Serif" w:eastAsia="DejaVu Serif"/>
                <w:b w:val="0"/>
                <w:i w:val="0"/>
                <w:sz w:val="17"/>
              </w:rPr>
              <w:t>PROP / THM</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T1-EN-CS-032</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Translated internal Appendix B: A2 structural constants, expected/obtained values, tests, hashes, and scope exclusions.</w:t>
            </w:r>
          </w:p>
        </w:tc>
        <w:tc>
          <w:tcPr>
            <w:tcW w:type="dxa" w:w="3364"/>
            <w:tcMar>
              <w:top w:w="70" w:type="dxa"/>
              <w:start w:w="90" w:type="dxa"/>
              <w:bottom w:w="70" w:type="dxa"/>
              <w:end w:w="90" w:type="dxa"/>
            </w:tcMar>
            <w:vAlign w:val="center"/>
          </w:tcPr>
          <w:p>
            <w:r>
              <w:rPr>
                <w:rFonts w:ascii="DejaVu Serif" w:hAnsi="DejaVu Serif" w:eastAsia="DejaVu Serif"/>
                <w:b w:val="0"/>
                <w:i w:val="0"/>
                <w:sz w:val="17"/>
              </w:rPr>
              <w:t>NUM-SOURCE</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T1-EN-CS-033</w:t>
            </w:r>
          </w:p>
        </w:tc>
        <w:tc>
          <w:tcPr>
            <w:tcW w:type="dxa" w:w="3364"/>
            <w:tcMar>
              <w:top w:w="70" w:type="dxa"/>
              <w:start w:w="90" w:type="dxa"/>
              <w:bottom w:w="70" w:type="dxa"/>
              <w:end w:w="90" w:type="dxa"/>
            </w:tcMar>
            <w:vAlign w:val="center"/>
          </w:tcPr>
          <w:p>
            <w:r>
              <w:rPr>
                <w:rFonts w:ascii="DejaVu Serif" w:hAnsi="DejaVu Serif" w:eastAsia="DejaVu Serif"/>
                <w:b w:val="0"/>
                <w:i w:val="0"/>
                <w:sz w:val="17"/>
              </w:rPr>
              <w:t>Preserved the complete F-1–F-14 physical-hypothesis register and the prohibition on status inheritance.</w:t>
            </w:r>
          </w:p>
        </w:tc>
        <w:tc>
          <w:tcPr>
            <w:tcW w:type="dxa" w:w="3364"/>
            <w:tcMar>
              <w:top w:w="70" w:type="dxa"/>
              <w:start w:w="90" w:type="dxa"/>
              <w:bottom w:w="70" w:type="dxa"/>
              <w:end w:w="90" w:type="dxa"/>
            </w:tcMar>
            <w:vAlign w:val="center"/>
          </w:tcPr>
          <w:p>
            <w:r>
              <w:rPr>
                <w:rFonts w:ascii="DejaVu Serif" w:hAnsi="DejaVu Serif" w:eastAsia="DejaVu Serif"/>
                <w:b w:val="0"/>
                <w:i w:val="0"/>
                <w:sz w:val="17"/>
              </w:rPr>
              <w:t>PHY-HYP / OPEN</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T1-EN-CS-034</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Translated five typed forecast limits, robust margins, and the finite Reper horizon.</w:t>
            </w:r>
          </w:p>
        </w:tc>
        <w:tc>
          <w:tcPr>
            <w:tcW w:type="dxa" w:w="3364"/>
            <w:tcMar>
              <w:top w:w="70" w:type="dxa"/>
              <w:start w:w="90" w:type="dxa"/>
              <w:bottom w:w="70" w:type="dxa"/>
              <w:end w:w="90" w:type="dxa"/>
            </w:tcMar>
            <w:vAlign w:val="center"/>
          </w:tcPr>
          <w:p>
            <w:r>
              <w:rPr>
                <w:rFonts w:ascii="DejaVu Serif" w:hAnsi="DejaVu Serif" w:eastAsia="DejaVu Serif"/>
                <w:b w:val="0"/>
                <w:i w:val="0"/>
                <w:sz w:val="17"/>
              </w:rPr>
              <w:t>DEF-A / THM / COND</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T1-EN-CS-035</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Translated local versioned graph rebuilding, e-process alarm, leakage prohibition, and selective loss.</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THM / COND</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T1-EN-CS-036</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Translated the predictive Reper bundle, partial adapters, transfer curvature, sheaf-conditional gluing, and PN.2 branch obstruction.</w:t>
            </w:r>
          </w:p>
        </w:tc>
        <w:tc>
          <w:tcPr>
            <w:tcW w:type="dxa" w:w="3364"/>
            <w:tcMar>
              <w:top w:w="70" w:type="dxa"/>
              <w:start w:w="90" w:type="dxa"/>
              <w:bottom w:w="70" w:type="dxa"/>
              <w:end w:w="90" w:type="dxa"/>
            </w:tcMar>
            <w:vAlign w:val="center"/>
          </w:tcPr>
          <w:p>
            <w:r>
              <w:rPr>
                <w:rFonts w:ascii="DejaVu Serif" w:hAnsi="DejaVu Serif" w:eastAsia="DejaVu Serif"/>
                <w:b w:val="0"/>
                <w:i w:val="0"/>
                <w:sz w:val="17"/>
              </w:rPr>
              <w:t>DEF-A / COND</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T1-EN-CS-037</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Translated certification levels R1–R3, deterministic replay, sequential validity, and immutable artifact status.</w:t>
            </w:r>
          </w:p>
        </w:tc>
        <w:tc>
          <w:tcPr>
            <w:tcW w:type="dxa" w:w="3364"/>
            <w:tcMar>
              <w:top w:w="70" w:type="dxa"/>
              <w:start w:w="90" w:type="dxa"/>
              <w:bottom w:w="70" w:type="dxa"/>
              <w:end w:w="90" w:type="dxa"/>
            </w:tcMar>
            <w:vAlign w:val="center"/>
          </w:tcPr>
          <w:p>
            <w:r>
              <w:rPr>
                <w:rFonts w:ascii="DejaVu Serif" w:hAnsi="DejaVu Serif" w:eastAsia="DejaVu Serif"/>
                <w:b w:val="0"/>
                <w:i w:val="0"/>
                <w:sz w:val="17"/>
              </w:rPr>
              <w:t>THM / NUM-SOURCE</w:t>
            </w:r>
          </w:p>
        </w:tc>
      </w:tr>
      <w:tr>
        <w:trPr>
          <w:cantSplit/>
        </w:trPr>
        <w:tc>
          <w:tcPr>
            <w:tcW w:type="dxa" w:w="3364"/>
            <w:tcMar>
              <w:top w:w="70" w:type="dxa"/>
              <w:start w:w="90" w:type="dxa"/>
              <w:bottom w:w="70" w:type="dxa"/>
              <w:end w:w="90" w:type="dxa"/>
            </w:tcMar>
            <w:vAlign w:val="center"/>
          </w:tcPr>
          <w:p>
            <w:r>
              <w:rPr>
                <w:rFonts w:ascii="DejaVu Serif" w:hAnsi="DejaVu Serif" w:eastAsia="DejaVu Serif"/>
                <w:b w:val="0"/>
                <w:i w:val="0"/>
                <w:sz w:val="17"/>
              </w:rPr>
              <w:t>T1-EN-CS-038</w:t>
            </w:r>
          </w:p>
        </w:tc>
        <w:tc>
          <w:tcPr>
            <w:tcW w:type="dxa" w:w="3364"/>
            <w:tcMar>
              <w:top w:w="70" w:type="dxa"/>
              <w:start w:w="90" w:type="dxa"/>
              <w:bottom w:w="70" w:type="dxa"/>
              <w:end w:w="90" w:type="dxa"/>
            </w:tcMar>
            <w:vAlign w:val="center"/>
          </w:tcPr>
          <w:p>
            <w:r>
              <w:rPr>
                <w:rFonts w:ascii="DejaVu Serif" w:hAnsi="DejaVu Serif" w:eastAsia="DejaVu Serif"/>
                <w:b w:val="0"/>
                <w:i w:val="0"/>
                <w:sz w:val="17"/>
              </w:rPr>
              <w:t>Added five English explanatory diagrams and a chapter-parity ledger for Chapters 27–31.</w:t>
            </w:r>
          </w:p>
        </w:tc>
        <w:tc>
          <w:tcPr>
            <w:tcW w:type="dxa" w:w="3364"/>
            <w:tcMar>
              <w:top w:w="70" w:type="dxa"/>
              <w:start w:w="90" w:type="dxa"/>
              <w:bottom w:w="70" w:type="dxa"/>
              <w:end w:w="90" w:type="dxa"/>
            </w:tcMar>
            <w:vAlign w:val="center"/>
          </w:tcPr>
          <w:p>
            <w:r>
              <w:rPr>
                <w:rFonts w:ascii="DejaVu Serif" w:hAnsi="DejaVu Serif" w:eastAsia="DejaVu Serif"/>
                <w:b w:val="0"/>
                <w:i w:val="0"/>
                <w:sz w:val="17"/>
              </w:rPr>
              <w:t>DOC / QA</w:t>
            </w:r>
          </w:p>
        </w:tc>
      </w:tr>
      <w:tr>
        <w:tc>
          <w:tcPr>
            <w:tcW w:type="dxa" w:w="3364"/>
            <w:vAlign w:val="center"/>
          </w:tcPr>
          <w:p>
            <w:r>
              <w:rPr>
                <w:rFonts w:ascii="DejaVu Serif" w:hAnsi="DejaVu Serif" w:eastAsia="DejaVu Serif"/>
                <w:sz w:val="17"/>
              </w:rPr>
              <w:t>T1-EN-CS-071</w:t>
            </w:r>
          </w:p>
        </w:tc>
        <w:tc>
          <w:tcPr>
            <w:tcW w:type="dxa" w:w="3364"/>
            <w:vAlign w:val="center"/>
          </w:tcPr>
          <w:p>
            <w:r>
              <w:rPr>
                <w:rFonts w:ascii="DejaVu Serif" w:hAnsi="DejaVu Serif" w:eastAsia="DejaVu Serif"/>
                <w:sz w:val="17"/>
              </w:rPr>
              <w:t>Converted the chapter and appendix maps into a verified static TOC and RU-to-EN page map.</w:t>
            </w:r>
          </w:p>
        </w:tc>
        <w:tc>
          <w:tcPr>
            <w:tcW w:type="dxa" w:w="3364"/>
            <w:vAlign w:val="center"/>
          </w:tcPr>
          <w:p>
            <w:r>
              <w:rPr>
                <w:rFonts w:ascii="DejaVu Serif" w:hAnsi="DejaVu Serif" w:eastAsia="DejaVu Serif"/>
                <w:sz w:val="17"/>
              </w:rPr>
              <w:t>DOC-QA</w:t>
            </w:r>
          </w:p>
        </w:tc>
      </w:tr>
      <w:tr>
        <w:tc>
          <w:tcPr>
            <w:tcW w:type="dxa" w:w="3364"/>
            <w:vAlign w:val="center"/>
          </w:tcPr>
          <w:p>
            <w:r>
              <w:rPr>
                <w:rFonts w:ascii="DejaVu Serif" w:hAnsi="DejaVu Serif" w:eastAsia="DejaVu Serif"/>
                <w:sz w:val="17"/>
              </w:rPr>
              <w:t>T1-EN-CS-072</w:t>
            </w:r>
          </w:p>
        </w:tc>
        <w:tc>
          <w:tcPr>
            <w:tcW w:type="dxa" w:w="3364"/>
            <w:vAlign w:val="center"/>
          </w:tcPr>
          <w:p>
            <w:r>
              <w:rPr>
                <w:rFonts w:ascii="DejaVu Serif" w:hAnsi="DejaVu Serif" w:eastAsia="DejaVu Serif"/>
                <w:sz w:val="17"/>
              </w:rPr>
              <w:t>Added Word-updateable TOC field, bookmarks, and internal hyperlinks.</w:t>
            </w:r>
          </w:p>
        </w:tc>
        <w:tc>
          <w:tcPr>
            <w:tcW w:type="dxa" w:w="3364"/>
            <w:vAlign w:val="center"/>
          </w:tcPr>
          <w:p>
            <w:r>
              <w:rPr>
                <w:rFonts w:ascii="DejaVu Serif" w:hAnsi="DejaVu Serif" w:eastAsia="DejaVu Serif"/>
                <w:sz w:val="17"/>
              </w:rPr>
              <w:t>DOC-NAV</w:t>
            </w:r>
          </w:p>
        </w:tc>
      </w:tr>
      <w:tr>
        <w:tc>
          <w:tcPr>
            <w:tcW w:type="dxa" w:w="3364"/>
            <w:vAlign w:val="center"/>
          </w:tcPr>
          <w:p>
            <w:r>
              <w:rPr>
                <w:rFonts w:ascii="DejaVu Serif" w:hAnsi="DejaVu Serif" w:eastAsia="DejaVu Serif"/>
                <w:sz w:val="17"/>
              </w:rPr>
              <w:t>T1-EN-CS-073</w:t>
            </w:r>
          </w:p>
        </w:tc>
        <w:tc>
          <w:tcPr>
            <w:tcW w:type="dxa" w:w="3364"/>
            <w:vAlign w:val="center"/>
          </w:tcPr>
          <w:p>
            <w:r>
              <w:rPr>
                <w:rFonts w:ascii="DejaVu Serif" w:hAnsi="DejaVu Serif" w:eastAsia="DejaVu Serif"/>
                <w:sz w:val="17"/>
              </w:rPr>
              <w:t>Added exact figure index and chapter-level table inventory.</w:t>
            </w:r>
          </w:p>
        </w:tc>
        <w:tc>
          <w:tcPr>
            <w:tcW w:type="dxa" w:w="3364"/>
            <w:vAlign w:val="center"/>
          </w:tcPr>
          <w:p>
            <w:r>
              <w:rPr>
                <w:rFonts w:ascii="DejaVu Serif" w:hAnsi="DejaVu Serif" w:eastAsia="DejaVu Serif"/>
                <w:sz w:val="17"/>
              </w:rPr>
              <w:t>DOC-INDEX</w:t>
            </w:r>
          </w:p>
        </w:tc>
      </w:tr>
      <w:tr>
        <w:tc>
          <w:tcPr>
            <w:tcW w:type="dxa" w:w="3364"/>
            <w:vAlign w:val="center"/>
          </w:tcPr>
          <w:p>
            <w:r>
              <w:rPr>
                <w:rFonts w:ascii="DejaVu Serif" w:hAnsi="DejaVu Serif" w:eastAsia="DejaVu Serif"/>
                <w:sz w:val="17"/>
              </w:rPr>
              <w:t>T1-EN-CS-074</w:t>
            </w:r>
          </w:p>
        </w:tc>
        <w:tc>
          <w:tcPr>
            <w:tcW w:type="dxa" w:w="3364"/>
            <w:vAlign w:val="center"/>
          </w:tcPr>
          <w:p>
            <w:r>
              <w:rPr>
                <w:rFonts w:ascii="DejaVu Serif" w:hAnsi="DejaVu Serif" w:eastAsia="DejaVu Serif"/>
                <w:sz w:val="17"/>
              </w:rPr>
              <w:t>Consolidated bibliography/source-card ledger with artifact hashes.</w:t>
            </w:r>
          </w:p>
        </w:tc>
        <w:tc>
          <w:tcPr>
            <w:tcW w:type="dxa" w:w="3364"/>
            <w:vAlign w:val="center"/>
          </w:tcPr>
          <w:p>
            <w:r>
              <w:rPr>
                <w:rFonts w:ascii="DejaVu Serif" w:hAnsi="DejaVu Serif" w:eastAsia="DejaVu Serif"/>
                <w:sz w:val="17"/>
              </w:rPr>
              <w:t>SOURCE</w:t>
            </w:r>
          </w:p>
        </w:tc>
      </w:tr>
      <w:tr>
        <w:tc>
          <w:tcPr>
            <w:tcW w:type="dxa" w:w="3364"/>
            <w:vAlign w:val="center"/>
          </w:tcPr>
          <w:p>
            <w:r>
              <w:rPr>
                <w:rFonts w:ascii="DejaVu Serif" w:hAnsi="DejaVu Serif" w:eastAsia="DejaVu Serif"/>
                <w:sz w:val="17"/>
              </w:rPr>
              <w:t>T1-EN-CS-075</w:t>
            </w:r>
          </w:p>
        </w:tc>
        <w:tc>
          <w:tcPr>
            <w:tcW w:type="dxa" w:w="3364"/>
            <w:vAlign w:val="center"/>
          </w:tcPr>
          <w:p>
            <w:r>
              <w:rPr>
                <w:rFonts w:ascii="DejaVu Serif" w:hAnsi="DejaVu Serif" w:eastAsia="DejaVu Serif"/>
                <w:sz w:val="17"/>
              </w:rPr>
              <w:t>Executed global cross-reference and object-count audit.</w:t>
            </w:r>
          </w:p>
        </w:tc>
        <w:tc>
          <w:tcPr>
            <w:tcW w:type="dxa" w:w="3364"/>
            <w:vAlign w:val="center"/>
          </w:tcPr>
          <w:p>
            <w:r>
              <w:rPr>
                <w:rFonts w:ascii="DejaVu Serif" w:hAnsi="DejaVu Serif" w:eastAsia="DejaVu Serif"/>
                <w:sz w:val="17"/>
              </w:rPr>
              <w:t>NUM-QA</w:t>
            </w:r>
          </w:p>
        </w:tc>
      </w:tr>
      <w:tr>
        <w:tc>
          <w:tcPr>
            <w:tcW w:type="dxa" w:w="3364"/>
            <w:vAlign w:val="center"/>
          </w:tcPr>
          <w:p>
            <w:r>
              <w:rPr>
                <w:rFonts w:ascii="DejaVu Serif" w:hAnsi="DejaVu Serif" w:eastAsia="DejaVu Serif"/>
                <w:sz w:val="17"/>
              </w:rPr>
              <w:t>T1-EN-CS-076</w:t>
            </w:r>
          </w:p>
        </w:tc>
        <w:tc>
          <w:tcPr>
            <w:tcW w:type="dxa" w:w="3364"/>
            <w:vAlign w:val="center"/>
          </w:tcPr>
          <w:p>
            <w:r>
              <w:rPr>
                <w:rFonts w:ascii="DejaVu Serif" w:hAnsi="DejaVu Serif" w:eastAsia="DejaVu Serif"/>
                <w:sz w:val="17"/>
              </w:rPr>
              <w:t>Preserved all evidence statuses and physical firewalls.</w:t>
            </w:r>
          </w:p>
        </w:tc>
        <w:tc>
          <w:tcPr>
            <w:tcW w:type="dxa" w:w="3364"/>
            <w:vAlign w:val="center"/>
          </w:tcPr>
          <w:p>
            <w:r>
              <w:rPr>
                <w:rFonts w:ascii="DejaVu Serif" w:hAnsi="DejaVu Serif" w:eastAsia="DejaVu Serif"/>
                <w:sz w:val="17"/>
              </w:rPr>
              <w:t>PARITY</w:t>
            </w:r>
          </w:p>
        </w:tc>
      </w:tr>
    </w:tbl>
    <w:p>
      <w:pPr>
        <w:pStyle w:val="Heading1"/>
        <w:keepNext/>
      </w:pPr>
    </w:p>
    <w:p>
      <w:pPr>
        <w:keepNext w:val="0"/>
        <w:spacing w:before="0" w:after="100" w:line="259" w:lineRule="auto"/>
      </w:pPr>
      <w:r>
        <w:rPr>
          <w:rFonts w:ascii="DejaVu Serif" w:hAnsi="DejaVu Serif"/>
          <w:b w:val="0"/>
          <w:i w:val="0"/>
          <w:color w:val="111111"/>
          <w:sz w:val="21"/>
        </w:rPr>
        <w:t>The English Volume I is a controlled derivative of the frozen Russian edition v197 RU. It is not a replacement, correction, or independent mathematical edition. Every translated object remains bound to its Russian carrier, admissible domain, sufficient foundation, hypotheses, evidence status, and source-page locator.</w:t>
      </w:r>
    </w:p>
    <w:p>
      <w:pPr>
        <w:keepNext w:val="0"/>
        <w:spacing w:before="0" w:after="100" w:line="259" w:lineRule="auto"/>
      </w:pPr>
      <w:r>
        <w:rPr>
          <w:rFonts w:ascii="DejaVu Serif" w:hAnsi="DejaVu Serif"/>
          <w:b/>
          <w:i w:val="0"/>
          <w:color w:val="173B63"/>
          <w:sz w:val="21"/>
        </w:rPr>
        <w:t>The derivative contract is:</w:t>
      </w:r>
    </w:p>
    <w:tbl>
      <w:tblPr>
        <w:tblW w:type="auto" w:w="0"/>
        <w:jc w:val="center"/>
        <w:tblLayout w:type="autofit"/>
        <w:tblLook w:firstColumn="1" w:firstRow="1" w:lastColumn="0" w:lastRow="0" w:noHBand="0" w:noVBand="1" w:val="04A0"/>
      </w:tblPr>
      <w:tblGrid>
        <w:gridCol w:w="10092"/>
      </w:tblGrid>
      <w:tr>
        <w:trPr>
          <w:cantSplit/>
          <w:tblHeader w:val="true"/>
          <w:cantSplit/>
          <w:tblHeader w:val="true"/>
        </w:trPr>
        <w:tc>
          <w:tcPr>
            <w:tcW w:type="dxa" w:w="10092"/>
            <w:shd w:fill="EAF1F7"/>
            <w:tcMar>
              <w:top w:w="90" w:type="dxa"/>
              <w:start w:w="100" w:type="dxa"/>
              <w:bottom w:w="90" w:type="dxa"/>
              <w:end w:w="100" w:type="dxa"/>
            </w:tcMar>
            <w:vAlign w:val="center"/>
          </w:tcPr>
          <w:p>
            <w:pPr>
              <w:keepNext w:val="0"/>
              <w:spacing w:before="0" w:after="0" w:line="252" w:lineRule="auto"/>
            </w:pPr>
            <w:r>
              <w:rPr>
                <w:rFonts w:ascii="DejaVu Serif" w:hAnsi="DejaVu Serif" w:eastAsia="DejaVu Serif"/>
                <w:b/>
                <w:i w:val="0"/>
                <w:color w:val="2E5F8A"/>
                <w:sz w:val="18"/>
              </w:rPr>
              <w:t xml:space="preserve">CONTRACT  </w:t>
            </w:r>
            <w:r>
              <w:rPr>
                <w:rFonts w:ascii="DejaVu Serif" w:hAnsi="DejaVu Serif" w:eastAsia="DejaVu Serif"/>
                <w:b w:val="0"/>
                <w:i w:val="0"/>
                <w:color w:val="111111"/>
                <w:sz w:val="18"/>
              </w:rPr>
              <w:t>Authority(T1-RU v197) &gt; Authority(T1-EN)</w:t>
            </w:r>
          </w:p>
        </w:tc>
      </w:tr>
    </w:tbl>
    <w:tbl>
      <w:tblPr>
        <w:tblW w:type="auto" w:w="0"/>
        <w:jc w:val="center"/>
        <w:tblLayout w:type="autofit"/>
        <w:tblLook w:firstColumn="1" w:firstRow="1" w:lastColumn="0" w:lastRow="0" w:noHBand="0" w:noVBand="1" w:val="04A0"/>
      </w:tblPr>
      <w:tblGrid>
        <w:gridCol w:w="10092"/>
      </w:tblGrid>
      <w:tr>
        <w:trPr>
          <w:cantSplit/>
          <w:tblHeader w:val="true"/>
          <w:cantSplit/>
          <w:tblHeader w:val="true"/>
        </w:trPr>
        <w:tc>
          <w:tcPr>
            <w:tcW w:type="dxa" w:w="10092"/>
            <w:shd w:fill="EAF1F7"/>
            <w:tcMar>
              <w:top w:w="90" w:type="dxa"/>
              <w:start w:w="100" w:type="dxa"/>
              <w:bottom w:w="90" w:type="dxa"/>
              <w:end w:w="100" w:type="dxa"/>
            </w:tcMar>
            <w:vAlign w:val="center"/>
          </w:tcPr>
          <w:p>
            <w:pPr>
              <w:keepNext w:val="0"/>
              <w:spacing w:before="0" w:after="0" w:line="252" w:lineRule="auto"/>
            </w:pPr>
            <w:r>
              <w:rPr>
                <w:rFonts w:ascii="DejaVu Serif" w:hAnsi="DejaVu Serif" w:eastAsia="DejaVu Serif"/>
                <w:b/>
                <w:i w:val="0"/>
                <w:color w:val="2E5F8A"/>
                <w:sz w:val="18"/>
              </w:rPr>
              <w:t xml:space="preserve">CONTRACT  </w:t>
            </w:r>
            <w:r>
              <w:rPr>
                <w:rFonts w:ascii="DejaVu Serif" w:hAnsi="DejaVu Serif" w:eastAsia="DejaVu Serif"/>
                <w:b w:val="0"/>
                <w:i w:val="0"/>
                <w:color w:val="111111"/>
                <w:sz w:val="18"/>
              </w:rPr>
              <w:t>Status_EN(x) ≤ Status_RU(x)</w:t>
            </w:r>
          </w:p>
        </w:tc>
      </w:tr>
    </w:tbl>
    <w:tbl>
      <w:tblPr>
        <w:tblW w:type="auto" w:w="0"/>
        <w:jc w:val="center"/>
        <w:tblLayout w:type="autofit"/>
        <w:tblLook w:firstColumn="1" w:firstRow="1" w:lastColumn="0" w:lastRow="0" w:noHBand="0" w:noVBand="1" w:val="04A0"/>
      </w:tblPr>
      <w:tblGrid>
        <w:gridCol w:w="10092"/>
      </w:tblGrid>
      <w:tr>
        <w:trPr>
          <w:cantSplit/>
          <w:tblHeader w:val="true"/>
          <w:cantSplit/>
          <w:tblHeader w:val="true"/>
        </w:trPr>
        <w:tc>
          <w:tcPr>
            <w:tcW w:type="dxa" w:w="10092"/>
            <w:shd w:fill="EAF1F7"/>
            <w:tcMar>
              <w:top w:w="90" w:type="dxa"/>
              <w:start w:w="100" w:type="dxa"/>
              <w:bottom w:w="90" w:type="dxa"/>
              <w:end w:w="100" w:type="dxa"/>
            </w:tcMar>
            <w:vAlign w:val="center"/>
          </w:tcPr>
          <w:p>
            <w:pPr>
              <w:keepNext w:val="0"/>
              <w:spacing w:before="0" w:after="0" w:line="252" w:lineRule="auto"/>
            </w:pPr>
            <w:r>
              <w:rPr>
                <w:rFonts w:ascii="DejaVu Serif" w:hAnsi="DejaVu Serif" w:eastAsia="DejaVu Serif"/>
                <w:b/>
                <w:i w:val="0"/>
                <w:color w:val="2E5F8A"/>
                <w:sz w:val="18"/>
              </w:rPr>
              <w:t xml:space="preserve">CONTRACT  </w:t>
            </w:r>
            <w:r>
              <w:rPr>
                <w:rFonts w:ascii="DejaVu Serif" w:hAnsi="DejaVu Serif" w:eastAsia="DejaVu Serif"/>
                <w:b w:val="0"/>
                <w:i w:val="0"/>
                <w:color w:val="111111"/>
                <w:sz w:val="18"/>
              </w:rPr>
              <w:t>Formula_EN(x) = Formula_RU(x)</w:t>
            </w:r>
          </w:p>
        </w:tc>
      </w:tr>
    </w:tbl>
    <w:tbl>
      <w:tblPr>
        <w:tblW w:type="auto" w:w="0"/>
        <w:jc w:val="center"/>
        <w:tblLayout w:type="autofit"/>
        <w:tblLook w:firstColumn="1" w:firstRow="1" w:lastColumn="0" w:lastRow="0" w:noHBand="0" w:noVBand="1" w:val="04A0"/>
      </w:tblPr>
      <w:tblGrid>
        <w:gridCol w:w="10092"/>
      </w:tblGrid>
      <w:tr>
        <w:trPr>
          <w:cantSplit/>
          <w:tblHeader w:val="true"/>
          <w:cantSplit/>
          <w:tblHeader w:val="true"/>
        </w:trPr>
        <w:tc>
          <w:tcPr>
            <w:tcW w:type="dxa" w:w="10092"/>
            <w:shd w:fill="EAF1F7"/>
            <w:tcMar>
              <w:top w:w="90" w:type="dxa"/>
              <w:start w:w="100" w:type="dxa"/>
              <w:bottom w:w="90" w:type="dxa"/>
              <w:end w:w="100" w:type="dxa"/>
            </w:tcMar>
            <w:vAlign w:val="center"/>
          </w:tcPr>
          <w:p>
            <w:pPr>
              <w:keepNext w:val="0"/>
              <w:spacing w:before="0" w:after="0" w:line="252" w:lineRule="auto"/>
            </w:pPr>
            <w:r>
              <w:rPr>
                <w:rFonts w:ascii="DejaVu Serif" w:hAnsi="DejaVu Serif" w:eastAsia="DejaVu Serif"/>
                <w:b/>
                <w:i w:val="0"/>
                <w:color w:val="2E5F8A"/>
                <w:sz w:val="18"/>
              </w:rPr>
              <w:t xml:space="preserve">CONTRACT  </w:t>
            </w:r>
            <w:r>
              <w:rPr>
                <w:rFonts w:ascii="DejaVu Serif" w:hAnsi="DejaVu Serif" w:eastAsia="DejaVu Serif"/>
                <w:b w:val="0"/>
                <w:i w:val="0"/>
                <w:color w:val="111111"/>
                <w:sz w:val="18"/>
              </w:rPr>
              <w:t>ID_EN(x) = ID_RU(x)</w:t>
            </w:r>
          </w:p>
        </w:tc>
      </w:tr>
    </w:tbl>
    <w:p>
      <w:pPr>
        <w:keepNext w:val="0"/>
        <w:spacing w:before="0" w:after="100" w:line="259" w:lineRule="auto"/>
      </w:pPr>
      <w:r>
        <w:rPr>
          <w:rFonts w:ascii="DejaVu Serif" w:hAnsi="DejaVu Serif"/>
          <w:b w:val="0"/>
          <w:i w:val="0"/>
          <w:color w:val="111111"/>
          <w:sz w:val="20"/>
        </w:rPr>
        <w:t>A proposed English clarification that changes a definition, theorem hypothesis, proof step, formula, or evidence status must be separated from the translation and handled through a documented Russian change-set. Translation cannot be used as a covert revision channel.</w:t>
      </w:r>
    </w:p>
    <w:p>
      <w:r>
        <w:drawing>
          <wp:inline xmlns:a="http://schemas.openxmlformats.org/drawingml/2006/main" xmlns:pic="http://schemas.openxmlformats.org/drawingml/2006/picture">
            <wp:extent cx="6192000" cy="2137877"/>
            <wp:docPr id="2" name="Picture 2"/>
            <wp:cNvGraphicFramePr>
              <a:graphicFrameLocks noChangeAspect="1"/>
            </wp:cNvGraphicFramePr>
            <a:graphic>
              <a:graphicData uri="http://schemas.openxmlformats.org/drawingml/2006/picture">
                <pic:pic>
                  <pic:nvPicPr>
                    <pic:cNvPr id="0" name="authority_chain.png"/>
                    <pic:cNvPicPr/>
                  </pic:nvPicPr>
                  <pic:blipFill>
                    <a:blip r:embed="rId12"/>
                    <a:stretch>
                      <a:fillRect/>
                    </a:stretch>
                  </pic:blipFill>
                  <pic:spPr>
                    <a:xfrm>
                      <a:off x="0" y="0"/>
                      <a:ext cx="6192000" cy="2137877"/>
                    </a:xfrm>
                    <a:prstGeom prst="rect"/>
                  </pic:spPr>
                </pic:pic>
              </a:graphicData>
            </a:graphic>
          </wp:inline>
        </w:drawing>
      </w:r>
    </w:p>
    <w:p>
      <w:pPr>
        <w:keepNext w:val="0"/>
        <w:spacing w:before="40" w:after="160" w:line="240" w:lineRule="auto"/>
        <w:jc w:val="center"/>
      </w:pPr>
      <w:bookmarkStart w:id="1059" w:name="T1_FIG_001"/>
      <w:r>
        <w:rPr>
          <w:rFonts w:ascii="DejaVu Serif" w:hAnsi="DejaVu Serif"/>
          <w:b w:val="0"/>
          <w:i/>
          <w:color w:val="5E6873"/>
          <w:sz w:val="18"/>
        </w:rPr>
        <w:t>Figure T1-EN-START-001. Authority chain of the controlled English derivative.</w:t>
      </w:r>
      <w:bookmarkEnd w:id="1059"/>
    </w:p>
    <w:p>
      <w:pPr>
        <w:pStyle w:val="Heading1"/>
        <w:keepNext/>
      </w:pPr>
    </w:p>
    <w:p>
      <w:pPr>
        <w:keepNext w:val="0"/>
        <w:spacing w:before="0" w:after="100" w:line="259" w:lineRule="auto"/>
      </w:pPr>
      <w:r>
        <w:rPr>
          <w:rFonts w:ascii="DejaVu Serif" w:hAnsi="DejaVu Serif"/>
          <w:b w:val="0"/>
          <w:i w:val="0"/>
          <w:color w:val="111111"/>
          <w:sz w:val="20"/>
        </w:rPr>
        <w:t>Volume I establishes the axiomatic, geometric, and evidential foundation of packet Reper logic. Its primary ontological unit is Time@Space, within which an event is not separated from its state and is written as C@C. From this unit the text constructs packet objects and morphisms, Reper quadruples (R,I,U;D), projective-harmonic coordinates, rules of sufficient foundation, packet laws of logic, and the KLT-RBD evidence discipline. The volume develops a continuous line from the basic concepts to the Desargues–Kurpishev theorem, nonassociative packet geometry, Kurpishev Fundamental Support Connectivity, PILOT-01, and the Reper database.</w:t>
      </w:r>
    </w:p>
    <w:p>
      <w:pPr>
        <w:keepNext w:val="0"/>
        <w:spacing w:before="0" w:after="100" w:line="259" w:lineRule="auto"/>
      </w:pPr>
      <w:r>
        <w:rPr>
          <w:rFonts w:ascii="DejaVu Serif" w:hAnsi="DejaVu Serif"/>
          <w:b w:val="0"/>
          <w:i w:val="0"/>
          <w:color w:val="111111"/>
          <w:sz w:val="20"/>
        </w:rPr>
        <w:t>The frozen Russian corpus includes the rigorous theorem package for Kurpishev PN.2: a local minimax lower bound under a hidden bracketing alternative, explicit examples, evidence obligations, and an internal computable certificate; typed operators Δ, Ξ, and Υ; the nonassociative packet Reper algebra R⋆R and its NAPG duality; domain adapters, preregistration, power analysis, cluster calibration, and a causal boundary; the mathematical deepening of Chapters 47–52 and Appendices A–G. The content and conclusion boundaries of the earlier corpus are preserved. The later chapters and appendices extend the mathematical and verification layer without raising the physical status of PN.2.</w:t>
      </w:r>
    </w:p>
    <w:p>
      <w:pPr>
        <w:keepNext w:val="0"/>
        <w:spacing w:before="0" w:after="100" w:line="259" w:lineRule="auto"/>
      </w:pPr>
      <w:r>
        <w:rPr>
          <w:rFonts w:ascii="DejaVu Serif" w:hAnsi="DejaVu Serif"/>
          <w:b w:val="0"/>
          <w:i w:val="0"/>
          <w:color w:val="111111"/>
          <w:sz w:val="20"/>
        </w:rPr>
        <w:t>The authorial line belongs to Ivan Borisovich Kurpishev. Classical components—including the cross-ratio, Desargues’ theorem, projectivisation, the Hodge operator, stratified spaces, and deformation theory—are treated as prior art. The claimed novelty lies in their packet-Reper synthesis, the C@C ontology, Reper(R,I,U;D), the D/Dom barrier, packet morphisms, FOS, PN.2, RBD/RPD, and the KLT computational contour.</w:t>
      </w:r>
    </w:p>
    <w:p>
      <w:pPr>
        <w:pStyle w:val="Heading2"/>
        <w:keepNext/>
      </w:pPr>
    </w:p>
    <w:p>
      <w:pPr>
        <w:keepNext w:val="0"/>
        <w:spacing w:before="0" w:after="100" w:line="259" w:lineRule="auto"/>
      </w:pPr>
      <w:r>
        <w:rPr>
          <w:rFonts w:ascii="DejaVu Serif" w:hAnsi="DejaVu Serif"/>
          <w:b w:val="0"/>
          <w:i/>
          <w:color w:val="5E6873"/>
          <w:sz w:val="20"/>
        </w:rPr>
        <w:t>Time@Space; event@state; C@C; packet; morphism; Reper; cross-ratio; harmonic quadruple; D/Dom; Desargues–Kurpishev theorem; Kurpishev FOS; NAPG; PILOT-01; RBD; RPD; KLT-RBD; Kurpishev PN.2; R⋆R; hidden structural alternative; minimax lower bound; independent verification.</w:t>
      </w:r>
    </w:p>
    <w:p>
      <w:pPr>
        <w:pStyle w:val="Heading1"/>
        <w:keepNext/>
      </w:pPr>
    </w:p>
    <w:tbl>
      <w:tblPr>
        <w:tblW w:type="auto" w:w="0"/>
        <w:jc w:val="center"/>
        <w:tblLayout w:type="autofit"/>
        <w:tblLook w:firstColumn="1" w:firstRow="1" w:lastColumn="0" w:lastRow="0" w:noHBand="0" w:noVBand="1" w:val="04A0"/>
      </w:tblPr>
      <w:tblGrid>
        <w:gridCol w:w="10092"/>
      </w:tblGrid>
      <w:tr>
        <w:trPr>
          <w:cantSplit/>
          <w:tblHeader w:val="true"/>
          <w:cantSplit/>
          <w:tblHeader w:val="true"/>
        </w:trPr>
        <w:tc>
          <w:tcPr>
            <w:tcW w:type="dxa" w:w="10092"/>
            <w:shd w:fill="EAF1F7"/>
            <w:tcMar>
              <w:top w:w="90" w:type="dxa"/>
              <w:start w:w="100" w:type="dxa"/>
              <w:bottom w:w="90" w:type="dxa"/>
              <w:end w:w="100" w:type="dxa"/>
            </w:tcMar>
            <w:vAlign w:val="center"/>
          </w:tcPr>
          <w:p>
            <w:pPr>
              <w:keepNext w:val="0"/>
              <w:spacing w:before="0" w:after="0" w:line="252" w:lineRule="auto"/>
            </w:pPr>
            <w:r>
              <w:rPr>
                <w:rFonts w:ascii="DejaVu Serif" w:hAnsi="DejaVu Serif" w:eastAsia="DejaVu Serif"/>
                <w:b/>
                <w:i w:val="0"/>
                <w:color w:val="2E5F8A"/>
                <w:sz w:val="18"/>
              </w:rPr>
              <w:t xml:space="preserve">MATHEMATICAL BOUNDARY.  </w:t>
            </w:r>
            <w:r>
              <w:rPr>
                <w:rFonts w:ascii="DejaVu Serif" w:hAnsi="DejaVu Serif" w:eastAsia="DejaVu Serif"/>
                <w:b w:val="0"/>
                <w:i w:val="0"/>
                <w:color w:val="111111"/>
                <w:sz w:val="18"/>
              </w:rPr>
              <w:t>PN2-7.1 has status D2 only inside the explicitly specified model; the uniform form PN2-9.1 has status D1 when a positive constant is proved. PO-11 and PO-12 are closed only at the abstract level; C1 concerns the auxiliary algebra A₂.</w:t>
            </w:r>
          </w:p>
        </w:tc>
      </w:tr>
    </w:tbl>
    <w:tbl>
      <w:tblPr>
        <w:tblW w:type="auto" w:w="0"/>
        <w:jc w:val="center"/>
        <w:tblLayout w:type="autofit"/>
        <w:tblLook w:firstColumn="1" w:firstRow="1" w:lastColumn="0" w:lastRow="0" w:noHBand="0" w:noVBand="1" w:val="04A0"/>
      </w:tblPr>
      <w:tblGrid>
        <w:gridCol w:w="10092"/>
      </w:tblGrid>
      <w:tr>
        <w:trPr>
          <w:cantSplit/>
          <w:tblHeader w:val="true"/>
          <w:cantSplit/>
          <w:tblHeader w:val="true"/>
        </w:trPr>
        <w:tc>
          <w:tcPr>
            <w:tcW w:type="dxa" w:w="10092"/>
            <w:shd w:fill="F8E6E4"/>
            <w:tcMar>
              <w:top w:w="90" w:type="dxa"/>
              <w:start w:w="100" w:type="dxa"/>
              <w:bottom w:w="90" w:type="dxa"/>
              <w:end w:w="100" w:type="dxa"/>
            </w:tcMar>
            <w:vAlign w:val="center"/>
          </w:tcPr>
          <w:p>
            <w:pPr>
              <w:keepNext w:val="0"/>
              <w:spacing w:before="0" w:after="0" w:line="252" w:lineRule="auto"/>
            </w:pPr>
            <w:r>
              <w:rPr>
                <w:rFonts w:ascii="DejaVu Serif" w:hAnsi="DejaVu Serif" w:eastAsia="DejaVu Serif"/>
                <w:b/>
                <w:i w:val="0"/>
                <w:color w:val="A32626"/>
                <w:sz w:val="18"/>
              </w:rPr>
              <w:t xml:space="preserve">PHYSICAL BOUNDARY.  </w:t>
            </w:r>
            <w:r>
              <w:rPr>
                <w:rFonts w:ascii="DejaVu Serif" w:hAnsi="DejaVu Serif" w:eastAsia="DejaVu Serif"/>
                <w:b w:val="0"/>
                <w:i w:val="0"/>
                <w:color w:val="111111"/>
                <w:sz w:val="18"/>
              </w:rPr>
              <w:t>F-1–F-14 retain D0/M0–M1/E0/R1. No experimental confirmation and no independent replication are present. EMP-PLAN is not EMP-OBS.</w:t>
            </w:r>
          </w:p>
        </w:tc>
      </w:tr>
    </w:tbl>
    <w:tbl>
      <w:tblPr>
        <w:tblW w:type="auto" w:w="0"/>
        <w:jc w:val="center"/>
        <w:tblLayout w:type="autofit"/>
        <w:tblLook w:firstColumn="1" w:firstRow="1" w:lastColumn="0" w:lastRow="0" w:noHBand="0" w:noVBand="1" w:val="04A0"/>
      </w:tblPr>
      <w:tblGrid>
        <w:gridCol w:w="10092"/>
      </w:tblGrid>
      <w:tr>
        <w:trPr>
          <w:cantSplit/>
          <w:tblHeader w:val="true"/>
          <w:cantSplit/>
          <w:tblHeader w:val="true"/>
        </w:trPr>
        <w:tc>
          <w:tcPr>
            <w:tcW w:type="dxa" w:w="10092"/>
            <w:shd w:fill="F6EEDB"/>
            <w:tcMar>
              <w:top w:w="90" w:type="dxa"/>
              <w:start w:w="100" w:type="dxa"/>
              <w:bottom w:w="90" w:type="dxa"/>
              <w:end w:w="100" w:type="dxa"/>
            </w:tcMar>
            <w:vAlign w:val="center"/>
          </w:tcPr>
          <w:p>
            <w:pPr>
              <w:keepNext w:val="0"/>
              <w:spacing w:before="0" w:after="0" w:line="252" w:lineRule="auto"/>
            </w:pPr>
            <w:r>
              <w:rPr>
                <w:rFonts w:ascii="DejaVu Serif" w:hAnsi="DejaVu Serif" w:eastAsia="DejaVu Serif"/>
                <w:b/>
                <w:i w:val="0"/>
                <w:color w:val="A87918"/>
                <w:sz w:val="18"/>
              </w:rPr>
              <w:t xml:space="preserve">LEGAL / PROVENANCE BOUNDARY.  </w:t>
            </w:r>
            <w:r>
              <w:rPr>
                <w:rFonts w:ascii="DejaVu Serif" w:hAnsi="DejaVu Serif" w:eastAsia="DejaVu Serif"/>
                <w:b w:val="0"/>
                <w:i w:val="0"/>
                <w:color w:val="111111"/>
                <w:sz w:val="18"/>
              </w:rPr>
              <w:t>A document, database registration, signature, or SHA-256 hash establishes provenance or integrity of an artefact; it does not establish mathematical or physical truth.</w:t>
            </w:r>
          </w:p>
        </w:tc>
      </w:tr>
    </w:tbl>
    <w:p>
      <w:pPr>
        <w:pStyle w:val="Heading1"/>
        <w:keepNext/>
      </w:pPr>
    </w:p>
    <w:p>
      <w:pPr>
        <w:keepNext w:val="0"/>
        <w:spacing w:before="0" w:after="100" w:line="259" w:lineRule="auto"/>
      </w:pPr>
      <w:r>
        <w:rPr>
          <w:rFonts w:ascii="DejaVu Serif" w:hAnsi="DejaVu Serif"/>
          <w:b w:val="0"/>
          <w:i w:val="0"/>
          <w:color w:val="111111"/>
          <w:sz w:val="20"/>
        </w:rPr>
        <w:t>The ledger below is normative for the translation of Volumes I and II and must remain compatible with the frozen English Volume III. An alternative rendering is permitted only through an explicit alias→canonical entry and a recorded reason.</w:t>
      </w:r>
    </w:p>
    <w:tbl>
      <w:tblPr>
        <w:tblStyle w:val="TableGrid"/>
        <w:tblW w:type="auto" w:w="0"/>
        <w:jc w:val="center"/>
        <w:tblLayout w:type="fixed"/>
        <w:tblLook w:firstColumn="1" w:firstRow="1" w:lastColumn="0" w:lastRow="0" w:noHBand="0" w:noVBand="1" w:val="04A0"/>
      </w:tblPr>
      <w:tblGrid>
        <w:gridCol w:w="3364"/>
        <w:gridCol w:w="3364"/>
        <w:gridCol w:w="3364"/>
      </w:tblGrid>
      <w:tr>
        <w:trPr>
          <w:tblHeader w:val="true"/>
          <w:cantSplit/>
          <w:cantSplit/>
          <w:tblHeader w:val="true"/>
          <w:cantSplit/>
          <w:tblHeader w:val="true"/>
        </w:trPr>
        <w:tc>
          <w:tcPr>
            <w:tcW w:type="dxa" w:w="2721"/>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8"/>
              </w:rPr>
              <w:t>Russian canonical term</w:t>
            </w:r>
          </w:p>
        </w:tc>
        <w:tc>
          <w:tcPr>
            <w:tcW w:type="dxa" w:w="2891"/>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8"/>
              </w:rPr>
              <w:t>Normative English form</w:t>
            </w:r>
          </w:p>
        </w:tc>
        <w:tc>
          <w:tcPr>
            <w:tcW w:type="dxa" w:w="3969"/>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8"/>
              </w:rPr>
              <w:t>Translation safeguard</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Время@Пространство</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Time@Space</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Authorial ontological order; not silently replaced by spacetime.</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событие@состояние</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event@state</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Preserve the @ coupling.</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C@C</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C@C</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Canonical symbol; never expanded into a Cartesian product.</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пакет</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packet</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A typed structured object, not an ordinary data bundle.</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пакетный объект</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packet object</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Retain declared carrier and additional structure.</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пакетный морфизм</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packet morphism</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A typed map preserving declared packet structure.</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Reper</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Reper</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Authorial term; never translated as frame/reference point.</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Reper(R,I,U;D)</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Reper(R,I,U;D)</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Typed quadruple of reality, idea/invariant, possibilities, and foundation.</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достаточное основание</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sufficient foundation</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Canonical rendering of D.</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область допустимости</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admissible domain</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Canonical rendering of Dom.</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D/Dom-барьер</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D/Dom barrier</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D and Dom are distinct and jointly required.</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кросс-соотношение</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cross-ratio</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Classical prior art.</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гармоническая четвёрка</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harmonic quadruple</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Projective quadruple satisfying the declared harmonic relation.</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проективно-гармоническая координата</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projective-harmonic coordinate</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Not a physical constant or probability.</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дефект истинности</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truth defect</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Diagnostic quantity; not a p-value.</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ФОС Курпишева</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Kurpishev Fundamental Support Connectivity (FOS)</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Retain FOS as the project abbreviation.</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Размер@Размерность</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Size@Dimension</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Authorial compound; preserve the @ sign.</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НАПГ / NAPG</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NAPG</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Nonassociative Packet Geometry.</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ассоциатор</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associator</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Do not translate as association.</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неассоциативность</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nonassociativity</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Algebraic property only within the declared operation.</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R⋆R</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R⋆R</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Quadratic packet object; distinct from Hodge star and binary multiplication.</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оператор Ходжа</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Hodge operator</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Classical prior art; notation must follow local legend.</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ПН.2 Курпишева</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Kurpishev PN.2</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Mathematical model theorem; physical export remains conditional.</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скрытая скобочная альтернатива</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hidden bracketing alternative</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Structural alternative in the PN.2 model.</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минимаксная граница</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minimax lower bound</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Preserve local/uniform hypotheses.</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доказательное обязательство</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evidence obligation</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Use PO identifiers unchanged.</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доказательный паспорт</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evidence passport</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Structured record of assumptions, domain, status, and result.</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вычислительный сертификат</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computational certificate</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NUM evidence; not EMP-OBS.</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формульная цепочка</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formula chain</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Typed chain of formula transitions.</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gap-узел</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gap node</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Missing domain/foundation/bridge; not a theorem.</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Fano barrier</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Fano barrier</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Classical Fano plane used within an authorial obstruction architecture.</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RBD/RPD</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RBD/RPD</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Keep abbreviations; do not collapse database and method layers.</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предсказательный Reper</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predictive Reper</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A certified candidate, not an oracle output.</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прогнозный коридор</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forecast corridor</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Set-valued/interval output with coverage conditions.</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conformal calibration</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conformal calibration</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Statistical prior art; preserve coverage qualifiers.</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воздержание</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ABSTAIN</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Correct output under blockers; do not soften to “uncertain”.</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blocker-safe</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blocker-safe</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A mandatory propagation rule.</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E-процесс</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e-process</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Sequential evidence process.</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неравенство Вилля</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Ville’s inequality</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Classical prior art.</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необязательная остановка</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optional stopping</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Preserve the statistical technical meaning.</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ковариатный сдвиг</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covariate shift</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Distributional shift in covariates.</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постселекция</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post-selection</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Selection after observing outcomes.</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transportability</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transportability</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Keep technical term; do not replace by transferability without review.</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идентифицируемость</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identifiability</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Mathematical/statistical property.</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причинная граница</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causal boundary</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Limit of causal inference, not geometric boundary unless specified.</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независимая проверка</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independent verification</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Requires an independent runner or experiment.</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EXT-RUN</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EXT-RUN</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Untranslated protocol identifier.</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EMP-PLAN</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EMP-PLAN</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Empirical plan, not observation.</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EMP-OBS</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EMP-OBS</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Independent empirical observation.</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пять пределов</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five limits</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The declared admissibility lattice of the method.</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метрика несоответствия</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mismatch metric</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Defined metric or pseudometric only where specified.</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устойчивая перестройка</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stable rebuilding</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Controlled update of the Reper graph.</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агрегирование ветвей</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branch aggregation</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Preserve branch structure and regret conditions.</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граница сожаления</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regret bound</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Statistical/online-learning term.</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source-card</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source card</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Exact provenance record.</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происхождение</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provenance</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Data and claim lineage.</w:t>
            </w:r>
          </w:p>
        </w:tc>
      </w:tr>
      <w:tr>
        <w:trPr>
          <w:cantSplit/>
          <w:cantSplit/>
          <w:cantSplit/>
        </w:trPr>
        <w:tc>
          <w:tcPr>
            <w:tcW w:type="dxa" w:w="272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контрольный хеш</w:t>
            </w:r>
          </w:p>
        </w:tc>
        <w:tc>
          <w:tcPr>
            <w:tcW w:type="dxa" w:w="289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checksum / cryptographic hash</w:t>
            </w:r>
          </w:p>
        </w:tc>
        <w:tc>
          <w:tcPr>
            <w:tcW w:type="dxa" w:w="396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Integrity evidence, not truth evidence.</w:t>
            </w:r>
          </w:p>
        </w:tc>
      </w:tr>
      <w:tr>
        <w:trPr>
          <w:cantSplit/>
          <w:cantSplit/>
          <w:cantSplit/>
        </w:trPr>
        <w:tc>
          <w:tcPr>
            <w:tcW w:type="dxa" w:w="272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статус-замок</w:t>
            </w:r>
          </w:p>
        </w:tc>
        <w:tc>
          <w:tcPr>
            <w:tcW w:type="dxa" w:w="289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status lock</w:t>
            </w:r>
          </w:p>
        </w:tc>
        <w:tc>
          <w:tcPr>
            <w:tcW w:type="dxa" w:w="396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Prevents truth-layer promotion.</w:t>
            </w:r>
          </w:p>
        </w:tc>
      </w:tr>
    </w:tbl>
    <w:p>
      <w:pPr>
        <w:pStyle w:val="Heading1"/>
        <w:keepNext/>
      </w:pPr>
    </w:p>
    <w:tbl>
      <w:tblPr>
        <w:tblStyle w:val="TableGrid"/>
        <w:tblW w:type="auto" w:w="0"/>
        <w:jc w:val="center"/>
        <w:tblLayout w:type="fixed"/>
        <w:tblLook w:firstColumn="1" w:firstRow="1" w:lastColumn="0" w:lastRow="0" w:noHBand="0" w:noVBand="1" w:val="04A0"/>
      </w:tblPr>
      <w:tblGrid>
        <w:gridCol w:w="3364"/>
        <w:gridCol w:w="3364"/>
        <w:gridCol w:w="3364"/>
      </w:tblGrid>
      <w:tr>
        <w:trPr>
          <w:tblHeader w:val="true"/>
          <w:cantSplit/>
          <w:cantSplit/>
          <w:tblHeader w:val="true"/>
          <w:cantSplit/>
          <w:tblHeader w:val="true"/>
        </w:trPr>
        <w:tc>
          <w:tcPr>
            <w:tcW w:type="dxa" w:w="1984"/>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8"/>
              </w:rPr>
              <w:t>Symbol</w:t>
            </w:r>
          </w:p>
        </w:tc>
        <w:tc>
          <w:tcPr>
            <w:tcW w:type="dxa" w:w="2948"/>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8"/>
              </w:rPr>
              <w:t>Canonical reading</w:t>
            </w:r>
          </w:p>
        </w:tc>
        <w:tc>
          <w:tcPr>
            <w:tcW w:type="dxa" w:w="4649"/>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8"/>
              </w:rPr>
              <w:t>Prohibition / safeguard</w:t>
            </w:r>
          </w:p>
        </w:tc>
      </w:tr>
      <w:tr>
        <w:trPr>
          <w:cantSplit/>
          <w:cantSplit/>
          <w:cantSplit/>
        </w:trPr>
        <w:tc>
          <w:tcPr>
            <w:tcW w:type="dxa" w:w="198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C@C</w:t>
            </w:r>
          </w:p>
        </w:tc>
        <w:tc>
          <w:tcPr>
            <w:tcW w:type="dxa" w:w="294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event@state object</w:t>
            </w:r>
          </w:p>
        </w:tc>
        <w:tc>
          <w:tcPr>
            <w:tcW w:type="dxa" w:w="464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Not a Cartesian product and not an ordinary ordered pair without the source axioms.</w:t>
            </w:r>
          </w:p>
        </w:tc>
      </w:tr>
      <w:tr>
        <w:trPr>
          <w:cantSplit/>
          <w:cantSplit/>
          <w:cantSplit/>
        </w:trPr>
        <w:tc>
          <w:tcPr>
            <w:tcW w:type="dxa" w:w="198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w:t>
            </w:r>
          </w:p>
        </w:tc>
        <w:tc>
          <w:tcPr>
            <w:tcW w:type="dxa" w:w="294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declared packet or internal binary operation</w:t>
            </w:r>
          </w:p>
        </w:tc>
        <w:tc>
          <w:tcPr>
            <w:tcW w:type="dxa" w:w="464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Meaning is local; never replace by ⋆ or multiplication automatically.</w:t>
            </w:r>
          </w:p>
        </w:tc>
      </w:tr>
      <w:tr>
        <w:trPr>
          <w:cantSplit/>
          <w:cantSplit/>
          <w:cantSplit/>
        </w:trPr>
        <w:tc>
          <w:tcPr>
            <w:tcW w:type="dxa" w:w="198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⋆ₕ / Hodge star</w:t>
            </w:r>
          </w:p>
        </w:tc>
        <w:tc>
          <w:tcPr>
            <w:tcW w:type="dxa" w:w="294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Hodge duality operator</w:t>
            </w:r>
          </w:p>
        </w:tc>
        <w:tc>
          <w:tcPr>
            <w:tcW w:type="dxa" w:w="464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Classical operator; distinct from the quadratic NAPG object.</w:t>
            </w:r>
          </w:p>
        </w:tc>
      </w:tr>
      <w:tr>
        <w:trPr>
          <w:cantSplit/>
          <w:cantSplit/>
          <w:cantSplit/>
        </w:trPr>
        <w:tc>
          <w:tcPr>
            <w:tcW w:type="dxa" w:w="198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R⋆R</w:t>
            </w:r>
          </w:p>
        </w:tc>
        <w:tc>
          <w:tcPr>
            <w:tcW w:type="dxa" w:w="294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quadratic packet object</w:t>
            </w:r>
          </w:p>
        </w:tc>
        <w:tc>
          <w:tcPr>
            <w:tcW w:type="dxa" w:w="464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Not the Hodge star and not a generic product.</w:t>
            </w:r>
          </w:p>
        </w:tc>
      </w:tr>
      <w:tr>
        <w:trPr>
          <w:cantSplit/>
          <w:cantSplit/>
          <w:cantSplit/>
        </w:trPr>
        <w:tc>
          <w:tcPr>
            <w:tcW w:type="dxa" w:w="198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Ass⊙(x,y,z)</w:t>
            </w:r>
          </w:p>
        </w:tc>
        <w:tc>
          <w:tcPr>
            <w:tcW w:type="dxa" w:w="294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associator of the declared operation</w:t>
            </w:r>
          </w:p>
        </w:tc>
        <w:tc>
          <w:tcPr>
            <w:tcW w:type="dxa" w:w="464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Keep bracketing and operation label.</w:t>
            </w:r>
          </w:p>
        </w:tc>
      </w:tr>
      <w:tr>
        <w:trPr>
          <w:cantSplit/>
          <w:cantSplit/>
          <w:cantSplit/>
        </w:trPr>
        <w:tc>
          <w:tcPr>
            <w:tcW w:type="dxa" w:w="198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D</w:t>
            </w:r>
          </w:p>
        </w:tc>
        <w:tc>
          <w:tcPr>
            <w:tcW w:type="dxa" w:w="294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sufficient foundation</w:t>
            </w:r>
          </w:p>
        </w:tc>
        <w:tc>
          <w:tcPr>
            <w:tcW w:type="dxa" w:w="464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Not the same object as Dom.</w:t>
            </w:r>
          </w:p>
        </w:tc>
      </w:tr>
      <w:tr>
        <w:trPr>
          <w:cantSplit/>
          <w:cantSplit/>
          <w:cantSplit/>
        </w:trPr>
        <w:tc>
          <w:tcPr>
            <w:tcW w:type="dxa" w:w="198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Dom</w:t>
            </w:r>
          </w:p>
        </w:tc>
        <w:tc>
          <w:tcPr>
            <w:tcW w:type="dxa" w:w="294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admissible domain</w:t>
            </w:r>
          </w:p>
        </w:tc>
        <w:tc>
          <w:tcPr>
            <w:tcW w:type="dxa" w:w="464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Not a proof or sufficient foundation.</w:t>
            </w:r>
          </w:p>
        </w:tc>
      </w:tr>
      <w:tr>
        <w:trPr>
          <w:cantSplit/>
          <w:cantSplit/>
          <w:cantSplit/>
        </w:trPr>
        <w:tc>
          <w:tcPr>
            <w:tcW w:type="dxa" w:w="198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λ=cr(U,I;R,D)</w:t>
            </w:r>
          </w:p>
        </w:tc>
        <w:tc>
          <w:tcPr>
            <w:tcW w:type="dxa" w:w="294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projective-harmonic coordinate</w:t>
            </w:r>
          </w:p>
        </w:tc>
        <w:tc>
          <w:tcPr>
            <w:tcW w:type="dxa" w:w="464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Not a physical constant, p-value, or truth probability.</w:t>
            </w:r>
          </w:p>
        </w:tc>
      </w:tr>
      <w:tr>
        <w:trPr>
          <w:cantSplit/>
          <w:cantSplit/>
          <w:cantSplit/>
        </w:trPr>
        <w:tc>
          <w:tcPr>
            <w:tcW w:type="dxa" w:w="198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δ_truth=|λ+1|</w:t>
            </w:r>
          </w:p>
        </w:tc>
        <w:tc>
          <w:tcPr>
            <w:tcW w:type="dxa" w:w="294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truth defect</w:t>
            </w:r>
          </w:p>
        </w:tc>
        <w:tc>
          <w:tcPr>
            <w:tcW w:type="dxa" w:w="464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Diagnostic consistency coordinate only.</w:t>
            </w:r>
          </w:p>
        </w:tc>
      </w:tr>
      <w:tr>
        <w:trPr>
          <w:cantSplit/>
          <w:cantSplit/>
          <w:cantSplit/>
        </w:trPr>
        <w:tc>
          <w:tcPr>
            <w:tcW w:type="dxa" w:w="198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ABSTAIN</w:t>
            </w:r>
          </w:p>
        </w:tc>
        <w:tc>
          <w:tcPr>
            <w:tcW w:type="dxa" w:w="294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correct abstention verdict</w:t>
            </w:r>
          </w:p>
        </w:tc>
        <w:tc>
          <w:tcPr>
            <w:tcW w:type="dxa" w:w="464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Do not translate as failure, uncertainty, or refusal without the technical label.</w:t>
            </w:r>
          </w:p>
        </w:tc>
      </w:tr>
    </w:tbl>
    <w:p>
      <w:pPr>
        <w:pStyle w:val="Heading1"/>
        <w:keepNext/>
      </w:pPr>
    </w:p>
    <w:tbl>
      <w:tblPr>
        <w:tblStyle w:val="TableGrid"/>
        <w:tblW w:type="auto" w:w="0"/>
        <w:jc w:val="center"/>
        <w:tblLayout w:type="fixed"/>
        <w:tblLook w:firstColumn="1" w:firstRow="1" w:lastColumn="0" w:lastRow="0" w:noHBand="0" w:noVBand="1" w:val="04A0"/>
      </w:tblPr>
      <w:tblGrid>
        <w:gridCol w:w="3364"/>
        <w:gridCol w:w="3364"/>
        <w:gridCol w:w="3364"/>
      </w:tblGrid>
      <w:tr>
        <w:trPr>
          <w:tblHeader w:val="true"/>
          <w:cantSplit/>
          <w:cantSplit/>
          <w:tblHeader w:val="true"/>
          <w:cantSplit/>
          <w:tblHeader w:val="true"/>
        </w:trPr>
        <w:tc>
          <w:tcPr>
            <w:tcW w:type="dxa" w:w="1474"/>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8"/>
              </w:rPr>
              <w:t>Code</w:t>
            </w:r>
          </w:p>
        </w:tc>
        <w:tc>
          <w:tcPr>
            <w:tcW w:type="dxa" w:w="2721"/>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8"/>
              </w:rPr>
              <w:t>English meaning</w:t>
            </w:r>
          </w:p>
        </w:tc>
        <w:tc>
          <w:tcPr>
            <w:tcW w:type="dxa" w:w="5386"/>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8"/>
              </w:rPr>
              <w:t>Use in the derivative</w:t>
            </w:r>
          </w:p>
        </w:tc>
      </w:tr>
      <w:tr>
        <w:trPr>
          <w:cantSplit/>
          <w:cantSplit/>
          <w:cantSplit/>
        </w:trPr>
        <w:tc>
          <w:tcPr>
            <w:tcW w:type="dxa" w:w="147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CL</w:t>
            </w:r>
          </w:p>
        </w:tc>
        <w:tc>
          <w:tcPr>
            <w:tcW w:type="dxa" w:w="272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classical prior art</w:t>
            </w:r>
          </w:p>
        </w:tc>
        <w:tc>
          <w:tcPr>
            <w:tcW w:type="dxa" w:w="5386"/>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Established external mathematical background; authorial attribution remains external.</w:t>
            </w:r>
          </w:p>
        </w:tc>
      </w:tr>
      <w:tr>
        <w:trPr>
          <w:cantSplit/>
          <w:cantSplit/>
          <w:cantSplit/>
        </w:trPr>
        <w:tc>
          <w:tcPr>
            <w:tcW w:type="dxa" w:w="147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DEF-A</w:t>
            </w:r>
          </w:p>
        </w:tc>
        <w:tc>
          <w:tcPr>
            <w:tcW w:type="dxa" w:w="272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authorial definition</w:t>
            </w:r>
          </w:p>
        </w:tc>
        <w:tc>
          <w:tcPr>
            <w:tcW w:type="dxa" w:w="5386"/>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Defined object or rule; not a theorem.</w:t>
            </w:r>
          </w:p>
        </w:tc>
      </w:tr>
      <w:tr>
        <w:trPr>
          <w:cantSplit/>
          <w:cantSplit/>
          <w:cantSplit/>
        </w:trPr>
        <w:tc>
          <w:tcPr>
            <w:tcW w:type="dxa" w:w="147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LEM</w:t>
            </w:r>
          </w:p>
        </w:tc>
        <w:tc>
          <w:tcPr>
            <w:tcW w:type="dxa" w:w="272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lemma</w:t>
            </w:r>
          </w:p>
        </w:tc>
        <w:tc>
          <w:tcPr>
            <w:tcW w:type="dxa" w:w="5386"/>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Proved auxiliary statement within its hypotheses.</w:t>
            </w:r>
          </w:p>
        </w:tc>
      </w:tr>
      <w:tr>
        <w:trPr>
          <w:cantSplit/>
          <w:cantSplit/>
          <w:cantSplit/>
        </w:trPr>
        <w:tc>
          <w:tcPr>
            <w:tcW w:type="dxa" w:w="147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PROP</w:t>
            </w:r>
          </w:p>
        </w:tc>
        <w:tc>
          <w:tcPr>
            <w:tcW w:type="dxa" w:w="272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proposition</w:t>
            </w:r>
          </w:p>
        </w:tc>
        <w:tc>
          <w:tcPr>
            <w:tcW w:type="dxa" w:w="5386"/>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Proved statement within its domain.</w:t>
            </w:r>
          </w:p>
        </w:tc>
      </w:tr>
      <w:tr>
        <w:trPr>
          <w:cantSplit/>
          <w:cantSplit/>
          <w:cantSplit/>
        </w:trPr>
        <w:tc>
          <w:tcPr>
            <w:tcW w:type="dxa" w:w="147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THM</w:t>
            </w:r>
          </w:p>
        </w:tc>
        <w:tc>
          <w:tcPr>
            <w:tcW w:type="dxa" w:w="272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theorem</w:t>
            </w:r>
          </w:p>
        </w:tc>
        <w:tc>
          <w:tcPr>
            <w:tcW w:type="dxa" w:w="5386"/>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Proved mathematical result within declared assumptions.</w:t>
            </w:r>
          </w:p>
        </w:tc>
      </w:tr>
      <w:tr>
        <w:trPr>
          <w:cantSplit/>
          <w:cantSplit/>
          <w:cantSplit/>
        </w:trPr>
        <w:tc>
          <w:tcPr>
            <w:tcW w:type="dxa" w:w="147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COND</w:t>
            </w:r>
          </w:p>
        </w:tc>
        <w:tc>
          <w:tcPr>
            <w:tcW w:type="dxa" w:w="272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conditional result</w:t>
            </w:r>
          </w:p>
        </w:tc>
        <w:tc>
          <w:tcPr>
            <w:tcW w:type="dxa" w:w="5386"/>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Depends on an explicit bridge or hypothesis.</w:t>
            </w:r>
          </w:p>
        </w:tc>
      </w:tr>
      <w:tr>
        <w:trPr>
          <w:cantSplit/>
          <w:cantSplit/>
          <w:cantSplit/>
        </w:trPr>
        <w:tc>
          <w:tcPr>
            <w:tcW w:type="dxa" w:w="147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MODEL</w:t>
            </w:r>
          </w:p>
        </w:tc>
        <w:tc>
          <w:tcPr>
            <w:tcW w:type="dxa" w:w="272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model statement</w:t>
            </w:r>
          </w:p>
        </w:tc>
        <w:tc>
          <w:tcPr>
            <w:tcW w:type="dxa" w:w="5386"/>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Valid inside the selected model only.</w:t>
            </w:r>
          </w:p>
        </w:tc>
      </w:tr>
      <w:tr>
        <w:trPr>
          <w:cantSplit/>
          <w:cantSplit/>
          <w:cantSplit/>
        </w:trPr>
        <w:tc>
          <w:tcPr>
            <w:tcW w:type="dxa" w:w="147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NUM</w:t>
            </w:r>
          </w:p>
        </w:tc>
        <w:tc>
          <w:tcPr>
            <w:tcW w:type="dxa" w:w="272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computational certificate</w:t>
            </w:r>
          </w:p>
        </w:tc>
        <w:tc>
          <w:tcPr>
            <w:tcW w:type="dxa" w:w="5386"/>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Numerical or executable verification; not external experiment.</w:t>
            </w:r>
          </w:p>
        </w:tc>
      </w:tr>
      <w:tr>
        <w:trPr>
          <w:cantSplit/>
          <w:cantSplit/>
          <w:cantSplit/>
        </w:trPr>
        <w:tc>
          <w:tcPr>
            <w:tcW w:type="dxa" w:w="147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PHY-HYP</w:t>
            </w:r>
          </w:p>
        </w:tc>
        <w:tc>
          <w:tcPr>
            <w:tcW w:type="dxa" w:w="272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physical hypothesis</w:t>
            </w:r>
          </w:p>
        </w:tc>
        <w:tc>
          <w:tcPr>
            <w:tcW w:type="dxa" w:w="5386"/>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Falsifiable physical proposal without empirical confirmation.</w:t>
            </w:r>
          </w:p>
        </w:tc>
      </w:tr>
      <w:tr>
        <w:trPr>
          <w:cantSplit/>
          <w:cantSplit/>
          <w:cantSplit/>
        </w:trPr>
        <w:tc>
          <w:tcPr>
            <w:tcW w:type="dxa" w:w="147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EMP-PLAN</w:t>
            </w:r>
          </w:p>
        </w:tc>
        <w:tc>
          <w:tcPr>
            <w:tcW w:type="dxa" w:w="272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empirical plan</w:t>
            </w:r>
          </w:p>
        </w:tc>
        <w:tc>
          <w:tcPr>
            <w:tcW w:type="dxa" w:w="5386"/>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Pre-registered or specified test plan.</w:t>
            </w:r>
          </w:p>
        </w:tc>
      </w:tr>
      <w:tr>
        <w:trPr>
          <w:cantSplit/>
          <w:cantSplit/>
          <w:cantSplit/>
        </w:trPr>
        <w:tc>
          <w:tcPr>
            <w:tcW w:type="dxa" w:w="147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EMP-OBS</w:t>
            </w:r>
          </w:p>
        </w:tc>
        <w:tc>
          <w:tcPr>
            <w:tcW w:type="dxa" w:w="272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empirical observation</w:t>
            </w:r>
          </w:p>
        </w:tc>
        <w:tc>
          <w:tcPr>
            <w:tcW w:type="dxa" w:w="5386"/>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Independent observation or experimental result.</w:t>
            </w:r>
          </w:p>
        </w:tc>
      </w:tr>
      <w:tr>
        <w:trPr>
          <w:cantSplit/>
          <w:cantSplit/>
          <w:cantSplit/>
        </w:trPr>
        <w:tc>
          <w:tcPr>
            <w:tcW w:type="dxa" w:w="147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OPEN</w:t>
            </w:r>
          </w:p>
        </w:tc>
        <w:tc>
          <w:tcPr>
            <w:tcW w:type="dxa" w:w="272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open obligation</w:t>
            </w:r>
          </w:p>
        </w:tc>
        <w:tc>
          <w:tcPr>
            <w:tcW w:type="dxa" w:w="5386"/>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Not closed by the current corpus.</w:t>
            </w:r>
          </w:p>
        </w:tc>
      </w:tr>
      <w:tr>
        <w:trPr>
          <w:cantSplit/>
          <w:cantSplit/>
          <w:cantSplit/>
        </w:trPr>
        <w:tc>
          <w:tcPr>
            <w:tcW w:type="dxa" w:w="147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REFUTED</w:t>
            </w:r>
          </w:p>
        </w:tc>
        <w:tc>
          <w:tcPr>
            <w:tcW w:type="dxa" w:w="272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refuted statement</w:t>
            </w:r>
          </w:p>
        </w:tc>
        <w:tc>
          <w:tcPr>
            <w:tcW w:type="dxa" w:w="5386"/>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Counterexample or contradiction established.</w:t>
            </w:r>
          </w:p>
        </w:tc>
      </w:tr>
      <w:tr>
        <w:trPr>
          <w:cantSplit/>
          <w:cantSplit/>
          <w:cantSplit/>
        </w:trPr>
        <w:tc>
          <w:tcPr>
            <w:tcW w:type="dxa" w:w="147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8"/>
              </w:rPr>
              <w:t>ABSTAIN</w:t>
            </w:r>
          </w:p>
        </w:tc>
        <w:tc>
          <w:tcPr>
            <w:tcW w:type="dxa" w:w="272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correct abstention</w:t>
            </w:r>
          </w:p>
        </w:tc>
        <w:tc>
          <w:tcPr>
            <w:tcW w:type="dxa" w:w="5386"/>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8"/>
              </w:rPr>
              <w:t>Mandatory output when a required domain, foundation, bridge, or certificate is missing.</w:t>
            </w:r>
          </w:p>
        </w:tc>
      </w:tr>
    </w:tbl>
    <w:p>
      <w:pPr>
        <w:pStyle w:val="Heading1"/>
        <w:keepNext/>
      </w:pPr>
    </w:p>
    <w:p>
      <w:pPr>
        <w:keepNext w:val="0"/>
        <w:spacing w:before="0" w:after="100" w:line="259" w:lineRule="auto"/>
      </w:pPr>
      <w:r>
        <w:rPr>
          <w:rFonts w:ascii="DejaVu Serif" w:hAnsi="DejaVu Serif" w:eastAsia="DejaVu Serif"/>
          <w:sz w:val="18"/>
        </w:rPr>
        <w:t>The chapter and appendix tables below are the verified static table of contents and RU-to-EN page map. Russian source pages remain the permanent authority locators; English pages are navigation locators for this release only. Linked English titles jump to bookmarked headings in DOCX and PDF.</w:t>
      </w:r>
    </w:p>
    <w:tbl>
      <w:tblPr>
        <w:tblStyle w:val="TableGrid"/>
        <w:tblW w:type="auto" w:w="0"/>
        <w:jc w:val="center"/>
        <w:tblLayout w:type="fixed"/>
        <w:tblLook w:firstColumn="1" w:firstRow="1" w:lastColumn="0" w:lastRow="0" w:noHBand="0" w:noVBand="1" w:val="04A0"/>
      </w:tblPr>
      <w:tblGrid>
        <w:gridCol w:w="2018"/>
        <w:gridCol w:w="2018"/>
        <w:gridCol w:w="2018"/>
        <w:gridCol w:w="2018"/>
        <w:gridCol w:w="2018"/>
      </w:tblGrid>
      <w:tr>
        <w:trPr>
          <w:tblHeader w:val="true"/>
          <w:cantSplit/>
          <w:cantSplit/>
          <w:tblHeader w:val="true"/>
          <w:cantSplit/>
          <w:tblHeader w:val="true"/>
        </w:trPr>
        <w:tc>
          <w:tcPr>
            <w:tcW w:type="dxa" w:w="567"/>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5"/>
              </w:rPr>
              <w:t>No.</w:t>
            </w:r>
          </w:p>
        </w:tc>
        <w:tc>
          <w:tcPr>
            <w:tcW w:type="dxa" w:w="3288"/>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5"/>
              </w:rPr>
              <w:t>Russian canonical title</w:t>
            </w:r>
          </w:p>
        </w:tc>
        <w:tc>
          <w:tcPr>
            <w:tcW w:type="dxa" w:w="3798"/>
            <w:shd w:fill="173B63"/>
            <w:tcMar>
              <w:top w:w="90" w:type="dxa"/>
              <w:start w:w="100" w:type="dxa"/>
              <w:bottom w:w="90" w:type="dxa"/>
              <w:end w:w="100" w:type="dxa"/>
            </w:tcMar>
            <w:vAlign w:val="center"/>
          </w:tcPr>
          <w:p>
            <w:r>
              <w:rPr>
                <w:rFonts w:ascii="DejaVu Serif" w:hAnsi="DejaVu Serif" w:eastAsia="DejaVu Serif"/>
                <w:sz w:val="15"/>
              </w:rPr>
              <w:t>Controlled English title</w:t>
            </w:r>
          </w:p>
        </w:tc>
        <w:tc>
          <w:tcPr>
            <w:tcW w:type="dxa" w:w="680"/>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5"/>
              </w:rPr>
              <w:t>RU p.</w:t>
            </w:r>
          </w:p>
        </w:tc>
        <w:tc>
          <w:tcPr>
            <w:tcW w:type="dxa" w:w="1361"/>
            <w:shd w:fill="173B63"/>
            <w:tcMar>
              <w:top w:w="90" w:type="dxa"/>
              <w:start w:w="100" w:type="dxa"/>
              <w:bottom w:w="90" w:type="dxa"/>
              <w:end w:w="100" w:type="dxa"/>
            </w:tcMar>
            <w:vAlign w:val="center"/>
          </w:tcPr>
          <w:p>
            <w:r>
              <w:rPr>
                <w:rFonts w:ascii="DejaVu Serif" w:hAnsi="DejaVu Serif" w:eastAsia="DejaVu Serif"/>
                <w:sz w:val="15"/>
              </w:rPr>
              <w:t>EN p.</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1</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Время@Пространство и стратифицированная онтология</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01" w:history="1">
              <w:r>
                <w:rPr>
                  <w:rStyle w:val="Hyperlink"/>
                  <w:color w:val="2E5F8A"/>
                  <w:u w:val="single"/>
                  <w:rFonts w:ascii="DejaVu Serif" w:hAnsi="DejaVu Serif" w:eastAsia="DejaVu Serif"/>
                  <w:sz w:val="14"/>
                </w:rPr>
                <w:t>Time@Space and Stratified Ontology</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5</w:t>
            </w:r>
          </w:p>
        </w:tc>
        <w:tc>
          <w:tcPr>
            <w:tcW w:type="dxa" w:w="1361"/>
            <w:tcMar>
              <w:top w:w="90" w:type="dxa"/>
              <w:start w:w="100" w:type="dxa"/>
              <w:bottom w:w="90" w:type="dxa"/>
              <w:end w:w="100" w:type="dxa"/>
            </w:tcMar>
            <w:vAlign w:val="center"/>
          </w:tcPr>
          <w:p>
            <w:r>
              <w:t>19</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C@C: событие@состояние как минимальный объект</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02" w:history="1">
              <w:r>
                <w:rPr>
                  <w:rStyle w:val="Hyperlink"/>
                  <w:color w:val="2E5F8A"/>
                  <w:u w:val="single"/>
                  <w:rFonts w:ascii="DejaVu Serif" w:hAnsi="DejaVu Serif" w:eastAsia="DejaVu Serif"/>
                  <w:sz w:val="14"/>
                </w:rPr>
                <w:t>C@C: event@state as the Minimal Object</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9</w:t>
            </w:r>
          </w:p>
        </w:tc>
        <w:tc>
          <w:tcPr>
            <w:tcW w:type="dxa" w:w="1361"/>
            <w:shd w:fill="F7F9FB"/>
            <w:tcMar>
              <w:top w:w="90" w:type="dxa"/>
              <w:start w:w="100" w:type="dxa"/>
              <w:bottom w:w="90" w:type="dxa"/>
              <w:end w:w="100" w:type="dxa"/>
            </w:tcMar>
            <w:vAlign w:val="center"/>
          </w:tcPr>
          <w:p>
            <w:r>
              <w:t>21</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3</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Пакетные объекты и категория Pack</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03" w:history="1">
              <w:r>
                <w:rPr>
                  <w:rStyle w:val="Hyperlink"/>
                  <w:color w:val="2E5F8A"/>
                  <w:u w:val="single"/>
                  <w:rFonts w:ascii="DejaVu Serif" w:hAnsi="DejaVu Serif" w:eastAsia="DejaVu Serif"/>
                  <w:sz w:val="14"/>
                </w:rPr>
                <w:t>Packet Objects and the Category Pack</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13</w:t>
            </w:r>
          </w:p>
        </w:tc>
        <w:tc>
          <w:tcPr>
            <w:tcW w:type="dxa" w:w="1361"/>
            <w:tcMar>
              <w:top w:w="90" w:type="dxa"/>
              <w:start w:w="100" w:type="dxa"/>
              <w:bottom w:w="90" w:type="dxa"/>
              <w:end w:w="100" w:type="dxa"/>
            </w:tcMar>
            <w:vAlign w:val="center"/>
          </w:tcPr>
          <w:p>
            <w:r>
              <w:t>23</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4</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Пакетные морфизмы, редукции и законы сохранения</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04" w:history="1">
              <w:r>
                <w:rPr>
                  <w:rStyle w:val="Hyperlink"/>
                  <w:color w:val="2E5F8A"/>
                  <w:u w:val="single"/>
                  <w:rFonts w:ascii="DejaVu Serif" w:hAnsi="DejaVu Serif" w:eastAsia="DejaVu Serif"/>
                  <w:sz w:val="14"/>
                </w:rPr>
                <w:t>Packet Morphisms, Reductions, and Conservation Laws</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18</w:t>
            </w:r>
          </w:p>
        </w:tc>
        <w:tc>
          <w:tcPr>
            <w:tcW w:type="dxa" w:w="1361"/>
            <w:shd w:fill="F7F9FB"/>
            <w:tcMar>
              <w:top w:w="90" w:type="dxa"/>
              <w:start w:w="100" w:type="dxa"/>
              <w:bottom w:w="90" w:type="dxa"/>
              <w:end w:w="100" w:type="dxa"/>
            </w:tcMar>
            <w:vAlign w:val="center"/>
          </w:tcPr>
          <w:p>
            <w:r>
              <w:t>26</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5</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Reper(R,I,U;D): определение и аксиоматика</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05" w:history="1">
              <w:r>
                <w:rPr>
                  <w:rStyle w:val="Hyperlink"/>
                  <w:color w:val="2E5F8A"/>
                  <w:u w:val="single"/>
                  <w:rFonts w:ascii="DejaVu Serif" w:hAnsi="DejaVu Serif" w:eastAsia="DejaVu Serif"/>
                  <w:sz w:val="14"/>
                </w:rPr>
                <w:t>Reper(R,I,U;D): Definition and Axioms</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19</w:t>
            </w:r>
          </w:p>
        </w:tc>
        <w:tc>
          <w:tcPr>
            <w:tcW w:type="dxa" w:w="1361"/>
            <w:tcMar>
              <w:top w:w="90" w:type="dxa"/>
              <w:start w:w="100" w:type="dxa"/>
              <w:bottom w:w="90" w:type="dxa"/>
              <w:end w:w="100" w:type="dxa"/>
            </w:tcMar>
            <w:vAlign w:val="center"/>
          </w:tcPr>
          <w:p>
            <w:r>
              <w:t>28</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6</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Проективно-гармоническое кросс-соотношение</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06" w:history="1">
              <w:r>
                <w:rPr>
                  <w:rStyle w:val="Hyperlink"/>
                  <w:color w:val="2E5F8A"/>
                  <w:u w:val="single"/>
                  <w:rFonts w:ascii="DejaVu Serif" w:hAnsi="DejaVu Serif" w:eastAsia="DejaVu Serif"/>
                  <w:sz w:val="14"/>
                </w:rPr>
                <w:t>Projective-Harmonic Cross-Ratio</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23</w:t>
            </w:r>
          </w:p>
        </w:tc>
        <w:tc>
          <w:tcPr>
            <w:tcW w:type="dxa" w:w="1361"/>
            <w:shd w:fill="F7F9FB"/>
            <w:tcMar>
              <w:top w:w="90" w:type="dxa"/>
              <w:start w:w="100" w:type="dxa"/>
              <w:bottom w:w="90" w:type="dxa"/>
              <w:end w:w="100" w:type="dxa"/>
            </w:tcMar>
            <w:vAlign w:val="center"/>
          </w:tcPr>
          <w:p>
            <w:r>
              <w:t>31</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7</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D/Dom и достаточное основание</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07" w:history="1">
              <w:r>
                <w:rPr>
                  <w:rStyle w:val="Hyperlink"/>
                  <w:color w:val="2E5F8A"/>
                  <w:u w:val="single"/>
                  <w:rFonts w:ascii="DejaVu Serif" w:hAnsi="DejaVu Serif" w:eastAsia="DejaVu Serif"/>
                  <w:sz w:val="14"/>
                </w:rPr>
                <w:t>D/Dom and Sufficient Foundation</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27</w:t>
            </w:r>
          </w:p>
        </w:tc>
        <w:tc>
          <w:tcPr>
            <w:tcW w:type="dxa" w:w="1361"/>
            <w:tcMar>
              <w:top w:w="90" w:type="dxa"/>
              <w:start w:w="100" w:type="dxa"/>
              <w:bottom w:w="90" w:type="dxa"/>
              <w:end w:w="100" w:type="dxa"/>
            </w:tcMar>
            <w:vAlign w:val="center"/>
          </w:tcPr>
          <w:p>
            <w:r>
              <w:t>34</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8</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Пакетные законы логики и правила вывода</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08" w:history="1">
              <w:r>
                <w:rPr>
                  <w:rStyle w:val="Hyperlink"/>
                  <w:color w:val="2E5F8A"/>
                  <w:u w:val="single"/>
                  <w:rFonts w:ascii="DejaVu Serif" w:hAnsi="DejaVu Serif" w:eastAsia="DejaVu Serif"/>
                  <w:sz w:val="14"/>
                </w:rPr>
                <w:t>Packet Laws of Logic and Rules of Inference</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31</w:t>
            </w:r>
          </w:p>
        </w:tc>
        <w:tc>
          <w:tcPr>
            <w:tcW w:type="dxa" w:w="1361"/>
            <w:shd w:fill="F7F9FB"/>
            <w:tcMar>
              <w:top w:w="90" w:type="dxa"/>
              <w:start w:w="100" w:type="dxa"/>
              <w:bottom w:w="90" w:type="dxa"/>
              <w:end w:w="100" w:type="dxa"/>
            </w:tcMar>
            <w:vAlign w:val="center"/>
          </w:tcPr>
          <w:p>
            <w:r>
              <w:t>37</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9</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Теорема Дезарга–Курпишева</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09" w:history="1">
              <w:r>
                <w:rPr>
                  <w:rStyle w:val="Hyperlink"/>
                  <w:color w:val="2E5F8A"/>
                  <w:u w:val="single"/>
                  <w:rFonts w:ascii="DejaVu Serif" w:hAnsi="DejaVu Serif" w:eastAsia="DejaVu Serif"/>
                  <w:sz w:val="14"/>
                </w:rPr>
                <w:t>Desargues–Kurpishev Theorem</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35</w:t>
            </w:r>
          </w:p>
        </w:tc>
        <w:tc>
          <w:tcPr>
            <w:tcW w:type="dxa" w:w="1361"/>
            <w:tcMar>
              <w:top w:w="90" w:type="dxa"/>
              <w:start w:w="100" w:type="dxa"/>
              <w:bottom w:w="90" w:type="dxa"/>
              <w:end w:w="100" w:type="dxa"/>
            </w:tcMar>
            <w:vAlign w:val="center"/>
          </w:tcPr>
          <w:p>
            <w:r>
              <w:t>42</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10</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ФОС, семь Размер@Размерностей и ПН.2</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10" w:history="1">
              <w:r>
                <w:rPr>
                  <w:rStyle w:val="Hyperlink"/>
                  <w:color w:val="2E5F8A"/>
                  <w:u w:val="single"/>
                  <w:rFonts w:ascii="DejaVu Serif" w:hAnsi="DejaVu Serif" w:eastAsia="DejaVu Serif"/>
                  <w:sz w:val="14"/>
                </w:rPr>
                <w:t>Kurpishev FOS, Seven Size@Dimensions, and PN.2</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39</w:t>
            </w:r>
          </w:p>
        </w:tc>
        <w:tc>
          <w:tcPr>
            <w:tcW w:type="dxa" w:w="1361"/>
            <w:shd w:fill="F7F9FB"/>
            <w:tcMar>
              <w:top w:w="90" w:type="dxa"/>
              <w:start w:w="100" w:type="dxa"/>
              <w:bottom w:w="90" w:type="dxa"/>
              <w:end w:w="100" w:type="dxa"/>
            </w:tcMar>
            <w:vAlign w:val="center"/>
          </w:tcPr>
          <w:p>
            <w:r>
              <w:t>45</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11</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NAPG: неассоциативная пакетная геометрия</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11" w:history="1">
              <w:r>
                <w:rPr>
                  <w:rStyle w:val="Hyperlink"/>
                  <w:color w:val="2E5F8A"/>
                  <w:u w:val="single"/>
                  <w:rFonts w:ascii="DejaVu Serif" w:hAnsi="DejaVu Serif" w:eastAsia="DejaVu Serif"/>
                  <w:sz w:val="14"/>
                </w:rPr>
                <w:t>NAPG: Nonassociative Packet Geometry</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43</w:t>
            </w:r>
          </w:p>
        </w:tc>
        <w:tc>
          <w:tcPr>
            <w:tcW w:type="dxa" w:w="1361"/>
            <w:tcMar>
              <w:top w:w="90" w:type="dxa"/>
              <w:start w:w="100" w:type="dxa"/>
              <w:bottom w:w="90" w:type="dxa"/>
              <w:end w:w="100" w:type="dxa"/>
            </w:tcMar>
            <w:vAlign w:val="center"/>
          </w:tcPr>
          <w:p>
            <w:r>
              <w:t>48</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12</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PILOT-01, формульные цепочки и Fano barrier</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12" w:history="1">
              <w:r>
                <w:rPr>
                  <w:rStyle w:val="Hyperlink"/>
                  <w:color w:val="2E5F8A"/>
                  <w:u w:val="single"/>
                  <w:rFonts w:ascii="DejaVu Serif" w:hAnsi="DejaVu Serif" w:eastAsia="DejaVu Serif"/>
                  <w:sz w:val="14"/>
                </w:rPr>
                <w:t>PILOT-01, Formula Chains, and the Fano Barrier</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47</w:t>
            </w:r>
          </w:p>
        </w:tc>
        <w:tc>
          <w:tcPr>
            <w:tcW w:type="dxa" w:w="1361"/>
            <w:shd w:fill="F7F9FB"/>
            <w:tcMar>
              <w:top w:w="90" w:type="dxa"/>
              <w:start w:w="100" w:type="dxa"/>
              <w:bottom w:w="90" w:type="dxa"/>
              <w:end w:w="100" w:type="dxa"/>
            </w:tcMar>
            <w:vAlign w:val="center"/>
          </w:tcPr>
          <w:p>
            <w:r>
              <w:t>50</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13</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RBD/RPD и KLT-RBD как вычислительная архитектура</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13" w:history="1">
              <w:r>
                <w:rPr>
                  <w:rStyle w:val="Hyperlink"/>
                  <w:color w:val="2E5F8A"/>
                  <w:u w:val="single"/>
                  <w:rFonts w:ascii="DejaVu Serif" w:hAnsi="DejaVu Serif" w:eastAsia="DejaVu Serif"/>
                  <w:sz w:val="14"/>
                </w:rPr>
                <w:t>RBD/RPD and KLT-RBD as a Computational Architecture</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51</w:t>
            </w:r>
          </w:p>
        </w:tc>
        <w:tc>
          <w:tcPr>
            <w:tcW w:type="dxa" w:w="1361"/>
            <w:tcMar>
              <w:top w:w="90" w:type="dxa"/>
              <w:start w:w="100" w:type="dxa"/>
              <w:bottom w:w="90" w:type="dxa"/>
              <w:end w:w="100" w:type="dxa"/>
            </w:tcMar>
            <w:vAlign w:val="center"/>
          </w:tcPr>
          <w:p>
            <w:r>
              <w:t>52</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14</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Примеры, контрпримеры и доказательные паспорта</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14" w:history="1">
              <w:r>
                <w:rPr>
                  <w:rStyle w:val="Hyperlink"/>
                  <w:color w:val="2E5F8A"/>
                  <w:u w:val="single"/>
                  <w:rFonts w:ascii="DejaVu Serif" w:hAnsi="DejaVu Serif" w:eastAsia="DejaVu Serif"/>
                  <w:sz w:val="14"/>
                </w:rPr>
                <w:t>Examples, Counterexamples, and Evidence Passports</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58</w:t>
            </w:r>
          </w:p>
        </w:tc>
        <w:tc>
          <w:tcPr>
            <w:tcW w:type="dxa" w:w="1361"/>
            <w:shd w:fill="F7F9FB"/>
            <w:tcMar>
              <w:top w:w="90" w:type="dxa"/>
              <w:start w:w="100" w:type="dxa"/>
              <w:bottom w:w="90" w:type="dxa"/>
              <w:end w:w="100" w:type="dxa"/>
            </w:tcMar>
            <w:vAlign w:val="center"/>
          </w:tcPr>
          <w:p>
            <w:r>
              <w:t>54</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15</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Словарь, обозначения, формулы и библиография</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15" w:history="1">
              <w:r>
                <w:rPr>
                  <w:rStyle w:val="Hyperlink"/>
                  <w:color w:val="2E5F8A"/>
                  <w:u w:val="single"/>
                  <w:rFonts w:ascii="DejaVu Serif" w:hAnsi="DejaVu Serif" w:eastAsia="DejaVu Serif"/>
                  <w:sz w:val="14"/>
                </w:rPr>
                <w:t>Glossary, Notation, Formulae, and Bibliography</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62</w:t>
            </w:r>
          </w:p>
        </w:tc>
        <w:tc>
          <w:tcPr>
            <w:tcW w:type="dxa" w:w="1361"/>
            <w:tcMar>
              <w:top w:w="90" w:type="dxa"/>
              <w:start w:w="100" w:type="dxa"/>
              <w:bottom w:w="90" w:type="dxa"/>
              <w:end w:w="100" w:type="dxa"/>
            </w:tcMar>
            <w:vAlign w:val="center"/>
          </w:tcPr>
          <w:p>
            <w:r>
              <w:t>56</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16</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Историко-математический prior art и граница авторского вклада</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16" w:history="1">
              <w:r>
                <w:rPr>
                  <w:rStyle w:val="Hyperlink"/>
                  <w:color w:val="2E5F8A"/>
                  <w:u w:val="single"/>
                  <w:rFonts w:ascii="DejaVu Serif" w:hAnsi="DejaVu Serif" w:eastAsia="DejaVu Serif"/>
                  <w:sz w:val="14"/>
                </w:rPr>
                <w:t>Historical-Mathematical Prior Art and the Boundary of the Authorial Contribution</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65</w:t>
            </w:r>
          </w:p>
        </w:tc>
        <w:tc>
          <w:tcPr>
            <w:tcW w:type="dxa" w:w="1361"/>
            <w:shd w:fill="F7F9FB"/>
            <w:tcMar>
              <w:top w:w="90" w:type="dxa"/>
              <w:start w:w="100" w:type="dxa"/>
              <w:bottom w:w="90" w:type="dxa"/>
              <w:end w:w="100" w:type="dxa"/>
            </w:tcMar>
            <w:vAlign w:val="center"/>
          </w:tcPr>
          <w:p>
            <w:r>
              <w:t>58</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17</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Комплексное кросс-соотношение и геометрия Reper на CP¹</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17" w:history="1">
              <w:r>
                <w:rPr>
                  <w:rStyle w:val="Hyperlink"/>
                  <w:color w:val="2E5F8A"/>
                  <w:u w:val="single"/>
                  <w:rFonts w:ascii="DejaVu Serif" w:hAnsi="DejaVu Serif" w:eastAsia="DejaVu Serif"/>
                  <w:sz w:val="14"/>
                </w:rPr>
                <w:t>Complex Cross-Ratio and Reper Geometry on CP¹</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73</w:t>
            </w:r>
          </w:p>
        </w:tc>
        <w:tc>
          <w:tcPr>
            <w:tcW w:type="dxa" w:w="1361"/>
            <w:tcMar>
              <w:top w:w="90" w:type="dxa"/>
              <w:start w:w="100" w:type="dxa"/>
              <w:bottom w:w="90" w:type="dxa"/>
              <w:end w:w="100" w:type="dxa"/>
            </w:tcMar>
            <w:vAlign w:val="center"/>
          </w:tcPr>
          <w:p>
            <w:r>
              <w:t>63</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18</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Матричное и операторное кросс-соотношение</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18" w:history="1">
              <w:r>
                <w:rPr>
                  <w:rStyle w:val="Hyperlink"/>
                  <w:color w:val="2E5F8A"/>
                  <w:u w:val="single"/>
                  <w:rFonts w:ascii="DejaVu Serif" w:hAnsi="DejaVu Serif" w:eastAsia="DejaVu Serif"/>
                  <w:sz w:val="14"/>
                </w:rPr>
                <w:t>Matrix and Operator Cross-Ratio</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76</w:t>
            </w:r>
          </w:p>
        </w:tc>
        <w:tc>
          <w:tcPr>
            <w:tcW w:type="dxa" w:w="1361"/>
            <w:shd w:fill="F7F9FB"/>
            <w:tcMar>
              <w:top w:w="90" w:type="dxa"/>
              <w:start w:w="100" w:type="dxa"/>
              <w:bottom w:w="90" w:type="dxa"/>
              <w:end w:w="100" w:type="dxa"/>
            </w:tcMar>
            <w:vAlign w:val="center"/>
          </w:tcPr>
          <w:p>
            <w:r>
              <w:t>65</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19</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Доказательная очистка теоремы Дезарга–Курпишева</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19" w:history="1">
              <w:r>
                <w:rPr>
                  <w:rStyle w:val="Hyperlink"/>
                  <w:color w:val="2E5F8A"/>
                  <w:u w:val="single"/>
                  <w:rFonts w:ascii="DejaVu Serif" w:hAnsi="DejaVu Serif" w:eastAsia="DejaVu Serif"/>
                  <w:sz w:val="14"/>
                </w:rPr>
                <w:t>Evidence-Level Refinement of the Desargues–Kurpishev Theorem</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78</w:t>
            </w:r>
          </w:p>
        </w:tc>
        <w:tc>
          <w:tcPr>
            <w:tcW w:type="dxa" w:w="1361"/>
            <w:tcMar>
              <w:top w:w="90" w:type="dxa"/>
              <w:start w:w="100" w:type="dxa"/>
              <w:bottom w:w="90" w:type="dxa"/>
              <w:end w:w="100" w:type="dxa"/>
            </w:tcMar>
            <w:vAlign w:val="center"/>
          </w:tcPr>
          <w:p>
            <w:r>
              <w:t>67</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Предметный указатель, индекс формул и система перекрёстных ссылок</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20" w:history="1">
              <w:r>
                <w:rPr>
                  <w:rStyle w:val="Hyperlink"/>
                  <w:color w:val="2E5F8A"/>
                  <w:u w:val="single"/>
                  <w:rFonts w:ascii="DejaVu Serif" w:hAnsi="DejaVu Serif" w:eastAsia="DejaVu Serif"/>
                  <w:sz w:val="14"/>
                </w:rPr>
                <w:t>Subject Index, Formula Index, and Cross-Reference System</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82</w:t>
            </w:r>
          </w:p>
        </w:tc>
        <w:tc>
          <w:tcPr>
            <w:tcW w:type="dxa" w:w="1361"/>
            <w:shd w:fill="F7F9FB"/>
            <w:tcMar>
              <w:top w:w="90" w:type="dxa"/>
              <w:start w:w="100" w:type="dxa"/>
              <w:bottom w:w="90" w:type="dxa"/>
              <w:end w:w="100" w:type="dxa"/>
            </w:tcMar>
            <w:vAlign w:val="center"/>
          </w:tcPr>
          <w:p>
            <w:r>
              <w:t>69</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Каноническая математическая конструкция ПН.2 Курпишева</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21" w:history="1">
              <w:r>
                <w:rPr>
                  <w:rStyle w:val="Hyperlink"/>
                  <w:color w:val="2E5F8A"/>
                  <w:u w:val="single"/>
                  <w:rFonts w:ascii="DejaVu Serif" w:hAnsi="DejaVu Serif" w:eastAsia="DejaVu Serif"/>
                  <w:sz w:val="14"/>
                </w:rPr>
                <w:t>Canonical Mathematical Construction of Kurpishev PN.2</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87</w:t>
            </w:r>
          </w:p>
        </w:tc>
        <w:tc>
          <w:tcPr>
            <w:tcW w:type="dxa" w:w="1361"/>
            <w:tcMar>
              <w:top w:w="90" w:type="dxa"/>
              <w:start w:w="100" w:type="dxa"/>
              <w:bottom w:w="90" w:type="dxa"/>
              <w:end w:w="100" w:type="dxa"/>
            </w:tcMar>
            <w:vAlign w:val="center"/>
          </w:tcPr>
          <w:p>
            <w:r>
              <w:t>70</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ПН.2 как ограничитель и двигатель предсказательного метода KLT-RBD</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22" w:history="1">
              <w:r>
                <w:rPr>
                  <w:rStyle w:val="Hyperlink"/>
                  <w:color w:val="2E5F8A"/>
                  <w:u w:val="single"/>
                  <w:rFonts w:ascii="DejaVu Serif" w:hAnsi="DejaVu Serif" w:eastAsia="DejaVu Serif"/>
                  <w:sz w:val="14"/>
                </w:rPr>
                <w:t>PN.2 as a Constraint and Driver of the KLT-RBD Predictive Method</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105</w:t>
            </w:r>
          </w:p>
        </w:tc>
        <w:tc>
          <w:tcPr>
            <w:tcW w:type="dxa" w:w="1361"/>
            <w:shd w:fill="F7F9FB"/>
            <w:tcMar>
              <w:top w:w="90" w:type="dxa"/>
              <w:start w:w="100" w:type="dxa"/>
              <w:bottom w:w="90" w:type="dxa"/>
              <w:end w:w="100" w:type="dxa"/>
            </w:tcMar>
            <w:vAlign w:val="center"/>
          </w:tcPr>
          <w:p>
            <w:r>
              <w:t>72</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23</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Примеры, контрпримеры и вычислительные тесты ПН.2</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23" w:history="1">
              <w:r>
                <w:rPr>
                  <w:rStyle w:val="Hyperlink"/>
                  <w:color w:val="2E5F8A"/>
                  <w:u w:val="single"/>
                  <w:rFonts w:ascii="DejaVu Serif" w:hAnsi="DejaVu Serif" w:eastAsia="DejaVu Serif"/>
                  <w:sz w:val="14"/>
                </w:rPr>
                <w:t>PN.2 Examples, Counterexamples, and Computational Tests</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110</w:t>
            </w:r>
          </w:p>
        </w:tc>
        <w:tc>
          <w:tcPr>
            <w:tcW w:type="dxa" w:w="1361"/>
            <w:tcMar>
              <w:top w:w="90" w:type="dxa"/>
              <w:start w:w="100" w:type="dxa"/>
              <w:bottom w:w="90" w:type="dxa"/>
              <w:end w:w="100" w:type="dxa"/>
            </w:tcMar>
            <w:vAlign w:val="center"/>
          </w:tcPr>
          <w:p>
            <w:r>
              <w:t>74</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24</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Экспорт ПН.2 в физику, химию, биологию и ДНК: границы и программа проверки</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24" w:history="1">
              <w:r>
                <w:rPr>
                  <w:rStyle w:val="Hyperlink"/>
                  <w:color w:val="2E5F8A"/>
                  <w:u w:val="single"/>
                  <w:rFonts w:ascii="DejaVu Serif" w:hAnsi="DejaVu Serif" w:eastAsia="DejaVu Serif"/>
                  <w:sz w:val="14"/>
                </w:rPr>
                <w:t>Export of PN.2 to Physics, Chemistry, Biology, and DNA: Boundaries and Verification Programme</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112</w:t>
            </w:r>
          </w:p>
        </w:tc>
        <w:tc>
          <w:tcPr>
            <w:tcW w:type="dxa" w:w="1361"/>
            <w:shd w:fill="F7F9FB"/>
            <w:tcMar>
              <w:top w:w="90" w:type="dxa"/>
              <w:start w:w="100" w:type="dxa"/>
              <w:bottom w:w="90" w:type="dxa"/>
              <w:end w:w="100" w:type="dxa"/>
            </w:tcMar>
            <w:vAlign w:val="center"/>
          </w:tcPr>
          <w:p>
            <w:r>
              <w:t>75</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25</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Операторы действия, изменения и разворота</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25" w:history="1">
              <w:r>
                <w:rPr>
                  <w:rStyle w:val="Hyperlink"/>
                  <w:color w:val="2E5F8A"/>
                  <w:u w:val="single"/>
                  <w:rFonts w:ascii="DejaVu Serif" w:hAnsi="DejaVu Serif" w:eastAsia="DejaVu Serif"/>
                  <w:sz w:val="14"/>
                </w:rPr>
                <w:t>Operators of Action, Change, and Reversal</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116</w:t>
            </w:r>
          </w:p>
        </w:tc>
        <w:tc>
          <w:tcPr>
            <w:tcW w:type="dxa" w:w="1361"/>
            <w:tcMar>
              <w:top w:w="90" w:type="dxa"/>
              <w:start w:w="100" w:type="dxa"/>
              <w:bottom w:w="90" w:type="dxa"/>
              <w:end w:w="100" w:type="dxa"/>
            </w:tcMar>
            <w:vAlign w:val="center"/>
          </w:tcPr>
          <w:p>
            <w:r>
              <w:t>77</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26</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Неассоциативная пакетная реперная алгебра размер@размерностей</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26" w:history="1">
              <w:r>
                <w:rPr>
                  <w:rStyle w:val="Hyperlink"/>
                  <w:color w:val="2E5F8A"/>
                  <w:u w:val="single"/>
                  <w:rFonts w:ascii="DejaVu Serif" w:hAnsi="DejaVu Serif" w:eastAsia="DejaVu Serif"/>
                  <w:sz w:val="14"/>
                </w:rPr>
                <w:t>Nonassociative Packet Reper Algebra of Size@Dimensions</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125</w:t>
            </w:r>
          </w:p>
        </w:tc>
        <w:tc>
          <w:tcPr>
            <w:tcW w:type="dxa" w:w="1361"/>
            <w:shd w:fill="F7F9FB"/>
            <w:tcMar>
              <w:top w:w="90" w:type="dxa"/>
              <w:start w:w="100" w:type="dxa"/>
              <w:bottom w:w="90" w:type="dxa"/>
              <w:end w:w="100" w:type="dxa"/>
            </w:tcMar>
            <w:vAlign w:val="center"/>
          </w:tcPr>
          <w:p>
            <w:r>
              <w:t>79</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27</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Канонический ПН.2 с Приложениями A–B и философскими блоками</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27" w:history="1">
              <w:r>
                <w:rPr>
                  <w:rStyle w:val="Hyperlink"/>
                  <w:color w:val="2E5F8A"/>
                  <w:u w:val="single"/>
                  <w:rFonts w:ascii="DejaVu Serif" w:hAnsi="DejaVu Serif" w:eastAsia="DejaVu Serif"/>
                  <w:sz w:val="14"/>
                </w:rPr>
                <w:t>Canonical PN.2 with Appendices A–B and Philosophical Blocks</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140</w:t>
            </w:r>
          </w:p>
        </w:tc>
        <w:tc>
          <w:tcPr>
            <w:tcW w:type="dxa" w:w="1361"/>
            <w:tcMar>
              <w:top w:w="90" w:type="dxa"/>
              <w:start w:w="100" w:type="dxa"/>
              <w:bottom w:w="90" w:type="dxa"/>
              <w:end w:w="100" w:type="dxa"/>
            </w:tcMar>
            <w:vAlign w:val="center"/>
          </w:tcPr>
          <w:p>
            <w:r>
              <w:t>84</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28</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Предсказательные пределы и конечный горизонт действия Reper</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28" w:history="1">
              <w:r>
                <w:rPr>
                  <w:rStyle w:val="Hyperlink"/>
                  <w:color w:val="2E5F8A"/>
                  <w:u w:val="single"/>
                  <w:rFonts w:ascii="DejaVu Serif" w:hAnsi="DejaVu Serif" w:eastAsia="DejaVu Serif"/>
                  <w:sz w:val="14"/>
                </w:rPr>
                <w:t>Predictive Limits and the Finite Horizon of Reper Action</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160</w:t>
            </w:r>
          </w:p>
        </w:tc>
        <w:tc>
          <w:tcPr>
            <w:tcW w:type="dxa" w:w="1361"/>
            <w:shd w:fill="F7F9FB"/>
            <w:tcMar>
              <w:top w:w="90" w:type="dxa"/>
              <w:start w:w="100" w:type="dxa"/>
              <w:bottom w:w="90" w:type="dxa"/>
              <w:end w:w="100" w:type="dxa"/>
            </w:tcMar>
            <w:vAlign w:val="center"/>
          </w:tcPr>
          <w:p>
            <w:r>
              <w:t>88</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29</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Адаптивная перестройка реперного графа</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29" w:history="1">
              <w:r>
                <w:rPr>
                  <w:rStyle w:val="Hyperlink"/>
                  <w:color w:val="2E5F8A"/>
                  <w:u w:val="single"/>
                  <w:rFonts w:ascii="DejaVu Serif" w:hAnsi="DejaVu Serif" w:eastAsia="DejaVu Serif"/>
                  <w:sz w:val="14"/>
                </w:rPr>
                <w:t>Adaptive Rebuilding of the Reper Graph</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162</w:t>
            </w:r>
          </w:p>
        </w:tc>
        <w:tc>
          <w:tcPr>
            <w:tcW w:type="dxa" w:w="1361"/>
            <w:tcMar>
              <w:top w:w="90" w:type="dxa"/>
              <w:start w:w="100" w:type="dxa"/>
              <w:bottom w:w="90" w:type="dxa"/>
              <w:end w:w="100" w:type="dxa"/>
            </w:tcMar>
            <w:vAlign w:val="center"/>
          </w:tcPr>
          <w:p>
            <w:r>
              <w:t>90</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30</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Предсказательное реперное расслоение</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30" w:history="1">
              <w:r>
                <w:rPr>
                  <w:rStyle w:val="Hyperlink"/>
                  <w:color w:val="2E5F8A"/>
                  <w:u w:val="single"/>
                  <w:rFonts w:ascii="DejaVu Serif" w:hAnsi="DejaVu Serif" w:eastAsia="DejaVu Serif"/>
                  <w:sz w:val="14"/>
                </w:rPr>
                <w:t>Predictive Reper Bundle</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164</w:t>
            </w:r>
          </w:p>
        </w:tc>
        <w:tc>
          <w:tcPr>
            <w:tcW w:type="dxa" w:w="1361"/>
            <w:shd w:fill="F7F9FB"/>
            <w:tcMar>
              <w:top w:w="90" w:type="dxa"/>
              <w:start w:w="100" w:type="dxa"/>
              <w:bottom w:w="90" w:type="dxa"/>
              <w:end w:w="100" w:type="dxa"/>
            </w:tcMar>
            <w:vAlign w:val="center"/>
          </w:tcPr>
          <w:p>
            <w:r>
              <w:t>91</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31</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Вычислительная сертификация и граница доказательного статуса</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31" w:history="1">
              <w:r>
                <w:rPr>
                  <w:rStyle w:val="Hyperlink"/>
                  <w:color w:val="2E5F8A"/>
                  <w:u w:val="single"/>
                  <w:rFonts w:ascii="DejaVu Serif" w:hAnsi="DejaVu Serif" w:eastAsia="DejaVu Serif"/>
                  <w:sz w:val="14"/>
                </w:rPr>
                <w:t>Computational Certification and the Evidence-Status Boundary</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166</w:t>
            </w:r>
          </w:p>
        </w:tc>
        <w:tc>
          <w:tcPr>
            <w:tcW w:type="dxa" w:w="1361"/>
            <w:tcMar>
              <w:top w:w="90" w:type="dxa"/>
              <w:start w:w="100" w:type="dxa"/>
              <w:bottom w:w="90" w:type="dxa"/>
              <w:end w:w="100" w:type="dxa"/>
            </w:tcMar>
            <w:vAlign w:val="center"/>
          </w:tcPr>
          <w:p>
            <w:r>
              <w:t>92</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32</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Строгая спецификация доменных адаптеров KLT-RBD</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32" w:history="1">
              <w:r>
                <w:rPr>
                  <w:rStyle w:val="Hyperlink"/>
                  <w:color w:val="2E5F8A"/>
                  <w:u w:val="single"/>
                  <w:rFonts w:ascii="DejaVu Serif" w:hAnsi="DejaVu Serif" w:eastAsia="DejaVu Serif"/>
                  <w:sz w:val="14"/>
                </w:rPr>
                <w:t>Strict Specification of KLT-RBD Domain Adapters</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169</w:t>
            </w:r>
          </w:p>
        </w:tc>
        <w:tc>
          <w:tcPr>
            <w:tcW w:type="dxa" w:w="1361"/>
            <w:shd w:fill="F7F9FB"/>
            <w:tcMar>
              <w:top w:w="90" w:type="dxa"/>
              <w:start w:w="100" w:type="dxa"/>
              <w:bottom w:w="90" w:type="dxa"/>
              <w:end w:w="100" w:type="dxa"/>
            </w:tcMar>
            <w:vAlign w:val="center"/>
          </w:tcPr>
          <w:p>
            <w:r>
              <w:t>96</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33</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Идентичность, происхождение и целостность данных</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33" w:history="1">
              <w:r>
                <w:rPr>
                  <w:rStyle w:val="Hyperlink"/>
                  <w:color w:val="2E5F8A"/>
                  <w:u w:val="single"/>
                  <w:rFonts w:ascii="DejaVu Serif" w:hAnsi="DejaVu Serif" w:eastAsia="DejaVu Serif"/>
                  <w:sz w:val="14"/>
                </w:rPr>
                <w:t>Identity, Provenance, and Data Integrity</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172</w:t>
            </w:r>
          </w:p>
        </w:tc>
        <w:tc>
          <w:tcPr>
            <w:tcW w:type="dxa" w:w="1361"/>
            <w:tcMar>
              <w:top w:w="90" w:type="dxa"/>
              <w:start w:w="100" w:type="dxa"/>
              <w:bottom w:w="90" w:type="dxa"/>
              <w:end w:w="100" w:type="dxa"/>
            </w:tcMar>
            <w:vAlign w:val="center"/>
          </w:tcPr>
          <w:p>
            <w:r>
              <w:t>99</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34</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Идентифицируемость, transportability и независимая проверка</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34" w:history="1">
              <w:r>
                <w:rPr>
                  <w:rStyle w:val="Hyperlink"/>
                  <w:color w:val="2E5F8A"/>
                  <w:u w:val="single"/>
                  <w:rFonts w:ascii="DejaVu Serif" w:hAnsi="DejaVu Serif" w:eastAsia="DejaVu Serif"/>
                  <w:sz w:val="14"/>
                </w:rPr>
                <w:t>Identifiability, Transportability, and Independent Verification</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174</w:t>
            </w:r>
          </w:p>
        </w:tc>
        <w:tc>
          <w:tcPr>
            <w:tcW w:type="dxa" w:w="1361"/>
            <w:shd w:fill="F7F9FB"/>
            <w:tcMar>
              <w:top w:w="90" w:type="dxa"/>
              <w:start w:w="100" w:type="dxa"/>
              <w:bottom w:w="90" w:type="dxa"/>
              <w:end w:w="100" w:type="dxa"/>
            </w:tcMar>
            <w:vAlign w:val="center"/>
          </w:tcPr>
          <w:p>
            <w:r>
              <w:t>101</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35</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Прогнозные коридоры, conformal calibration и воздержание</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35" w:history="1">
              <w:r>
                <w:rPr>
                  <w:rStyle w:val="Hyperlink"/>
                  <w:color w:val="2E5F8A"/>
                  <w:u w:val="single"/>
                  <w:rFonts w:ascii="DejaVu Serif" w:hAnsi="DejaVu Serif" w:eastAsia="DejaVu Serif"/>
                  <w:sz w:val="14"/>
                </w:rPr>
                <w:t>Forecast Corridors, Conformal Calibration, and Abstention</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176</w:t>
            </w:r>
          </w:p>
        </w:tc>
        <w:tc>
          <w:tcPr>
            <w:tcW w:type="dxa" w:w="1361"/>
            <w:tcMar>
              <w:top w:w="90" w:type="dxa"/>
              <w:start w:w="100" w:type="dxa"/>
              <w:bottom w:w="90" w:type="dxa"/>
              <w:end w:w="100" w:type="dxa"/>
            </w:tcMar>
            <w:vAlign w:val="center"/>
          </w:tcPr>
          <w:p>
            <w:r>
              <w:t>103</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36</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Вычислительный контракт KLT-RBD и итоговый аудит</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36" w:history="1">
              <w:r>
                <w:rPr>
                  <w:rStyle w:val="Hyperlink"/>
                  <w:color w:val="2E5F8A"/>
                  <w:u w:val="single"/>
                  <w:rFonts w:ascii="DejaVu Serif" w:hAnsi="DejaVu Serif" w:eastAsia="DejaVu Serif"/>
                  <w:sz w:val="14"/>
                </w:rPr>
                <w:t>KLT-RBD Computational Contract and Final Audit</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178</w:t>
            </w:r>
          </w:p>
        </w:tc>
        <w:tc>
          <w:tcPr>
            <w:tcW w:type="dxa" w:w="1361"/>
            <w:shd w:fill="F7F9FB"/>
            <w:tcMar>
              <w:top w:w="90" w:type="dxa"/>
              <w:start w:w="100" w:type="dxa"/>
              <w:bottom w:w="90" w:type="dxa"/>
              <w:end w:w="100" w:type="dxa"/>
            </w:tcMar>
            <w:vAlign w:val="center"/>
          </w:tcPr>
          <w:p>
            <w:r>
              <w:t>105</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37</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Сквозной blocker-safe адаптер и воспроизводимость</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37" w:history="1">
              <w:r>
                <w:rPr>
                  <w:rStyle w:val="Hyperlink"/>
                  <w:color w:val="2E5F8A"/>
                  <w:u w:val="single"/>
                  <w:rFonts w:ascii="DejaVu Serif" w:hAnsi="DejaVu Serif" w:eastAsia="DejaVu Serif"/>
                  <w:sz w:val="14"/>
                </w:rPr>
                <w:t>End-to-End Blocker-Safe Adapter and Reproducibility</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181</w:t>
            </w:r>
          </w:p>
        </w:tc>
        <w:tc>
          <w:tcPr>
            <w:tcW w:type="dxa" w:w="1361"/>
            <w:tcMar>
              <w:top w:w="90" w:type="dxa"/>
              <w:start w:w="100" w:type="dxa"/>
              <w:bottom w:w="90" w:type="dxa"/>
              <w:end w:w="100" w:type="dxa"/>
            </w:tcMar>
            <w:vAlign w:val="center"/>
          </w:tcPr>
          <w:p>
            <w:r>
              <w:t>108</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38</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Взвешенная калибровка при ковариатном сдвиге</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38" w:history="1">
              <w:r>
                <w:rPr>
                  <w:rStyle w:val="Hyperlink"/>
                  <w:color w:val="2E5F8A"/>
                  <w:u w:val="single"/>
                  <w:rFonts w:ascii="DejaVu Serif" w:hAnsi="DejaVu Serif" w:eastAsia="DejaVu Serif"/>
                  <w:sz w:val="14"/>
                </w:rPr>
                <w:t>Weighted Calibration under Covariate Shift</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184</w:t>
            </w:r>
          </w:p>
        </w:tc>
        <w:tc>
          <w:tcPr>
            <w:tcW w:type="dxa" w:w="1361"/>
            <w:shd w:fill="F7F9FB"/>
            <w:tcMar>
              <w:top w:w="90" w:type="dxa"/>
              <w:start w:w="100" w:type="dxa"/>
              <w:bottom w:w="90" w:type="dxa"/>
              <w:end w:w="100" w:type="dxa"/>
            </w:tcMar>
            <w:vAlign w:val="center"/>
          </w:tcPr>
          <w:p>
            <w:r>
              <w:t>110</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39</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E-процессы, неравенство Вилля и необязательная остановка</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39" w:history="1">
              <w:r>
                <w:rPr>
                  <w:rStyle w:val="Hyperlink"/>
                  <w:color w:val="2E5F8A"/>
                  <w:u w:val="single"/>
                  <w:rFonts w:ascii="DejaVu Serif" w:hAnsi="DejaVu Serif" w:eastAsia="DejaVu Serif"/>
                  <w:sz w:val="14"/>
                </w:rPr>
                <w:t>E-Processes, Ville’s Inequality, and Optional Stopping</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186</w:t>
            </w:r>
          </w:p>
        </w:tc>
        <w:tc>
          <w:tcPr>
            <w:tcW w:type="dxa" w:w="1361"/>
            <w:tcMar>
              <w:top w:w="90" w:type="dxa"/>
              <w:start w:w="100" w:type="dxa"/>
              <w:bottom w:w="90" w:type="dxa"/>
              <w:end w:w="100" w:type="dxa"/>
            </w:tcMar>
            <w:vAlign w:val="center"/>
          </w:tcPr>
          <w:p>
            <w:r>
              <w:t>112</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40</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Агрегирование ветвей ПН.2 и границы сожаления</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40" w:history="1">
              <w:r>
                <w:rPr>
                  <w:rStyle w:val="Hyperlink"/>
                  <w:color w:val="2E5F8A"/>
                  <w:u w:val="single"/>
                  <w:rFonts w:ascii="DejaVu Serif" w:hAnsi="DejaVu Serif" w:eastAsia="DejaVu Serif"/>
                  <w:sz w:val="14"/>
                </w:rPr>
                <w:t>Aggregation of PN.2 Branches and Regret Bounds</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188</w:t>
            </w:r>
          </w:p>
        </w:tc>
        <w:tc>
          <w:tcPr>
            <w:tcW w:type="dxa" w:w="1361"/>
            <w:shd w:fill="F7F9FB"/>
            <w:tcMar>
              <w:top w:w="90" w:type="dxa"/>
              <w:start w:w="100" w:type="dxa"/>
              <w:bottom w:w="90" w:type="dxa"/>
              <w:end w:w="100" w:type="dxa"/>
            </w:tcMar>
            <w:vAlign w:val="center"/>
          </w:tcPr>
          <w:p>
            <w:r>
              <w:t>113</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41</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Независимая проверка и композиция бюджетов ошибок</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41" w:history="1">
              <w:r>
                <w:rPr>
                  <w:rStyle w:val="Hyperlink"/>
                  <w:color w:val="2E5F8A"/>
                  <w:u w:val="single"/>
                  <w:rFonts w:ascii="DejaVu Serif" w:hAnsi="DejaVu Serif" w:eastAsia="DejaVu Serif"/>
                  <w:sz w:val="14"/>
                </w:rPr>
                <w:t>Independent Verification and Composition of Error Budgets</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190</w:t>
            </w:r>
          </w:p>
        </w:tc>
        <w:tc>
          <w:tcPr>
            <w:tcW w:type="dxa" w:w="1361"/>
            <w:tcMar>
              <w:top w:w="90" w:type="dxa"/>
              <w:start w:w="100" w:type="dxa"/>
              <w:bottom w:w="90" w:type="dxa"/>
              <w:end w:w="100" w:type="dxa"/>
            </w:tcMar>
            <w:vAlign w:val="center"/>
          </w:tcPr>
          <w:p>
            <w:r>
              <w:t>116</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42</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Выбор домена до раскрытия результата и защита от постселекции</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42" w:history="1">
              <w:r>
                <w:rPr>
                  <w:rStyle w:val="Hyperlink"/>
                  <w:color w:val="2E5F8A"/>
                  <w:u w:val="single"/>
                  <w:rFonts w:ascii="DejaVu Serif" w:hAnsi="DejaVu Serif" w:eastAsia="DejaVu Serif"/>
                  <w:sz w:val="14"/>
                </w:rPr>
                <w:t>Domain Selection before Result Disclosure and Protection against Post-Selection</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193</w:t>
            </w:r>
          </w:p>
        </w:tc>
        <w:tc>
          <w:tcPr>
            <w:tcW w:type="dxa" w:w="1361"/>
            <w:shd w:fill="F7F9FB"/>
            <w:tcMar>
              <w:top w:w="90" w:type="dxa"/>
              <w:start w:w="100" w:type="dxa"/>
              <w:bottom w:w="90" w:type="dxa"/>
              <w:end w:w="100" w:type="dxa"/>
            </w:tcMar>
            <w:vAlign w:val="center"/>
          </w:tcPr>
          <w:p>
            <w:r>
              <w:t>119</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43</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Мощность, объём выборки и минимально значимый эффект</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43" w:history="1">
              <w:r>
                <w:rPr>
                  <w:rStyle w:val="Hyperlink"/>
                  <w:color w:val="2E5F8A"/>
                  <w:u w:val="single"/>
                  <w:rFonts w:ascii="DejaVu Serif" w:hAnsi="DejaVu Serif" w:eastAsia="DejaVu Serif"/>
                  <w:sz w:val="14"/>
                </w:rPr>
                <w:t>Power, Sample Size, and the Minimum Meaningful Effect</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195</w:t>
            </w:r>
          </w:p>
        </w:tc>
        <w:tc>
          <w:tcPr>
            <w:tcW w:type="dxa" w:w="1361"/>
            <w:tcMar>
              <w:top w:w="90" w:type="dxa"/>
              <w:start w:w="100" w:type="dxa"/>
              <w:bottom w:w="90" w:type="dxa"/>
              <w:end w:w="100" w:type="dxa"/>
            </w:tcMar>
            <w:vAlign w:val="center"/>
          </w:tcPr>
          <w:p>
            <w:r>
              <w:t>120</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44</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Кластерная зависимость и групповая прогнозная калибровка</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44" w:history="1">
              <w:r>
                <w:rPr>
                  <w:rStyle w:val="Hyperlink"/>
                  <w:color w:val="2E5F8A"/>
                  <w:u w:val="single"/>
                  <w:rFonts w:ascii="DejaVu Serif" w:hAnsi="DejaVu Serif" w:eastAsia="DejaVu Serif"/>
                  <w:sz w:val="14"/>
                </w:rPr>
                <w:t>Cluster Dependence and Groupwise Predictive Calibration</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197</w:t>
            </w:r>
          </w:p>
        </w:tc>
        <w:tc>
          <w:tcPr>
            <w:tcW w:type="dxa" w:w="1361"/>
            <w:shd w:fill="F7F9FB"/>
            <w:tcMar>
              <w:top w:w="90" w:type="dxa"/>
              <w:start w:w="100" w:type="dxa"/>
              <w:bottom w:w="90" w:type="dxa"/>
              <w:end w:w="100" w:type="dxa"/>
            </w:tcMar>
            <w:vAlign w:val="center"/>
          </w:tcPr>
          <w:p>
            <w:r>
              <w:t>122</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45</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Прогноз, вмешательство и предел причинного вывода</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45" w:history="1">
              <w:r>
                <w:rPr>
                  <w:rStyle w:val="Hyperlink"/>
                  <w:color w:val="2E5F8A"/>
                  <w:u w:val="single"/>
                  <w:rFonts w:ascii="DejaVu Serif" w:hAnsi="DejaVu Serif" w:eastAsia="DejaVu Serif"/>
                  <w:sz w:val="14"/>
                </w:rPr>
                <w:t>Prediction, Intervention, and the Limit of Causal Inference</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199</w:t>
            </w:r>
          </w:p>
        </w:tc>
        <w:tc>
          <w:tcPr>
            <w:tcW w:type="dxa" w:w="1361"/>
            <w:tcMar>
              <w:top w:w="90" w:type="dxa"/>
              <w:start w:w="100" w:type="dxa"/>
              <w:bottom w:w="90" w:type="dxa"/>
              <w:end w:w="100" w:type="dxa"/>
            </w:tcMar>
            <w:vAlign w:val="center"/>
          </w:tcPr>
          <w:p>
            <w:r>
              <w:t>124</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46</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Исполнимый протокол внешней валидации Тома I</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46" w:history="1">
              <w:r>
                <w:rPr>
                  <w:rStyle w:val="Hyperlink"/>
                  <w:color w:val="2E5F8A"/>
                  <w:u w:val="single"/>
                  <w:rFonts w:ascii="DejaVu Serif" w:hAnsi="DejaVu Serif" w:eastAsia="DejaVu Serif"/>
                  <w:sz w:val="14"/>
                </w:rPr>
                <w:t>Executable External Validation Protocol for Volume I</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201</w:t>
            </w:r>
          </w:p>
        </w:tc>
        <w:tc>
          <w:tcPr>
            <w:tcW w:type="dxa" w:w="1361"/>
            <w:shd w:fill="F7F9FB"/>
            <w:tcMar>
              <w:top w:w="90" w:type="dxa"/>
              <w:start w:w="100" w:type="dxa"/>
              <w:bottom w:w="90" w:type="dxa"/>
              <w:end w:w="100" w:type="dxa"/>
            </w:tcMar>
            <w:vAlign w:val="center"/>
          </w:tcPr>
          <w:p>
            <w:r>
              <w:t>126</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47</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Типизированное пространство пакетов и реперов</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47" w:history="1">
              <w:r>
                <w:rPr>
                  <w:rStyle w:val="Hyperlink"/>
                  <w:color w:val="2E5F8A"/>
                  <w:u w:val="single"/>
                  <w:rFonts w:ascii="DejaVu Serif" w:hAnsi="DejaVu Serif" w:eastAsia="DejaVu Serif"/>
                  <w:sz w:val="14"/>
                </w:rPr>
                <w:t>Typed Space of Packets and Repers</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205</w:t>
            </w:r>
          </w:p>
        </w:tc>
        <w:tc>
          <w:tcPr>
            <w:tcW w:type="dxa" w:w="1361"/>
            <w:tcMar>
              <w:top w:w="90" w:type="dxa"/>
              <w:start w:w="100" w:type="dxa"/>
              <w:bottom w:w="90" w:type="dxa"/>
              <w:end w:w="100" w:type="dxa"/>
            </w:tcMar>
            <w:vAlign w:val="center"/>
          </w:tcPr>
          <w:p>
            <w:r>
              <w:t>130</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48</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Проективно-гармонический оператор прогноза</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48" w:history="1">
              <w:r>
                <w:rPr>
                  <w:rStyle w:val="Hyperlink"/>
                  <w:color w:val="2E5F8A"/>
                  <w:u w:val="single"/>
                  <w:rFonts w:ascii="DejaVu Serif" w:hAnsi="DejaVu Serif" w:eastAsia="DejaVu Serif"/>
                  <w:sz w:val="14"/>
                </w:rPr>
                <w:t>Projective-Harmonic Prediction Operator</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207</w:t>
            </w:r>
          </w:p>
        </w:tc>
        <w:tc>
          <w:tcPr>
            <w:tcW w:type="dxa" w:w="1361"/>
            <w:shd w:fill="F7F9FB"/>
            <w:tcMar>
              <w:top w:w="90" w:type="dxa"/>
              <w:start w:w="100" w:type="dxa"/>
              <w:bottom w:w="90" w:type="dxa"/>
              <w:end w:w="100" w:type="dxa"/>
            </w:tcMar>
            <w:vAlign w:val="center"/>
          </w:tcPr>
          <w:p>
            <w:r>
              <w:t>132</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49</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Пять пределов как решётка допустимости</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49" w:history="1">
              <w:r>
                <w:rPr>
                  <w:rStyle w:val="Hyperlink"/>
                  <w:color w:val="2E5F8A"/>
                  <w:u w:val="single"/>
                  <w:rFonts w:ascii="DejaVu Serif" w:hAnsi="DejaVu Serif" w:eastAsia="DejaVu Serif"/>
                  <w:sz w:val="14"/>
                </w:rPr>
                <w:t>Five Limits as an Admissibility Lattice</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209</w:t>
            </w:r>
          </w:p>
        </w:tc>
        <w:tc>
          <w:tcPr>
            <w:tcW w:type="dxa" w:w="1361"/>
            <w:tcMar>
              <w:top w:w="90" w:type="dxa"/>
              <w:start w:w="100" w:type="dxa"/>
              <w:bottom w:w="90" w:type="dxa"/>
              <w:end w:w="100" w:type="dxa"/>
            </w:tcMar>
            <w:vAlign w:val="center"/>
          </w:tcPr>
          <w:p>
            <w:r>
              <w:t>134</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50</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Метрика несоответствия и устойчивая перестройка</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50" w:history="1">
              <w:r>
                <w:rPr>
                  <w:rStyle w:val="Hyperlink"/>
                  <w:color w:val="2E5F8A"/>
                  <w:u w:val="single"/>
                  <w:rFonts w:ascii="DejaVu Serif" w:hAnsi="DejaVu Serif" w:eastAsia="DejaVu Serif"/>
                  <w:sz w:val="14"/>
                </w:rPr>
                <w:t>Mismatch Metric and Stable Rebuilding</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211</w:t>
            </w:r>
          </w:p>
        </w:tc>
        <w:tc>
          <w:tcPr>
            <w:tcW w:type="dxa" w:w="1361"/>
            <w:shd w:fill="F7F9FB"/>
            <w:tcMar>
              <w:top w:w="90" w:type="dxa"/>
              <w:start w:w="100" w:type="dxa"/>
              <w:bottom w:w="90" w:type="dxa"/>
              <w:end w:w="100" w:type="dxa"/>
            </w:tcMar>
            <w:vAlign w:val="center"/>
          </w:tcPr>
          <w:p>
            <w:r>
              <w:t>135</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51</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RBD как оператор распространения и сжатия</w:t>
            </w:r>
          </w:p>
        </w:tc>
        <w:tc>
          <w:tcPr>
            <w:tcW w:type="dxa" w:w="3798"/>
            <w:tcMar>
              <w:top w:w="90" w:type="dxa"/>
              <w:start w:w="100" w:type="dxa"/>
              <w:bottom w:w="90" w:type="dxa"/>
              <w:end w:w="100" w:type="dxa"/>
            </w:tcMar>
            <w:vAlign w:val="center"/>
          </w:tcPr>
          <w:p>
            <w:pPr>
              <w:keepNext w:val="0"/>
              <w:spacing w:before="0" w:after="0" w:line="252" w:lineRule="auto"/>
              <w:jc w:val="left"/>
            </w:pPr>
            <w:hyperlink w:anchor="T1_CH_51" w:history="1">
              <w:r>
                <w:rPr>
                  <w:rStyle w:val="Hyperlink"/>
                  <w:color w:val="2E5F8A"/>
                  <w:u w:val="single"/>
                  <w:rFonts w:ascii="DejaVu Serif" w:hAnsi="DejaVu Serif" w:eastAsia="DejaVu Serif"/>
                  <w:sz w:val="14"/>
                </w:rPr>
                <w:t>RBD as a Propagation and Contraction Operator</w:t>
              </w:r>
            </w:hyperlink>
          </w:p>
        </w:tc>
        <w:tc>
          <w:tcPr>
            <w:tcW w:type="dxa" w:w="68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213</w:t>
            </w:r>
          </w:p>
        </w:tc>
        <w:tc>
          <w:tcPr>
            <w:tcW w:type="dxa" w:w="1361"/>
            <w:tcMar>
              <w:top w:w="90" w:type="dxa"/>
              <w:start w:w="100" w:type="dxa"/>
              <w:bottom w:w="90" w:type="dxa"/>
              <w:end w:w="100" w:type="dxa"/>
            </w:tcMar>
            <w:vAlign w:val="center"/>
          </w:tcPr>
          <w:p>
            <w:r>
              <w:t>137</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52</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Главная условная теорема предсказательного метода</w:t>
            </w:r>
          </w:p>
        </w:tc>
        <w:tc>
          <w:tcPr>
            <w:tcW w:type="dxa" w:w="3798"/>
            <w:shd w:fill="F7F9FB"/>
            <w:tcMar>
              <w:top w:w="90" w:type="dxa"/>
              <w:start w:w="100" w:type="dxa"/>
              <w:bottom w:w="90" w:type="dxa"/>
              <w:end w:w="100" w:type="dxa"/>
            </w:tcMar>
            <w:vAlign w:val="center"/>
          </w:tcPr>
          <w:p>
            <w:pPr>
              <w:keepNext w:val="0"/>
              <w:spacing w:before="0" w:after="0" w:line="252" w:lineRule="auto"/>
              <w:jc w:val="left"/>
            </w:pPr>
            <w:hyperlink w:anchor="T1_CH_52" w:history="1">
              <w:r>
                <w:rPr>
                  <w:rStyle w:val="Hyperlink"/>
                  <w:color w:val="2E5F8A"/>
                  <w:u w:val="single"/>
                  <w:rFonts w:ascii="DejaVu Serif" w:hAnsi="DejaVu Serif" w:eastAsia="DejaVu Serif"/>
                  <w:sz w:val="14"/>
                </w:rPr>
                <w:t>Main Conditional Theorem of the Predictive Method</w:t>
              </w:r>
            </w:hyperlink>
          </w:p>
        </w:tc>
        <w:tc>
          <w:tcPr>
            <w:tcW w:type="dxa" w:w="68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215</w:t>
            </w:r>
          </w:p>
        </w:tc>
        <w:tc>
          <w:tcPr>
            <w:tcW w:type="dxa" w:w="1361"/>
            <w:shd w:fill="F7F9FB"/>
            <w:tcMar>
              <w:top w:w="90" w:type="dxa"/>
              <w:start w:w="100" w:type="dxa"/>
              <w:bottom w:w="90" w:type="dxa"/>
              <w:end w:w="100" w:type="dxa"/>
            </w:tcMar>
            <w:vAlign w:val="center"/>
          </w:tcPr>
          <w:p>
            <w:r>
              <w:t>139</w:t>
            </w:r>
          </w:p>
        </w:tc>
      </w:tr>
    </w:tbl>
    <w:p>
      <w:pPr>
        <w:pStyle w:val="Heading1"/>
        <w:keepNext/>
      </w:pPr>
    </w:p>
    <w:tbl>
      <w:tblPr>
        <w:tblStyle w:val="TableGrid"/>
        <w:tblW w:type="auto" w:w="0"/>
        <w:jc w:val="center"/>
        <w:tblLayout w:type="autofit"/>
        <w:tblLook w:firstColumn="1" w:firstRow="1" w:lastColumn="0" w:lastRow="0" w:noHBand="0" w:noVBand="1" w:val="04A0"/>
      </w:tblPr>
      <w:tblGrid>
        <w:gridCol w:w="2018"/>
        <w:gridCol w:w="2018"/>
        <w:gridCol w:w="2018"/>
        <w:gridCol w:w="2018"/>
        <w:gridCol w:w="2018"/>
      </w:tblGrid>
      <w:tr>
        <w:trPr>
          <w:tblHeader w:val="true"/>
          <w:cantSplit/>
          <w:cantSplit/>
          <w:tblHeader w:val="true"/>
          <w:cantSplit/>
          <w:tblHeader w:val="true"/>
        </w:trPr>
        <w:tc>
          <w:tcPr>
            <w:tcW w:type="dxa" w:w="567"/>
            <w:shd w:fill="E8EEF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17345F"/>
                <w:sz w:val="16"/>
              </w:rPr>
              <w:t>ID</w:t>
            </w:r>
          </w:p>
        </w:tc>
        <w:tc>
          <w:tcPr>
            <w:tcW w:type="dxa" w:w="3288"/>
            <w:shd w:fill="E8EEF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17345F"/>
                <w:sz w:val="16"/>
              </w:rPr>
              <w:t>Russian canonical title</w:t>
            </w:r>
          </w:p>
        </w:tc>
        <w:tc>
          <w:tcPr>
            <w:tcW w:type="dxa" w:w="3515"/>
            <w:shd w:fill="E8EEF7"/>
            <w:tcMar>
              <w:top w:w="90" w:type="dxa"/>
              <w:start w:w="100" w:type="dxa"/>
              <w:bottom w:w="90" w:type="dxa"/>
              <w:end w:w="100" w:type="dxa"/>
            </w:tcMar>
            <w:vAlign w:val="center"/>
          </w:tcPr>
          <w:p>
            <w:pPr>
              <w:spacing w:after="0" w:before="0" w:line="252" w:lineRule="auto"/>
            </w:pPr>
            <w:r>
              <w:rPr>
                <w:rFonts w:ascii="DejaVu Serif" w:hAnsi="DejaVu Serif" w:eastAsia="DejaVu Serif"/>
                <w:b/>
                <w:color w:val="17345F"/>
                <w:sz w:val="16"/>
              </w:rPr>
              <w:t>Controlled English title</w:t>
            </w:r>
          </w:p>
        </w:tc>
        <w:tc>
          <w:tcPr>
            <w:tcW w:type="dxa" w:w="964"/>
            <w:shd w:fill="E8EEF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17345F"/>
                <w:sz w:val="16"/>
              </w:rPr>
              <w:t>RU p.</w:t>
            </w:r>
          </w:p>
        </w:tc>
        <w:tc>
          <w:tcPr>
            <w:tcW w:type="dxa" w:w="850"/>
            <w:shd w:fill="E8EEF7"/>
            <w:tcMar>
              <w:top w:w="90" w:type="dxa"/>
              <w:start w:w="100" w:type="dxa"/>
              <w:bottom w:w="90" w:type="dxa"/>
              <w:end w:w="100" w:type="dxa"/>
            </w:tcMar>
            <w:vAlign w:val="center"/>
          </w:tcPr>
          <w:p>
            <w:pPr>
              <w:spacing w:after="0" w:before="0" w:line="252" w:lineRule="auto"/>
            </w:pPr>
            <w:r>
              <w:rPr>
                <w:rFonts w:ascii="DejaVu Serif" w:hAnsi="DejaVu Serif" w:eastAsia="DejaVu Serif"/>
                <w:b/>
                <w:color w:val="17345F"/>
                <w:sz w:val="16"/>
              </w:rPr>
              <w:t>EN p.</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A</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Явные примеры и контрпримеры к PO-11 (§27.2.A)</w:t>
            </w:r>
          </w:p>
        </w:tc>
        <w:tc>
          <w:tcPr>
            <w:tcW w:type="dxa" w:w="3515"/>
            <w:tcMar>
              <w:top w:w="90" w:type="dxa"/>
              <w:start w:w="100" w:type="dxa"/>
              <w:bottom w:w="90" w:type="dxa"/>
              <w:end w:w="100" w:type="dxa"/>
            </w:tcMar>
            <w:vAlign w:val="center"/>
          </w:tcPr>
          <w:p>
            <w:pPr>
              <w:keepNext w:val="0"/>
              <w:spacing w:before="0" w:after="0" w:line="252" w:lineRule="auto"/>
              <w:jc w:val="left"/>
            </w:pPr>
            <w:hyperlink w:anchor="T1_APP_A" w:history="1">
              <w:r>
                <w:rPr>
                  <w:rStyle w:val="Hyperlink"/>
                  <w:color w:val="2E5F8A"/>
                  <w:u w:val="single"/>
                  <w:rFonts w:ascii="DejaVu Serif" w:hAnsi="DejaVu Serif" w:eastAsia="DejaVu Serif"/>
                  <w:sz w:val="14"/>
                </w:rPr>
                <w:t>Explicit Examples and Counterexamples for PO-11 (§27.2.A)</w:t>
              </w:r>
            </w:hyperlink>
          </w:p>
        </w:tc>
        <w:tc>
          <w:tcPr>
            <w:tcW w:type="dxa" w:w="964"/>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151</w:t>
            </w:r>
          </w:p>
        </w:tc>
        <w:tc>
          <w:tcPr>
            <w:tcW w:type="dxa" w:w="850"/>
            <w:tcMar>
              <w:top w:w="90" w:type="dxa"/>
              <w:start w:w="100" w:type="dxa"/>
              <w:bottom w:w="90" w:type="dxa"/>
              <w:end w:w="100" w:type="dxa"/>
            </w:tcMar>
            <w:vAlign w:val="center"/>
          </w:tcPr>
          <w:p>
            <w:r>
              <w:t>146</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B</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Вычислимый сертификат PO-12 (§27.2.B)</w:t>
            </w:r>
          </w:p>
        </w:tc>
        <w:tc>
          <w:tcPr>
            <w:tcW w:type="dxa" w:w="3515"/>
            <w:shd w:fill="F7F9FB"/>
            <w:tcMar>
              <w:top w:w="90" w:type="dxa"/>
              <w:start w:w="100" w:type="dxa"/>
              <w:bottom w:w="90" w:type="dxa"/>
              <w:end w:w="100" w:type="dxa"/>
            </w:tcMar>
            <w:vAlign w:val="center"/>
          </w:tcPr>
          <w:p>
            <w:pPr>
              <w:keepNext w:val="0"/>
              <w:spacing w:before="0" w:after="0" w:line="252" w:lineRule="auto"/>
              <w:jc w:val="left"/>
            </w:pPr>
            <w:hyperlink w:anchor="T1_APP_B" w:history="1">
              <w:r>
                <w:rPr>
                  <w:rStyle w:val="Hyperlink"/>
                  <w:color w:val="2E5F8A"/>
                  <w:u w:val="single"/>
                  <w:rFonts w:ascii="DejaVu Serif" w:hAnsi="DejaVu Serif" w:eastAsia="DejaVu Serif"/>
                  <w:sz w:val="14"/>
                </w:rPr>
                <w:t>Computable Certificate for PO-12 (§27.2.B)</w:t>
              </w:r>
            </w:hyperlink>
          </w:p>
        </w:tc>
        <w:tc>
          <w:tcPr>
            <w:tcW w:type="dxa" w:w="964"/>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157</w:t>
            </w:r>
          </w:p>
        </w:tc>
        <w:tc>
          <w:tcPr>
            <w:tcW w:type="dxa" w:w="850"/>
            <w:shd w:fill="F7F9FB"/>
            <w:tcMar>
              <w:top w:w="90" w:type="dxa"/>
              <w:start w:w="100" w:type="dxa"/>
              <w:bottom w:w="90" w:type="dxa"/>
              <w:end w:w="100" w:type="dxa"/>
            </w:tcMar>
            <w:vAlign w:val="center"/>
          </w:tcPr>
          <w:p>
            <w:r>
              <w:t>148</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C</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Полная генеалогия канонической конструкции</w:t>
            </w:r>
          </w:p>
        </w:tc>
        <w:tc>
          <w:tcPr>
            <w:tcW w:type="dxa" w:w="3515"/>
            <w:tcMar>
              <w:top w:w="90" w:type="dxa"/>
              <w:start w:w="100" w:type="dxa"/>
              <w:bottom w:w="90" w:type="dxa"/>
              <w:end w:w="100" w:type="dxa"/>
            </w:tcMar>
            <w:vAlign w:val="center"/>
          </w:tcPr>
          <w:p>
            <w:pPr>
              <w:keepNext w:val="0"/>
              <w:spacing w:before="0" w:after="0" w:line="252" w:lineRule="auto"/>
              <w:jc w:val="left"/>
            </w:pPr>
            <w:hyperlink w:anchor="T1_APP_C" w:history="1">
              <w:r>
                <w:rPr>
                  <w:rStyle w:val="Hyperlink"/>
                  <w:color w:val="2E5F8A"/>
                  <w:u w:val="single"/>
                  <w:rFonts w:ascii="DejaVu Serif" w:hAnsi="DejaVu Serif" w:eastAsia="DejaVu Serif"/>
                  <w:sz w:val="14"/>
                </w:rPr>
                <w:t>Complete Genealogy of the Canonical Construction</w:t>
              </w:r>
            </w:hyperlink>
          </w:p>
        </w:tc>
        <w:tc>
          <w:tcPr>
            <w:tcW w:type="dxa" w:w="964"/>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223</w:t>
            </w:r>
          </w:p>
        </w:tc>
        <w:tc>
          <w:tcPr>
            <w:tcW w:type="dxa" w:w="850"/>
            <w:tcMar>
              <w:top w:w="90" w:type="dxa"/>
              <w:start w:w="100" w:type="dxa"/>
              <w:bottom w:w="90" w:type="dxa"/>
              <w:end w:w="100" w:type="dxa"/>
            </w:tcMar>
            <w:vAlign w:val="center"/>
          </w:tcPr>
          <w:p>
            <w:r>
              <w:t>150</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D</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ПН.2: отрицательные утверждения и ремонт</w:t>
            </w:r>
          </w:p>
        </w:tc>
        <w:tc>
          <w:tcPr>
            <w:tcW w:type="dxa" w:w="3515"/>
            <w:shd w:fill="F7F9FB"/>
            <w:tcMar>
              <w:top w:w="90" w:type="dxa"/>
              <w:start w:w="100" w:type="dxa"/>
              <w:bottom w:w="90" w:type="dxa"/>
              <w:end w:w="100" w:type="dxa"/>
            </w:tcMar>
            <w:vAlign w:val="center"/>
          </w:tcPr>
          <w:p>
            <w:pPr>
              <w:keepNext w:val="0"/>
              <w:spacing w:before="0" w:after="0" w:line="252" w:lineRule="auto"/>
              <w:jc w:val="left"/>
            </w:pPr>
            <w:hyperlink w:anchor="T1_APP_D" w:history="1">
              <w:r>
                <w:rPr>
                  <w:rStyle w:val="Hyperlink"/>
                  <w:color w:val="2E5F8A"/>
                  <w:u w:val="single"/>
                  <w:rFonts w:ascii="DejaVu Serif" w:hAnsi="DejaVu Serif" w:eastAsia="DejaVu Serif"/>
                  <w:sz w:val="14"/>
                </w:rPr>
                <w:t>PN.2: Negative Statements and Repairs</w:t>
              </w:r>
            </w:hyperlink>
          </w:p>
        </w:tc>
        <w:tc>
          <w:tcPr>
            <w:tcW w:type="dxa" w:w="964"/>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225</w:t>
            </w:r>
          </w:p>
        </w:tc>
        <w:tc>
          <w:tcPr>
            <w:tcW w:type="dxa" w:w="850"/>
            <w:shd w:fill="F7F9FB"/>
            <w:tcMar>
              <w:top w:w="90" w:type="dxa"/>
              <w:start w:w="100" w:type="dxa"/>
              <w:bottom w:w="90" w:type="dxa"/>
              <w:end w:w="100" w:type="dxa"/>
            </w:tcMar>
            <w:vAlign w:val="center"/>
          </w:tcPr>
          <w:p>
            <w:r>
              <w:t>151</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E</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Исполнимый десятистадийный протокол Atlas</w:t>
            </w:r>
          </w:p>
        </w:tc>
        <w:tc>
          <w:tcPr>
            <w:tcW w:type="dxa" w:w="3515"/>
            <w:tcMar>
              <w:top w:w="90" w:type="dxa"/>
              <w:start w:w="100" w:type="dxa"/>
              <w:bottom w:w="90" w:type="dxa"/>
              <w:end w:w="100" w:type="dxa"/>
            </w:tcMar>
            <w:vAlign w:val="center"/>
          </w:tcPr>
          <w:p>
            <w:pPr>
              <w:keepNext w:val="0"/>
              <w:spacing w:before="0" w:after="0" w:line="252" w:lineRule="auto"/>
              <w:jc w:val="left"/>
            </w:pPr>
            <w:hyperlink w:anchor="T1_APP_E" w:history="1">
              <w:r>
                <w:rPr>
                  <w:rStyle w:val="Hyperlink"/>
                  <w:color w:val="2E5F8A"/>
                  <w:u w:val="single"/>
                  <w:rFonts w:ascii="DejaVu Serif" w:hAnsi="DejaVu Serif" w:eastAsia="DejaVu Serif"/>
                  <w:sz w:val="14"/>
                </w:rPr>
                <w:t>Executable Ten-Stage Atlas Protocol</w:t>
              </w:r>
            </w:hyperlink>
          </w:p>
        </w:tc>
        <w:tc>
          <w:tcPr>
            <w:tcW w:type="dxa" w:w="964"/>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226</w:t>
            </w:r>
          </w:p>
        </w:tc>
        <w:tc>
          <w:tcPr>
            <w:tcW w:type="dxa" w:w="850"/>
            <w:tcMar>
              <w:top w:w="90" w:type="dxa"/>
              <w:start w:w="100" w:type="dxa"/>
              <w:bottom w:w="90" w:type="dxa"/>
              <w:end w:w="100" w:type="dxa"/>
            </w:tcMar>
            <w:vAlign w:val="center"/>
          </w:tcPr>
          <w:p>
            <w:r>
              <w:t>152</w:t>
            </w:r>
          </w:p>
        </w:tc>
      </w:tr>
      <w:tr>
        <w:trPr>
          <w:cantSplit/>
          <w:cantSplit/>
          <w:cantSplit/>
        </w:trPr>
        <w:tc>
          <w:tcPr>
            <w:tcW w:type="dxa" w:w="567"/>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F</w:t>
            </w:r>
          </w:p>
        </w:tc>
        <w:tc>
          <w:tcPr>
            <w:tcW w:type="dxa" w:w="328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Реестр формул редакции v196i14</w:t>
            </w:r>
          </w:p>
        </w:tc>
        <w:tc>
          <w:tcPr>
            <w:tcW w:type="dxa" w:w="3515"/>
            <w:shd w:fill="F7F9FB"/>
            <w:tcMar>
              <w:top w:w="90" w:type="dxa"/>
              <w:start w:w="100" w:type="dxa"/>
              <w:bottom w:w="90" w:type="dxa"/>
              <w:end w:w="100" w:type="dxa"/>
            </w:tcMar>
            <w:vAlign w:val="center"/>
          </w:tcPr>
          <w:p>
            <w:pPr>
              <w:keepNext w:val="0"/>
              <w:spacing w:before="0" w:after="0" w:line="252" w:lineRule="auto"/>
              <w:jc w:val="left"/>
            </w:pPr>
            <w:hyperlink w:anchor="T1_APP_F" w:history="1">
              <w:r>
                <w:rPr>
                  <w:rStyle w:val="Hyperlink"/>
                  <w:color w:val="2E5F8A"/>
                  <w:u w:val="single"/>
                  <w:rFonts w:ascii="DejaVu Serif" w:hAnsi="DejaVu Serif" w:eastAsia="DejaVu Serif"/>
                  <w:sz w:val="14"/>
                </w:rPr>
                <w:t>Formula Register of Edition v196i14</w:t>
              </w:r>
            </w:hyperlink>
          </w:p>
        </w:tc>
        <w:tc>
          <w:tcPr>
            <w:tcW w:type="dxa" w:w="964"/>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227</w:t>
            </w:r>
          </w:p>
        </w:tc>
        <w:tc>
          <w:tcPr>
            <w:tcW w:type="dxa" w:w="850"/>
            <w:shd w:fill="F7F9FB"/>
            <w:tcMar>
              <w:top w:w="90" w:type="dxa"/>
              <w:start w:w="100" w:type="dxa"/>
              <w:bottom w:w="90" w:type="dxa"/>
              <w:end w:w="100" w:type="dxa"/>
            </w:tcMar>
            <w:vAlign w:val="center"/>
          </w:tcPr>
          <w:p>
            <w:r>
              <w:t>153</w:t>
            </w:r>
          </w:p>
        </w:tc>
      </w:tr>
      <w:tr>
        <w:trPr>
          <w:cantSplit/>
          <w:cantSplit/>
          <w:cantSplit/>
        </w:trPr>
        <w:tc>
          <w:tcPr>
            <w:tcW w:type="dxa" w:w="56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G</w:t>
            </w:r>
          </w:p>
        </w:tc>
        <w:tc>
          <w:tcPr>
            <w:tcW w:type="dxa" w:w="328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Каноническая синхронизация ПН.2 и F-1–F-14</w:t>
            </w:r>
          </w:p>
        </w:tc>
        <w:tc>
          <w:tcPr>
            <w:tcW w:type="dxa" w:w="3515"/>
            <w:tcMar>
              <w:top w:w="90" w:type="dxa"/>
              <w:start w:w="100" w:type="dxa"/>
              <w:bottom w:w="90" w:type="dxa"/>
              <w:end w:w="100" w:type="dxa"/>
            </w:tcMar>
            <w:vAlign w:val="center"/>
          </w:tcPr>
          <w:p>
            <w:pPr>
              <w:keepNext w:val="0"/>
              <w:spacing w:before="0" w:after="0" w:line="252" w:lineRule="auto"/>
              <w:jc w:val="left"/>
            </w:pPr>
            <w:hyperlink w:anchor="T1_APP_G" w:history="1">
              <w:r>
                <w:rPr>
                  <w:rStyle w:val="Hyperlink"/>
                  <w:color w:val="2E5F8A"/>
                  <w:u w:val="single"/>
                  <w:rFonts w:ascii="DejaVu Serif" w:hAnsi="DejaVu Serif" w:eastAsia="DejaVu Serif"/>
                  <w:sz w:val="14"/>
                </w:rPr>
                <w:t>Canonical Synchronisation of PN.2 and F-1–F-14</w:t>
              </w:r>
            </w:hyperlink>
          </w:p>
        </w:tc>
        <w:tc>
          <w:tcPr>
            <w:tcW w:type="dxa" w:w="964"/>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231</w:t>
            </w:r>
          </w:p>
        </w:tc>
        <w:tc>
          <w:tcPr>
            <w:tcW w:type="dxa" w:w="850"/>
            <w:tcMar>
              <w:top w:w="90" w:type="dxa"/>
              <w:start w:w="100" w:type="dxa"/>
              <w:bottom w:w="90" w:type="dxa"/>
              <w:end w:w="100" w:type="dxa"/>
            </w:tcMar>
            <w:vAlign w:val="center"/>
          </w:tcPr>
          <w:p>
            <w:r>
              <w:t>157</w:t>
            </w:r>
          </w:p>
        </w:tc>
      </w:tr>
      <w:tr>
        <w:trPr>
          <w:cantSplit/>
        </w:trPr>
        <w:tc>
          <w:tcPr>
            <w:tcW w:type="dxa" w:w="567"/>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H-I</w:t>
            </w:r>
          </w:p>
        </w:tc>
        <w:tc>
          <w:tcPr>
            <w:tcW w:type="dxa" w:w="3288"/>
            <w:vAlign w:val="center"/>
            <w:tcMar>
              <w:top w:w="90" w:type="dxa"/>
              <w:start w:w="100" w:type="dxa"/>
              <w:bottom w:w="90" w:type="dxa"/>
              <w:end w:w="100" w:type="dxa"/>
            </w:tcMar>
          </w:tcPr>
          <w:p>
            <w:pPr>
              <w:spacing w:before="0" w:after="0" w:line="252" w:lineRule="auto"/>
            </w:pPr>
            <w:r>
              <w:rPr>
                <w:rFonts w:ascii="DejaVu Serif" w:hAnsi="DejaVu Serif" w:eastAsia="DejaVu Serif"/>
                <w:sz w:val="16"/>
              </w:rPr>
              <w:t>Двуязычный аудит; кандидат заморозки и квитанция</w:t>
            </w:r>
          </w:p>
        </w:tc>
        <w:tc>
          <w:tcPr>
            <w:tcW w:type="dxa" w:w="3515"/>
            <w:vAlign w:val="center"/>
            <w:tcMar>
              <w:top w:w="90" w:type="dxa"/>
              <w:start w:w="100" w:type="dxa"/>
              <w:bottom w:w="90" w:type="dxa"/>
              <w:end w:w="100" w:type="dxa"/>
            </w:tcMar>
          </w:tcPr>
          <w:p>
            <w:pPr>
              <w:spacing w:before="0" w:after="0" w:line="252" w:lineRule="auto"/>
            </w:pPr>
            <w:hyperlink w:anchor="APP_I_FC" w:history="1">
              <w:r>
                <w:rPr>
                  <w:color w:val="17345F"/>
                  <w:u w:val="single"/>
                  <w:rFonts w:ascii="DejaVu Serif" w:hAnsi="DejaVu Serif"/>
                </w:rPr>
                <w:t>Bilingual Audit; Freeze Candidate and Receipt</w:t>
              </w:r>
            </w:hyperlink>
          </w:p>
        </w:tc>
        <w:tc>
          <w:tcPr>
            <w:tcW w:type="dxa" w:w="964"/>
            <w:vAlign w:val="center"/>
            <w:tcMar>
              <w:top w:w="90" w:type="dxa"/>
              <w:start w:w="100" w:type="dxa"/>
              <w:bottom w:w="90" w:type="dxa"/>
              <w:end w:w="100" w:type="dxa"/>
            </w:tcMar>
          </w:tcPr>
          <w:p>
            <w:pPr>
              <w:spacing w:before="0" w:after="0" w:line="252" w:lineRule="auto"/>
            </w:pPr>
            <w:r>
              <w:rPr>
                <w:rFonts w:ascii="DejaVu Serif" w:hAnsi="DejaVu Serif" w:eastAsia="DejaVu Serif"/>
                <w:sz w:val="16"/>
              </w:rPr>
              <w:t>derivative</w:t>
            </w:r>
          </w:p>
        </w:tc>
        <w:tc>
          <w:tcPr>
            <w:tcW w:type="dxa" w:w="850"/>
            <w:vAlign w:val="center"/>
            <w:tcMar>
              <w:top w:w="90" w:type="dxa"/>
              <w:start w:w="100" w:type="dxa"/>
              <w:bottom w:w="90" w:type="dxa"/>
              <w:end w:w="100" w:type="dxa"/>
            </w:tcMar>
          </w:tcPr>
          <w:p>
            <w:r>
              <w:t>169 / 173</w:t>
            </w:r>
          </w:p>
        </w:tc>
      </w:tr>
    </w:tbl>
    <w:p>
      <w:pPr>
        <w:pStyle w:val="Heading1"/>
        <w:keepNext/>
      </w:pPr>
    </w:p>
    <w:p>
      <w:pPr>
        <w:keepNext w:val="0"/>
        <w:spacing w:before="0" w:after="100" w:line="259" w:lineRule="auto"/>
      </w:pPr>
      <w:r>
        <w:rPr>
          <w:rFonts w:ascii="DejaVu Serif" w:hAnsi="DejaVu Serif"/>
          <w:b w:val="0"/>
          <w:i w:val="0"/>
          <w:color w:val="111111"/>
          <w:sz w:val="20"/>
        </w:rPr>
        <w:t>The formula inventory is continuous. Formula IDs are immutable. A future deletion is recorded as deprecated; the identifier is never reassigned. At this checkpoint the English purpose labels are navigation aids, not replacements for the formulae themselves.</w:t>
      </w:r>
    </w:p>
    <w:tbl>
      <w:tblPr>
        <w:tblStyle w:val="TableGrid"/>
        <w:tblW w:type="auto" w:w="0"/>
        <w:jc w:val="center"/>
        <w:tblLayout w:type="fixed"/>
        <w:tblLook w:firstColumn="1" w:firstRow="1" w:lastColumn="0" w:lastRow="0" w:noHBand="0" w:noVBand="1" w:val="04A0"/>
      </w:tblPr>
      <w:tblGrid>
        <w:gridCol w:w="3364"/>
        <w:gridCol w:w="3364"/>
        <w:gridCol w:w="3364"/>
      </w:tblGrid>
      <w:tr>
        <w:trPr>
          <w:tblHeader w:val="true"/>
          <w:cantSplit/>
          <w:cantSplit/>
          <w:tblHeader w:val="true"/>
          <w:cantSplit/>
          <w:tblHeader w:val="true"/>
        </w:trPr>
        <w:tc>
          <w:tcPr>
            <w:tcW w:type="dxa" w:w="964"/>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5"/>
              </w:rPr>
              <w:t>ID</w:t>
            </w:r>
          </w:p>
        </w:tc>
        <w:tc>
          <w:tcPr>
            <w:tcW w:type="dxa" w:w="850"/>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5"/>
              </w:rPr>
              <w:t>RU p.</w:t>
            </w:r>
          </w:p>
        </w:tc>
        <w:tc>
          <w:tcPr>
            <w:tcW w:type="dxa" w:w="7370"/>
            <w:shd w:fill="173B63"/>
            <w:tcMar>
              <w:top w:w="90" w:type="dxa"/>
              <w:start w:w="100" w:type="dxa"/>
              <w:bottom w:w="90" w:type="dxa"/>
              <w:end w:w="100" w:type="dxa"/>
            </w:tcMar>
            <w:vAlign w:val="center"/>
          </w:tcPr>
          <w:p>
            <w:r>
              <w:rPr>
                <w:rFonts w:ascii="DejaVu Serif" w:hAnsi="DejaVu Serif" w:eastAsia="DejaVu Serif"/>
                <w:sz w:val="15"/>
              </w:rPr>
              <w:t>Controlled English purpose</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F001</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205</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raw observation object</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F002</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205</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evidence extension</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F003</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205</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D/Dom barrier</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F004</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205</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canonical Reper quadruple</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F005</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205</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Reper validity</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F006</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205</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packet morphism</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F007</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205</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Block absorption</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F008</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206</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NAPG associator</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F009</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206</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bracketing as a mandatory field</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F010</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207</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Volume I cross-ratio</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F011</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207</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harmonic defect</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F012</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207</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homogeneous form</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F013</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207</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projective equivariance of the invariant</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F014</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207</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harmonically conjugate point</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F015</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207</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verification example for harmonicity</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F016</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207</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Reper forecast set</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F017</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207</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two forms of incompleteness: output=ABSTAIN and Block≠∅</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F018</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208</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equivariance of the forecast set</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F019</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208</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local stability away from poles</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F020</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209</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lattice of predictive limits</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F021</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209</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monotonicity of limits</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F022</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209</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admissibility relative to a limit</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F023</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209</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restriction of the forecast set</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F024</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209</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monotonicity of prediction</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F025</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209</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horizon of Reper action</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F026</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209</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limit contract</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F027</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209</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five limit coordinates</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F028</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210</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mismatch metric</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F029</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210</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calibrated risk</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F030</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211</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rebuilding neighbourhood</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F031</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211</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set of nearest Repers</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F032</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211</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gap of the nearest candidate</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F033</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211</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selection stability</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F034</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211</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Lipschitz bound for rebuilding</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F035</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211</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Reper versioning</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F036</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212</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nonassociativity of sequential revision</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F037</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212</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revision nonassociativity</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F038</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212</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honest gain from rebuilding</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F039</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213</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Atlas v2.1 counters</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F040</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213</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RBD graph</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F041</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213</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substochastic kernel</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F042</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213</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abstention mass</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F043</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213</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propagation operator</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F044</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213</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contraction estimate</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F045</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213</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fixed vector</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F046</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213</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convergence rate</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F047</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213</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perturbation of the fixed point</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F048</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214</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interval operators</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F049</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214</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fixed-point envelope</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F050</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215</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conditional predictive coverage</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F051</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215</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sequential budget</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F052</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215</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multiple-comparison budget</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F053</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215</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operational criterion of gain</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F054</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216</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union bound</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F055</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223</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original Reper notation from monograph 5.0</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F056</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223</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original harmonic criterion</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F057</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223</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computable coordinate</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F058</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223</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harmonicity defect</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F059</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223</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architectural sum</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F060</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223</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historical composition of change and action</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F061</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223</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limit-dependent operator</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F062</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223</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historical predictive chain</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F063</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225</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PN.2-A core</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F064</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225</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insufficiency of the triple</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F065</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225</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repair by a fourth element</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F066</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225</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packet hole</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F067</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225</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repair operator</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F068</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225</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completeness criterion</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F069</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226</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stage coupling</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F070</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226</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temporal monotonicity</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F071</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226</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absorption before publication</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F072</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226</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publication gate</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F073</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229</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number of formulae in the new layer</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F074</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217</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testable quadratic layer X²_N</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F075</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217</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quadratic obstruction O_B and quotient projection</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F076</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217</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commutative computation square for an NAPG_q morphism</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F077</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217</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degrees of the minimal cochain complex C_min•</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F078</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217</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components of the differential δ_min</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F079</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218</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canonical internal bridge Θ_min=id</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F080</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218</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canonical identification H³(C_min•)≅O_B</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F081</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218</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naturality of the isomorphism κ</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F082</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219</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chain equalities for the external bridge J</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F083</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219</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naturality of the external-bridge components</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F084</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219</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definition of the conditional external certificate Π_E</w:t>
            </w:r>
          </w:p>
        </w:tc>
      </w:tr>
      <w:tr>
        <w:trPr>
          <w:cantSplit/>
          <w:cantSplit/>
          <w:cantSplit/>
        </w:trPr>
        <w:tc>
          <w:tcPr>
            <w:tcW w:type="dxa" w:w="96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F085</w:t>
            </w:r>
          </w:p>
        </w:tc>
        <w:tc>
          <w:tcPr>
            <w:tcW w:type="dxa" w:w="850"/>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219</w:t>
            </w:r>
          </w:p>
        </w:tc>
        <w:tc>
          <w:tcPr>
            <w:tcW w:type="dxa" w:w="7370"/>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naturality of Π_E with respect to morphisms</w:t>
            </w:r>
          </w:p>
        </w:tc>
      </w:tr>
      <w:tr>
        <w:trPr>
          <w:cantSplit/>
          <w:cantSplit/>
          <w:cantSplit/>
        </w:trPr>
        <w:tc>
          <w:tcPr>
            <w:tcW w:type="dxa" w:w="96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F086</w:t>
            </w:r>
          </w:p>
        </w:tc>
        <w:tc>
          <w:tcPr>
            <w:tcW w:type="dxa" w:w="850"/>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5"/>
              </w:rPr>
              <w:t>220</w:t>
            </w:r>
          </w:p>
        </w:tc>
        <w:tc>
          <w:tcPr>
            <w:tcW w:type="dxa" w:w="7370"/>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5"/>
              </w:rPr>
              <w:t>conditional associator class in external H³(E•)</w:t>
            </w:r>
          </w:p>
        </w:tc>
      </w:tr>
    </w:tbl>
    <w:tbl>
      <w:tblPr>
        <w:tblW w:type="auto" w:w="0"/>
        <w:jc w:val="center"/>
        <w:tblLayout w:type="autofit"/>
        <w:tblLook w:firstColumn="1" w:firstRow="1" w:lastColumn="0" w:lastRow="0" w:noHBand="0" w:noVBand="1" w:val="04A0"/>
      </w:tblPr>
      <w:tblGrid>
        <w:gridCol w:w="10092"/>
      </w:tblGrid>
      <w:tr>
        <w:trPr>
          <w:cantSplit/>
          <w:tblHeader w:val="true"/>
          <w:cantSplit/>
          <w:tblHeader w:val="true"/>
        </w:trPr>
        <w:tc>
          <w:tcPr>
            <w:tcW w:type="dxa" w:w="10092"/>
            <w:shd w:fill="E7F3EB"/>
            <w:tcMar>
              <w:top w:w="90" w:type="dxa"/>
              <w:start w:w="100" w:type="dxa"/>
              <w:bottom w:w="90" w:type="dxa"/>
              <w:end w:w="100" w:type="dxa"/>
            </w:tcMar>
            <w:vAlign w:val="center"/>
          </w:tcPr>
          <w:p>
            <w:pPr>
              <w:keepNext w:val="0"/>
              <w:spacing w:before="0" w:after="0" w:line="252" w:lineRule="auto"/>
            </w:pPr>
            <w:r>
              <w:rPr>
                <w:rFonts w:ascii="DejaVu Serif" w:hAnsi="DejaVu Serif" w:eastAsia="DejaVu Serif"/>
                <w:b/>
                <w:i w:val="0"/>
                <w:color w:val="2F6B48"/>
                <w:sz w:val="18"/>
              </w:rPr>
              <w:t xml:space="preserve">FORMULA-REGISTRY-CERT.  </w:t>
            </w:r>
            <w:r>
              <w:rPr>
                <w:rFonts w:ascii="DejaVu Serif" w:hAnsi="DejaVu Serif" w:eastAsia="DejaVu Serif"/>
                <w:b w:val="0"/>
                <w:i w:val="0"/>
                <w:color w:val="111111"/>
                <w:sz w:val="18"/>
              </w:rPr>
              <w:t>The range F001–F086 is continuous. F001–F073 retain earlier identifiers; F074–F086 are imported from §§52.9–52.14 without renumbering.</w:t>
            </w:r>
          </w:p>
        </w:tc>
      </w:tr>
    </w:tbl>
    <w:p>
      <w:pPr>
        <w:pStyle w:val="Heading1"/>
        <w:keepNext/>
      </w:pPr>
    </w:p>
    <w:tbl>
      <w:tblPr>
        <w:tblStyle w:val="TableGrid"/>
        <w:tblW w:type="auto" w:w="0"/>
        <w:jc w:val="center"/>
        <w:tblLayout w:type="autofit"/>
        <w:tblLook w:firstColumn="1" w:firstRow="1" w:lastColumn="0" w:lastRow="0" w:noHBand="0" w:noVBand="1" w:val="04A0"/>
      </w:tblPr>
      <w:tblGrid>
        <w:gridCol w:w="3364"/>
        <w:gridCol w:w="3364"/>
        <w:gridCol w:w="3364"/>
      </w:tblGrid>
      <w:tr>
        <w:trPr>
          <w:tblHeader w:val="true"/>
          <w:cantSplit/>
          <w:cantSplit/>
          <w:tblHeader w:val="true"/>
          <w:cantSplit/>
          <w:tblHeader w:val="true"/>
        </w:trPr>
        <w:tc>
          <w:tcPr>
            <w:tcW w:type="dxa" w:w="2268"/>
            <w:shd w:fill="E8EEF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17345F"/>
                <w:sz w:val="16"/>
              </w:rPr>
              <w:t>Checkpoint</w:t>
            </w:r>
          </w:p>
        </w:tc>
        <w:tc>
          <w:tcPr>
            <w:tcW w:type="dxa" w:w="4932"/>
            <w:shd w:fill="E8EEF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17345F"/>
                <w:sz w:val="16"/>
              </w:rPr>
              <w:t>Scope</w:t>
            </w:r>
          </w:p>
        </w:tc>
        <w:tc>
          <w:tcPr>
            <w:tcW w:type="dxa" w:w="1814"/>
            <w:shd w:fill="E8EEF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17345F"/>
                <w:sz w:val="16"/>
              </w:rPr>
              <w:t>Status</w:t>
            </w:r>
          </w:p>
        </w:tc>
      </w:tr>
      <w:tr>
        <w:trPr>
          <w:cantSplit/>
          <w:cantSplit/>
          <w:cantSplit/>
        </w:trPr>
        <w:tc>
          <w:tcPr>
            <w:tcW w:type="dxa" w:w="2268"/>
            <w:tcMar>
              <w:top w:w="90" w:type="dxa"/>
              <w:start w:w="100" w:type="dxa"/>
              <w:bottom w:w="90" w:type="dxa"/>
              <w:end w:w="100" w:type="dxa"/>
            </w:tcMar>
            <w:vAlign w:val="center"/>
          </w:tcPr>
          <w:p>
            <w:pPr>
              <w:spacing w:after="0" w:before="0" w:line="252" w:lineRule="auto"/>
              <w:jc w:val="center"/>
            </w:pPr>
            <w:r>
              <w:rPr>
                <w:rFonts w:ascii="DejaVu Serif" w:hAnsi="DejaVu Serif" w:eastAsia="DejaVu Serif"/>
                <w:sz w:val="16"/>
              </w:rPr>
              <w:t>T1-EN-START-v0.1</w:t>
            </w:r>
          </w:p>
        </w:tc>
        <w:tc>
          <w:tcPr>
            <w:tcW w:type="dxa" w:w="4932"/>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Contract, abstract, terminology, chapter/appendix/formula maps</w:t>
            </w:r>
          </w:p>
        </w:tc>
        <w:tc>
          <w:tcPr>
            <w:tcW w:type="dxa" w:w="1814"/>
            <w:tcMar>
              <w:top w:w="90" w:type="dxa"/>
              <w:start w:w="100" w:type="dxa"/>
              <w:bottom w:w="90" w:type="dxa"/>
              <w:end w:w="100" w:type="dxa"/>
            </w:tcMar>
            <w:vAlign w:val="center"/>
          </w:tcPr>
          <w:p>
            <w:pPr>
              <w:spacing w:before="0" w:after="0" w:line="252" w:lineRule="auto"/>
            </w:pPr>
            <w:r>
              <w:rPr>
                <w:rFonts w:ascii="DejaVu Serif" w:hAnsi="DejaVu Serif" w:eastAsia="DejaVu Serif"/>
                <w:sz w:val="16"/>
              </w:rPr>
              <w:t>PREDECESSOR</w:t>
            </w:r>
          </w:p>
        </w:tc>
      </w:tr>
      <w:tr>
        <w:trPr>
          <w:cantSplit/>
          <w:cantSplit/>
          <w:cantSplit/>
        </w:trPr>
        <w:tc>
          <w:tcPr>
            <w:tcW w:type="dxa" w:w="2268"/>
            <w:shd w:fill="F7F9FB"/>
            <w:tcMar>
              <w:top w:w="90" w:type="dxa"/>
              <w:start w:w="100" w:type="dxa"/>
              <w:bottom w:w="90" w:type="dxa"/>
              <w:end w:w="100" w:type="dxa"/>
            </w:tcMar>
            <w:vAlign w:val="center"/>
          </w:tcPr>
          <w:p>
            <w:pPr>
              <w:spacing w:after="0" w:before="0" w:line="252" w:lineRule="auto"/>
              <w:jc w:val="center"/>
            </w:pPr>
            <w:r>
              <w:rPr>
                <w:rFonts w:ascii="DejaVu Serif" w:hAnsi="DejaVu Serif" w:eastAsia="DejaVu Serif"/>
                <w:sz w:val="16"/>
              </w:rPr>
              <w:t>T1-EN-FOUNDATIONS-v0.2</w:t>
            </w:r>
          </w:p>
        </w:tc>
        <w:tc>
          <w:tcPr>
            <w:tcW w:type="dxa" w:w="4932"/>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Chapters 1–8</w:t>
            </w:r>
          </w:p>
        </w:tc>
        <w:tc>
          <w:tcPr>
            <w:tcW w:type="dxa" w:w="1814"/>
            <w:shd w:fill="F7F9FB"/>
            <w:tcMar>
              <w:top w:w="90" w:type="dxa"/>
              <w:start w:w="100" w:type="dxa"/>
              <w:bottom w:w="90" w:type="dxa"/>
              <w:end w:w="100" w:type="dxa"/>
            </w:tcMar>
            <w:vAlign w:val="center"/>
          </w:tcPr>
          <w:p>
            <w:pPr>
              <w:spacing w:before="0" w:after="0" w:line="252" w:lineRule="auto"/>
            </w:pPr>
            <w:r>
              <w:rPr>
                <w:rFonts w:ascii="DejaVu Serif" w:hAnsi="DejaVu Serif" w:eastAsia="DejaVu Serif"/>
                <w:sz w:val="16"/>
              </w:rPr>
              <w:t>PREDECESSOR</w:t>
            </w:r>
          </w:p>
        </w:tc>
      </w:tr>
      <w:tr>
        <w:trPr>
          <w:cantSplit/>
          <w:cantSplit/>
          <w:cantSplit/>
        </w:trPr>
        <w:tc>
          <w:tcPr>
            <w:tcW w:type="dxa" w:w="2268"/>
            <w:tcMar>
              <w:top w:w="90" w:type="dxa"/>
              <w:start w:w="100" w:type="dxa"/>
              <w:bottom w:w="90" w:type="dxa"/>
              <w:end w:w="100" w:type="dxa"/>
            </w:tcMar>
            <w:vAlign w:val="center"/>
          </w:tcPr>
          <w:p>
            <w:pPr>
              <w:spacing w:after="0" w:before="0" w:line="252" w:lineRule="auto"/>
              <w:jc w:val="center"/>
            </w:pPr>
            <w:r>
              <w:rPr>
                <w:rFonts w:ascii="DejaVu Serif" w:hAnsi="DejaVu Serif" w:eastAsia="DejaVu Serif"/>
                <w:sz w:val="16"/>
              </w:rPr>
              <w:t>T1-EN-GEOMETRY-v0.3</w:t>
            </w:r>
          </w:p>
        </w:tc>
        <w:tc>
          <w:tcPr>
            <w:tcW w:type="dxa" w:w="4932"/>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Chapters 9–16</w:t>
            </w:r>
          </w:p>
        </w:tc>
        <w:tc>
          <w:tcPr>
            <w:tcW w:type="dxa" w:w="1814"/>
            <w:tcMar>
              <w:top w:w="90" w:type="dxa"/>
              <w:start w:w="100" w:type="dxa"/>
              <w:bottom w:w="90" w:type="dxa"/>
              <w:end w:w="100" w:type="dxa"/>
            </w:tcMar>
            <w:vAlign w:val="center"/>
          </w:tcPr>
          <w:p>
            <w:pPr>
              <w:spacing w:before="0" w:after="0" w:line="252" w:lineRule="auto"/>
            </w:pPr>
            <w:r>
              <w:rPr>
                <w:rFonts w:ascii="DejaVu Serif" w:hAnsi="DejaVu Serif" w:eastAsia="DejaVu Serif"/>
                <w:sz w:val="16"/>
              </w:rPr>
              <w:t>PREDECESSOR</w:t>
            </w:r>
          </w:p>
        </w:tc>
      </w:tr>
      <w:tr>
        <w:trPr>
          <w:cantSplit/>
          <w:cantSplit/>
          <w:cantSplit/>
        </w:trPr>
        <w:tc>
          <w:tcPr>
            <w:tcW w:type="dxa" w:w="2268"/>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T1-EN-OPERATORS-v0.4</w:t>
            </w:r>
          </w:p>
        </w:tc>
        <w:tc>
          <w:tcPr>
            <w:tcW w:type="dxa" w:w="4932"/>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Chapters 17–26</w:t>
            </w:r>
          </w:p>
        </w:tc>
        <w:tc>
          <w:tcPr>
            <w:tcW w:type="dxa" w:w="1814"/>
            <w:shd w:fill="F7F9FB"/>
            <w:tcMar>
              <w:top w:w="90" w:type="dxa"/>
              <w:start w:w="100" w:type="dxa"/>
              <w:bottom w:w="90" w:type="dxa"/>
              <w:end w:w="100" w:type="dxa"/>
            </w:tcMar>
            <w:vAlign w:val="center"/>
          </w:tcPr>
          <w:p>
            <w:pPr>
              <w:spacing w:before="0" w:after="0" w:line="252" w:lineRule="auto"/>
            </w:pPr>
            <w:r>
              <w:rPr>
                <w:rFonts w:ascii="DejaVu Serif" w:hAnsi="DejaVu Serif" w:eastAsia="DejaVu Serif"/>
                <w:sz w:val="16"/>
              </w:rPr>
              <w:t>PREDECESSOR</w:t>
            </w:r>
          </w:p>
        </w:tc>
      </w:tr>
      <w:tr>
        <w:trPr>
          <w:cantSplit/>
          <w:cantSplit/>
          <w:cantSplit/>
        </w:trPr>
        <w:tc>
          <w:tcPr>
            <w:tcW w:type="dxa" w:w="2268"/>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T1-EN-PN2-v0.5</w:t>
            </w:r>
          </w:p>
        </w:tc>
        <w:tc>
          <w:tcPr>
            <w:tcW w:type="dxa" w:w="4932"/>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Chapters 27–31 and internal A–B synchronisation</w:t>
            </w:r>
          </w:p>
        </w:tc>
        <w:tc>
          <w:tcPr>
            <w:tcW w:type="dxa" w:w="1814"/>
            <w:tcMar>
              <w:top w:w="90" w:type="dxa"/>
              <w:start w:w="100" w:type="dxa"/>
              <w:bottom w:w="90" w:type="dxa"/>
              <w:end w:w="100" w:type="dxa"/>
            </w:tcMar>
            <w:vAlign w:val="center"/>
          </w:tcPr>
          <w:p>
            <w:pPr>
              <w:spacing w:before="0" w:after="0" w:line="252" w:lineRule="auto"/>
            </w:pPr>
            <w:r>
              <w:rPr>
                <w:rFonts w:ascii="DejaVu Serif" w:hAnsi="DejaVu Serif" w:eastAsia="DejaVu Serif"/>
                <w:sz w:val="16"/>
              </w:rPr>
              <w:t>PREDECESSOR</w:t>
            </w:r>
          </w:p>
        </w:tc>
      </w:tr>
      <w:tr>
        <w:trPr>
          <w:cantSplit/>
          <w:cantSplit/>
          <w:cantSplit/>
        </w:trPr>
        <w:tc>
          <w:tcPr>
            <w:tcW w:type="dxa" w:w="2268"/>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T1-EN-DATA-v0.6</w:t>
            </w:r>
          </w:p>
        </w:tc>
        <w:tc>
          <w:tcPr>
            <w:tcW w:type="dxa" w:w="4932"/>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Chapters 32–40</w:t>
            </w:r>
          </w:p>
        </w:tc>
        <w:tc>
          <w:tcPr>
            <w:tcW w:type="dxa" w:w="1814"/>
            <w:shd w:fill="F7F9FB"/>
            <w:tcMar>
              <w:top w:w="90" w:type="dxa"/>
              <w:start w:w="100" w:type="dxa"/>
              <w:bottom w:w="90" w:type="dxa"/>
              <w:end w:w="100" w:type="dxa"/>
            </w:tcMar>
            <w:vAlign w:val="center"/>
          </w:tcPr>
          <w:p>
            <w:pPr>
              <w:spacing w:before="0" w:after="0" w:line="252" w:lineRule="auto"/>
            </w:pPr>
            <w:r>
              <w:rPr>
                <w:rFonts w:ascii="DejaVu Serif" w:hAnsi="DejaVu Serif" w:eastAsia="DejaVu Serif"/>
                <w:sz w:val="16"/>
              </w:rPr>
              <w:t>PREDECESSOR</w:t>
            </w:r>
          </w:p>
        </w:tc>
      </w:tr>
      <w:tr>
        <w:trPr>
          <w:cantSplit/>
          <w:cantSplit/>
          <w:cantSplit/>
        </w:trPr>
        <w:tc>
          <w:tcPr>
            <w:tcW w:type="dxa" w:w="2268"/>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T1-EN-VALIDATION-v0.7</w:t>
            </w:r>
          </w:p>
        </w:tc>
        <w:tc>
          <w:tcPr>
            <w:tcW w:type="dxa" w:w="4932"/>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Chapters 41–46</w:t>
            </w:r>
          </w:p>
        </w:tc>
        <w:tc>
          <w:tcPr>
            <w:tcW w:type="dxa" w:w="1814"/>
            <w:tcMar>
              <w:top w:w="90" w:type="dxa"/>
              <w:start w:w="100" w:type="dxa"/>
              <w:bottom w:w="90" w:type="dxa"/>
              <w:end w:w="100" w:type="dxa"/>
            </w:tcMar>
            <w:vAlign w:val="center"/>
          </w:tcPr>
          <w:p>
            <w:pPr>
              <w:spacing w:before="0" w:after="0" w:line="252" w:lineRule="auto"/>
            </w:pPr>
            <w:r>
              <w:rPr>
                <w:rFonts w:ascii="DejaVu Serif" w:hAnsi="DejaVu Serif" w:eastAsia="DejaVu Serif"/>
                <w:sz w:val="16"/>
              </w:rPr>
              <w:t>PREDECESSOR</w:t>
            </w:r>
          </w:p>
        </w:tc>
      </w:tr>
      <w:tr>
        <w:trPr>
          <w:cantSplit/>
          <w:cantSplit/>
          <w:cantSplit/>
        </w:trPr>
        <w:tc>
          <w:tcPr>
            <w:tcW w:type="dxa" w:w="2268"/>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T1-EN-CLOSURE-v0.8</w:t>
            </w:r>
          </w:p>
        </w:tc>
        <w:tc>
          <w:tcPr>
            <w:tcW w:type="dxa" w:w="4932"/>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Chapters 47–52</w:t>
            </w:r>
          </w:p>
        </w:tc>
        <w:tc>
          <w:tcPr>
            <w:tcW w:type="dxa" w:w="1814"/>
            <w:shd w:fill="F7F9FB"/>
            <w:tcMar>
              <w:top w:w="90" w:type="dxa"/>
              <w:start w:w="100" w:type="dxa"/>
              <w:bottom w:w="90" w:type="dxa"/>
              <w:end w:w="100" w:type="dxa"/>
            </w:tcMar>
            <w:vAlign w:val="center"/>
          </w:tcPr>
          <w:p>
            <w:pPr>
              <w:spacing w:before="0" w:after="0" w:line="252" w:lineRule="auto"/>
            </w:pPr>
            <w:r>
              <w:rPr>
                <w:rFonts w:ascii="DejaVu Serif" w:hAnsi="DejaVu Serif" w:eastAsia="DejaVu Serif"/>
                <w:sz w:val="16"/>
              </w:rPr>
              <w:t>PREDECESSOR</w:t>
            </w:r>
          </w:p>
        </w:tc>
      </w:tr>
      <w:tr>
        <w:trPr>
          <w:cantSplit/>
          <w:cantSplit/>
          <w:cantSplit/>
        </w:trPr>
        <w:tc>
          <w:tcPr>
            <w:tcW w:type="dxa" w:w="2268"/>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T1-EN-APP-v0.9</w:t>
            </w:r>
          </w:p>
        </w:tc>
        <w:tc>
          <w:tcPr>
            <w:tcW w:type="dxa" w:w="4932"/>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Appendices A–G and indexes</w:t>
            </w:r>
          </w:p>
        </w:tc>
        <w:tc>
          <w:tcPr>
            <w:tcW w:type="dxa" w:w="1814"/>
            <w:tcMar>
              <w:top w:w="90" w:type="dxa"/>
              <w:start w:w="100" w:type="dxa"/>
              <w:bottom w:w="90" w:type="dxa"/>
              <w:end w:w="100" w:type="dxa"/>
            </w:tcMar>
            <w:vAlign w:val="center"/>
          </w:tcPr>
          <w:p>
            <w:pPr>
              <w:spacing w:before="0" w:after="0" w:line="252" w:lineRule="auto"/>
            </w:pPr>
            <w:r>
              <w:rPr>
                <w:rFonts w:ascii="DejaVu Serif" w:hAnsi="DejaVu Serif" w:eastAsia="DejaVu Serif"/>
                <w:sz w:val="16"/>
              </w:rPr>
              <w:t>PREDECESSOR</w:t>
            </w:r>
          </w:p>
        </w:tc>
      </w:tr>
      <w:tr>
        <w:trPr>
          <w:cantSplit/>
          <w:cantSplit/>
          <w:cantSplit/>
        </w:trPr>
        <w:tc>
          <w:tcPr>
            <w:tcW w:type="dxa" w:w="2268"/>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T1-EN-ASSEMBLY-v0.10</w:t>
            </w:r>
          </w:p>
        </w:tc>
        <w:tc>
          <w:tcPr>
            <w:tcW w:type="dxa" w:w="4932"/>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Unified English master and page map</w:t>
            </w:r>
          </w:p>
        </w:tc>
        <w:tc>
          <w:tcPr>
            <w:tcW w:type="dxa" w:w="1814"/>
            <w:shd w:fill="F7F9FB"/>
            <w:tcMar>
              <w:top w:w="90" w:type="dxa"/>
              <w:start w:w="100" w:type="dxa"/>
              <w:bottom w:w="90" w:type="dxa"/>
              <w:end w:w="100" w:type="dxa"/>
            </w:tcMar>
            <w:vAlign w:val="center"/>
          </w:tcPr>
          <w:p>
            <w:pPr>
              <w:spacing w:before="0" w:after="0" w:line="252" w:lineRule="auto"/>
            </w:pPr>
            <w:r>
              <w:rPr>
                <w:rFonts w:ascii="DejaVu Serif" w:hAnsi="DejaVu Serif" w:eastAsia="DejaVu Serif"/>
                <w:sz w:val="16"/>
              </w:rPr>
              <w:t>PREDECESSOR</w:t>
            </w:r>
          </w:p>
        </w:tc>
      </w:tr>
      <w:tr>
        <w:trPr>
          <w:cantSplit/>
          <w:cantSplit/>
          <w:cantSplit/>
        </w:trPr>
        <w:tc>
          <w:tcPr>
            <w:tcW w:type="dxa" w:w="2268"/>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T1-EN-AUDIT-v0.11</w:t>
            </w:r>
          </w:p>
        </w:tc>
        <w:tc>
          <w:tcPr>
            <w:tcW w:type="dxa" w:w="4932"/>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Bilingual formula/status/source audit</w:t>
            </w:r>
          </w:p>
        </w:tc>
        <w:tc>
          <w:tcPr>
            <w:tcW w:type="dxa" w:w="1814"/>
            <w:tcMar>
              <w:top w:w="90" w:type="dxa"/>
              <w:start w:w="100" w:type="dxa"/>
              <w:bottom w:w="90" w:type="dxa"/>
              <w:end w:w="100" w:type="dxa"/>
            </w:tcMar>
            <w:vAlign w:val="center"/>
          </w:tcPr>
          <w:p>
            <w:pPr>
              <w:spacing w:before="0" w:after="0" w:line="252" w:lineRule="auto"/>
            </w:pPr>
            <w:r>
              <w:rPr>
                <w:rFonts w:ascii="DejaVu Serif" w:hAnsi="DejaVu Serif" w:eastAsia="DejaVu Serif"/>
                <w:sz w:val="16"/>
              </w:rPr>
              <w:t>AUDITED PREDECESSOR</w:t>
            </w:r>
          </w:p>
        </w:tc>
      </w:tr>
      <w:tr>
        <w:trPr>
          <w:cantSplit/>
          <w:cantSplit/>
          <w:cantSplit/>
        </w:trPr>
        <w:tc>
          <w:tcPr>
            <w:tcW w:type="dxa" w:w="2268"/>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T1-EN-FC-v0.12</w:t>
            </w:r>
          </w:p>
        </w:tc>
        <w:tc>
          <w:tcPr>
            <w:tcW w:type="dxa" w:w="4932"/>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Freeze candidate and detached receipt</w:t>
            </w:r>
          </w:p>
        </w:tc>
        <w:tc>
          <w:tcPr>
            <w:tcW w:type="dxa" w:w="1814"/>
            <w:shd w:fill="F7F9FB"/>
            <w:tcMar>
              <w:top w:w="90" w:type="dxa"/>
              <w:start w:w="100" w:type="dxa"/>
              <w:bottom w:w="90" w:type="dxa"/>
              <w:end w:w="100" w:type="dxa"/>
            </w:tcMar>
            <w:vAlign w:val="center"/>
          </w:tcPr>
          <w:p>
            <w:pPr>
              <w:spacing w:before="0" w:after="0" w:line="252" w:lineRule="auto"/>
            </w:pPr>
            <w:r>
              <w:rPr>
                <w:rFonts w:ascii="DejaVu Serif" w:hAnsi="DejaVu Serif" w:eastAsia="DejaVu Serif"/>
                <w:sz w:val="16"/>
              </w:rPr>
              <w:t>ACCEPTED FREEZE PREDECESSOR</w:t>
            </w:r>
          </w:p>
        </w:tc>
      </w:tr>
      <w:tr>
        <w:trPr>
          <w:cantSplit/>
          <w:cantSplit/>
          <w:cantSplit/>
        </w:trPr>
        <w:tc>
          <w:tcPr>
            <w:tcW w:type="dxa" w:w="2268"/>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T1-EN-FREEZE-v1.0</w:t>
            </w:r>
          </w:p>
        </w:tc>
        <w:tc>
          <w:tcPr>
            <w:tcW w:type="dxa" w:w="4932"/>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Immutable authorial English release</w:t>
            </w:r>
          </w:p>
        </w:tc>
        <w:tc>
          <w:tcPr>
            <w:tcW w:type="dxa" w:w="1814"/>
            <w:tcMar>
              <w:top w:w="90" w:type="dxa"/>
              <w:start w:w="100" w:type="dxa"/>
              <w:bottom w:w="90" w:type="dxa"/>
              <w:end w:w="100" w:type="dxa"/>
            </w:tcMar>
            <w:vAlign w:val="center"/>
          </w:tcPr>
          <w:p>
            <w:pPr>
              <w:spacing w:before="0" w:after="0" w:line="252" w:lineRule="auto"/>
            </w:pPr>
            <w:r>
              <w:rPr>
                <w:rFonts w:ascii="DejaVu Serif" w:hAnsi="DejaVu Serif" w:eastAsia="DejaVu Serif"/>
                <w:sz w:val="16"/>
              </w:rPr>
              <w:t>CURRENT · FROZEN</w:t>
            </w:r>
          </w:p>
        </w:tc>
      </w:tr>
    </w:tbl>
    <w:p>
      <w:r>
        <w:drawing>
          <wp:inline xmlns:a="http://schemas.openxmlformats.org/drawingml/2006/main" xmlns:pic="http://schemas.openxmlformats.org/drawingml/2006/picture">
            <wp:extent cx="6263999" cy="2995826"/>
            <wp:docPr id="3" name="Picture 3"/>
            <wp:cNvGraphicFramePr>
              <a:graphicFrameLocks noChangeAspect="1"/>
            </wp:cNvGraphicFramePr>
            <a:graphic>
              <a:graphicData uri="http://schemas.openxmlformats.org/drawingml/2006/picture">
                <pic:pic>
                  <pic:nvPicPr>
                    <pic:cNvPr id="0" name="t1_translation_pipeline.png"/>
                    <pic:cNvPicPr/>
                  </pic:nvPicPr>
                  <pic:blipFill>
                    <a:blip r:embed="rId13"/>
                    <a:stretch>
                      <a:fillRect/>
                    </a:stretch>
                  </pic:blipFill>
                  <pic:spPr>
                    <a:xfrm>
                      <a:off x="0" y="0"/>
                      <a:ext cx="6263999" cy="2995826"/>
                    </a:xfrm>
                    <a:prstGeom prst="rect"/>
                  </pic:spPr>
                </pic:pic>
              </a:graphicData>
            </a:graphic>
          </wp:inline>
        </w:drawing>
      </w:r>
    </w:p>
    <w:p>
      <w:pPr>
        <w:keepNext w:val="0"/>
        <w:spacing w:before="40" w:after="160" w:line="240" w:lineRule="auto"/>
        <w:jc w:val="center"/>
      </w:pPr>
      <w:bookmarkStart w:id="1060" w:name="T1_FIG_002"/>
      <w:r>
        <w:rPr>
          <w:rFonts w:ascii="DejaVu Serif" w:hAnsi="DejaVu Serif"/>
          <w:b w:val="0"/>
          <w:i/>
          <w:color w:val="5E6873"/>
          <w:sz w:val="18"/>
        </w:rPr>
        <w:t>Figure T1-EN-START-002. Staged route from translation contract to frozen English release.</w:t>
      </w:r>
      <w:bookmarkEnd w:id="1060"/>
    </w:p>
    <w:p>
      <w:pPr>
        <w:pStyle w:val="Heading1"/>
        <w:keepNext/>
      </w:pPr>
    </w:p>
    <w:tbl>
      <w:tblPr>
        <w:tblStyle w:val="TableGrid"/>
        <w:tblW w:type="auto" w:w="0"/>
        <w:jc w:val="center"/>
        <w:tblLayout w:type="autofit"/>
        <w:tblLook w:firstColumn="1" w:firstRow="1" w:lastColumn="0" w:lastRow="0" w:noHBand="0" w:noVBand="1" w:val="04A0"/>
      </w:tblPr>
      <w:tblGrid>
        <w:gridCol w:w="3364"/>
        <w:gridCol w:w="3364"/>
        <w:gridCol w:w="3364"/>
      </w:tblGrid>
      <w:tr>
        <w:trPr>
          <w:tblHeader w:val="true"/>
          <w:cantSplit/>
          <w:cantSplit/>
          <w:tblHeader w:val="true"/>
          <w:cantSplit/>
          <w:tblHeader w:val="true"/>
        </w:trPr>
        <w:tc>
          <w:tcPr>
            <w:tcW w:type="dxa" w:w="1814"/>
            <w:shd w:fill="E8EEF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17345F"/>
                <w:sz w:val="16"/>
              </w:rPr>
              <w:t>Obligation</w:t>
            </w:r>
          </w:p>
        </w:tc>
        <w:tc>
          <w:tcPr>
            <w:tcW w:type="dxa" w:w="5499"/>
            <w:shd w:fill="E8EEF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17345F"/>
                <w:sz w:val="16"/>
              </w:rPr>
              <w:t>Result / requirement</w:t>
            </w:r>
          </w:p>
        </w:tc>
        <w:tc>
          <w:tcPr>
            <w:tcW w:type="dxa" w:w="1701"/>
            <w:shd w:fill="E8EEF7"/>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17345F"/>
                <w:sz w:val="16"/>
              </w:rPr>
              <w:t>Status</w:t>
            </w:r>
          </w:p>
        </w:tc>
      </w:tr>
      <w:tr>
        <w:trPr>
          <w:cantSplit/>
          <w:cantSplit/>
          <w:cantSplit/>
        </w:trPr>
        <w:tc>
          <w:tcPr>
            <w:tcW w:type="dxa" w:w="181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T1-EN-PO-001</w:t>
            </w:r>
          </w:p>
        </w:tc>
        <w:tc>
          <w:tcPr>
            <w:tcW w:type="dxa" w:w="549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Canonical source and SHA-256 fixed</w:t>
            </w:r>
          </w:p>
        </w:tc>
        <w:tc>
          <w:tcPr>
            <w:tcW w:type="dxa" w:w="170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CLOSED-DOC</w:t>
            </w:r>
          </w:p>
        </w:tc>
      </w:tr>
      <w:tr>
        <w:trPr>
          <w:cantSplit/>
          <w:cantSplit/>
          <w:cantSplit/>
        </w:trPr>
        <w:tc>
          <w:tcPr>
            <w:tcW w:type="dxa" w:w="181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T1-EN-PO-002</w:t>
            </w:r>
          </w:p>
        </w:tc>
        <w:tc>
          <w:tcPr>
            <w:tcW w:type="dxa" w:w="549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RU→EN authority and status contract fixed</w:t>
            </w:r>
          </w:p>
        </w:tc>
        <w:tc>
          <w:tcPr>
            <w:tcW w:type="dxa" w:w="170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CLOSED-DEF</w:t>
            </w:r>
          </w:p>
        </w:tc>
      </w:tr>
      <w:tr>
        <w:trPr>
          <w:cantSplit/>
          <w:cantSplit/>
          <w:cantSplit/>
        </w:trPr>
        <w:tc>
          <w:tcPr>
            <w:tcW w:type="dxa" w:w="181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T1-EN-PO-003</w:t>
            </w:r>
          </w:p>
        </w:tc>
        <w:tc>
          <w:tcPr>
            <w:tcW w:type="dxa" w:w="549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English abstract and keywords prepared</w:t>
            </w:r>
          </w:p>
        </w:tc>
        <w:tc>
          <w:tcPr>
            <w:tcW w:type="dxa" w:w="170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CLOSED-DRAFT</w:t>
            </w:r>
          </w:p>
        </w:tc>
      </w:tr>
      <w:tr>
        <w:trPr>
          <w:cantSplit/>
          <w:cantSplit/>
          <w:cantSplit/>
        </w:trPr>
        <w:tc>
          <w:tcPr>
            <w:tcW w:type="dxa" w:w="181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T1-EN-PO-004</w:t>
            </w:r>
          </w:p>
        </w:tc>
        <w:tc>
          <w:tcPr>
            <w:tcW w:type="dxa" w:w="549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English map of Chapters 1–52 prepared</w:t>
            </w:r>
          </w:p>
        </w:tc>
        <w:tc>
          <w:tcPr>
            <w:tcW w:type="dxa" w:w="170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CLOSED-DOC</w:t>
            </w:r>
          </w:p>
        </w:tc>
      </w:tr>
      <w:tr>
        <w:trPr>
          <w:cantSplit/>
          <w:cantSplit/>
          <w:cantSplit/>
        </w:trPr>
        <w:tc>
          <w:tcPr>
            <w:tcW w:type="dxa" w:w="181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T1-EN-PO-005</w:t>
            </w:r>
          </w:p>
        </w:tc>
        <w:tc>
          <w:tcPr>
            <w:tcW w:type="dxa" w:w="549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English map of Appendices A–G prepared</w:t>
            </w:r>
          </w:p>
        </w:tc>
        <w:tc>
          <w:tcPr>
            <w:tcW w:type="dxa" w:w="170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CLOSED-DOC</w:t>
            </w:r>
          </w:p>
        </w:tc>
      </w:tr>
      <w:tr>
        <w:trPr>
          <w:cantSplit/>
          <w:cantSplit/>
          <w:cantSplit/>
        </w:trPr>
        <w:tc>
          <w:tcPr>
            <w:tcW w:type="dxa" w:w="181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T1-EN-PO-006</w:t>
            </w:r>
          </w:p>
        </w:tc>
        <w:tc>
          <w:tcPr>
            <w:tcW w:type="dxa" w:w="549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Formula inventory F001–F086 preserved</w:t>
            </w:r>
          </w:p>
        </w:tc>
        <w:tc>
          <w:tcPr>
            <w:tcW w:type="dxa" w:w="170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CLOSED-PARITY</w:t>
            </w:r>
          </w:p>
        </w:tc>
      </w:tr>
      <w:tr>
        <w:trPr>
          <w:cantSplit/>
          <w:cantSplit/>
          <w:cantSplit/>
        </w:trPr>
        <w:tc>
          <w:tcPr>
            <w:tcW w:type="dxa" w:w="181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T1-EN-PO-007</w:t>
            </w:r>
          </w:p>
        </w:tc>
        <w:tc>
          <w:tcPr>
            <w:tcW w:type="dxa" w:w="549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Normative terminology ledger initiated</w:t>
            </w:r>
          </w:p>
        </w:tc>
        <w:tc>
          <w:tcPr>
            <w:tcW w:type="dxa" w:w="170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CLOSED-v0.1</w:t>
            </w:r>
          </w:p>
        </w:tc>
      </w:tr>
      <w:tr>
        <w:trPr>
          <w:cantSplit/>
          <w:cantSplit/>
          <w:cantSplit/>
        </w:trPr>
        <w:tc>
          <w:tcPr>
            <w:tcW w:type="dxa" w:w="181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T1-EN-PO-008</w:t>
            </w:r>
          </w:p>
        </w:tc>
        <w:tc>
          <w:tcPr>
            <w:tcW w:type="dxa" w:w="549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Status dictionary and no-promotion firewall fixed</w:t>
            </w:r>
          </w:p>
        </w:tc>
        <w:tc>
          <w:tcPr>
            <w:tcW w:type="dxa" w:w="170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CLOSED-DEF</w:t>
            </w:r>
          </w:p>
        </w:tc>
      </w:tr>
      <w:tr>
        <w:trPr>
          <w:cantSplit/>
          <w:cantSplit/>
          <w:cantSplit/>
        </w:trPr>
        <w:tc>
          <w:tcPr>
            <w:tcW w:type="dxa" w:w="181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T1-EN-PO-009</w:t>
            </w:r>
          </w:p>
        </w:tc>
        <w:tc>
          <w:tcPr>
            <w:tcW w:type="dxa" w:w="5499"/>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Notation-collision ledger initiated</w:t>
            </w:r>
          </w:p>
        </w:tc>
        <w:tc>
          <w:tcPr>
            <w:tcW w:type="dxa" w:w="170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PARTIAL</w:t>
            </w:r>
          </w:p>
        </w:tc>
      </w:tr>
      <w:tr>
        <w:trPr>
          <w:cantSplit/>
          <w:cantSplit/>
          <w:cantSplit/>
        </w:trPr>
        <w:tc>
          <w:tcPr>
            <w:tcW w:type="dxa" w:w="181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T1-EN-PO-010</w:t>
            </w:r>
          </w:p>
        </w:tc>
        <w:tc>
          <w:tcPr>
            <w:tcW w:type="dxa" w:w="5499"/>
            <w:shd w:fill="F7F9FB"/>
            <w:tcMar>
              <w:top w:w="90" w:type="dxa"/>
              <w:start w:w="100" w:type="dxa"/>
              <w:bottom w:w="90" w:type="dxa"/>
              <w:end w:w="100" w:type="dxa"/>
            </w:tcMar>
            <w:vAlign w:val="center"/>
          </w:tcPr>
          <w:p>
            <w:pPr>
              <w:spacing w:before="0" w:after="0" w:line="252" w:lineRule="auto"/>
            </w:pPr>
            <w:r>
              <w:rPr>
                <w:rFonts w:ascii="DejaVu Serif" w:hAnsi="DejaVu Serif" w:eastAsia="DejaVu Serif"/>
                <w:sz w:val="16"/>
              </w:rPr>
              <w:t>Authorial bilingual mathematical audit; external signed review remains separate</w:t>
            </w:r>
          </w:p>
        </w:tc>
        <w:tc>
          <w:tcPr>
            <w:tcW w:type="dxa" w:w="1701"/>
            <w:shd w:fill="F7F9FB"/>
            <w:tcMar>
              <w:top w:w="90" w:type="dxa"/>
              <w:start w:w="100" w:type="dxa"/>
              <w:bottom w:w="90" w:type="dxa"/>
              <w:end w:w="100" w:type="dxa"/>
            </w:tcMar>
            <w:vAlign w:val="center"/>
          </w:tcPr>
          <w:p>
            <w:pPr>
              <w:spacing w:before="0" w:after="0" w:line="252" w:lineRule="auto"/>
            </w:pPr>
            <w:r>
              <w:rPr>
                <w:rFonts w:ascii="DejaVu Serif" w:hAnsi="DejaVu Serif" w:eastAsia="DejaVu Serif"/>
                <w:sz w:val="16"/>
              </w:rPr>
              <w:t>CLOSED-v0.11 / EXTERNAL OPEN</w:t>
            </w:r>
          </w:p>
        </w:tc>
      </w:tr>
      <w:tr>
        <w:trPr>
          <w:cantSplit/>
          <w:cantSplit/>
          <w:cantSplit/>
        </w:trPr>
        <w:tc>
          <w:tcPr>
            <w:tcW w:type="dxa" w:w="181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T1-EN-PO-011</w:t>
            </w:r>
          </w:p>
        </w:tc>
        <w:tc>
          <w:tcPr>
            <w:tcW w:type="dxa" w:w="5499"/>
            <w:tcMar>
              <w:top w:w="90" w:type="dxa"/>
              <w:start w:w="100" w:type="dxa"/>
              <w:bottom w:w="90" w:type="dxa"/>
              <w:end w:w="100" w:type="dxa"/>
            </w:tcMar>
            <w:vAlign w:val="center"/>
          </w:tcPr>
          <w:p>
            <w:pPr>
              <w:spacing w:after="0" w:before="0" w:line="252" w:lineRule="auto"/>
            </w:pPr>
            <w:r>
              <w:rPr>
                <w:rFonts w:ascii="DejaVu Serif" w:hAnsi="DejaVu Serif" w:eastAsia="DejaVu Serif"/>
                <w:sz w:val="16"/>
              </w:rPr>
              <w:t>Full translation of Chapters 1–8</w:t>
            </w:r>
          </w:p>
        </w:tc>
        <w:tc>
          <w:tcPr>
            <w:tcW w:type="dxa" w:w="1701"/>
            <w:tcMar>
              <w:top w:w="90" w:type="dxa"/>
              <w:start w:w="100" w:type="dxa"/>
              <w:bottom w:w="90" w:type="dxa"/>
              <w:end w:w="100" w:type="dxa"/>
            </w:tcMar>
            <w:vAlign w:val="center"/>
          </w:tcPr>
          <w:p>
            <w:pPr>
              <w:spacing w:after="0" w:before="0" w:line="252" w:lineRule="auto"/>
            </w:pPr>
            <w:r>
              <w:rPr>
                <w:rFonts w:ascii="DejaVu Serif" w:hAnsi="DejaVu Serif" w:eastAsia="DejaVu Serif"/>
                <w:sz w:val="16"/>
              </w:rPr>
              <w:t>CLOSED-v0.2</w:t>
            </w:r>
          </w:p>
        </w:tc>
      </w:tr>
      <w:tr>
        <w:trPr>
          <w:cantSplit/>
          <w:cantSplit/>
          <w:cantSplit/>
        </w:trPr>
        <w:tc>
          <w:tcPr>
            <w:tcW w:type="dxa" w:w="181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6"/>
              </w:rPr>
              <w:t>T1-EN-PO-012</w:t>
            </w:r>
          </w:p>
        </w:tc>
        <w:tc>
          <w:tcPr>
            <w:tcW w:type="dxa" w:w="5499"/>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Frozen English release</w:t>
            </w:r>
          </w:p>
        </w:tc>
        <w:tc>
          <w:tcPr>
            <w:tcW w:type="dxa" w:w="170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6"/>
              </w:rPr>
              <w:t>CLOSED-v1.0</w:t>
            </w:r>
          </w:p>
        </w:tc>
      </w:tr>
      <w:tr>
        <w:trPr>
          <w:cantSplit/>
        </w:trPr>
        <w:tc>
          <w:tcPr>
            <w:tcW w:type="dxa" w:w="1814"/>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T1-EN-PO-018</w:t>
            </w:r>
          </w:p>
        </w:tc>
        <w:tc>
          <w:tcPr>
            <w:tcW w:type="dxa" w:w="5499"/>
            <w:vAlign w:val="center"/>
            <w:tcMar>
              <w:top w:w="90" w:type="dxa"/>
              <w:start w:w="100" w:type="dxa"/>
              <w:bottom w:w="90" w:type="dxa"/>
              <w:end w:w="100" w:type="dxa"/>
            </w:tcMar>
          </w:tcPr>
          <w:p>
            <w:pPr>
              <w:spacing w:before="0" w:after="0" w:line="252" w:lineRule="auto"/>
            </w:pPr>
            <w:r>
              <w:rPr>
                <w:rFonts w:ascii="DejaVu Serif" w:hAnsi="DejaVu Serif" w:eastAsia="DejaVu Serif"/>
                <w:sz w:val="16"/>
              </w:rPr>
              <w:t>Unified TOC, page map, internal links, figure/table indexes, and source ledger</w:t>
            </w:r>
          </w:p>
        </w:tc>
        <w:tc>
          <w:tcPr>
            <w:tcW w:type="dxa" w:w="1701"/>
            <w:vAlign w:val="center"/>
            <w:tcMar>
              <w:top w:w="90" w:type="dxa"/>
              <w:start w:w="100" w:type="dxa"/>
              <w:bottom w:w="90" w:type="dxa"/>
              <w:end w:w="100" w:type="dxa"/>
            </w:tcMar>
          </w:tcPr>
          <w:p>
            <w:pPr>
              <w:spacing w:before="0" w:after="0" w:line="252" w:lineRule="auto"/>
            </w:pPr>
            <w:r>
              <w:rPr>
                <w:rFonts w:ascii="DejaVu Serif" w:hAnsi="DejaVu Serif" w:eastAsia="DejaVu Serif"/>
                <w:sz w:val="16"/>
              </w:rPr>
              <w:t>CLOSED-v0.10</w:t>
            </w:r>
          </w:p>
        </w:tc>
      </w:tr>
      <w:tr>
        <w:trPr>
          <w:cantSplit/>
        </w:trPr>
        <w:tc>
          <w:tcPr>
            <w:tcW w:type="dxa" w:w="1814"/>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T1-EN-PO-019</w:t>
            </w:r>
          </w:p>
        </w:tc>
        <w:tc>
          <w:tcPr>
            <w:tcW w:type="dxa" w:w="5499"/>
            <w:vAlign w:val="center"/>
            <w:tcMar>
              <w:top w:w="90" w:type="dxa"/>
              <w:start w:w="100" w:type="dxa"/>
              <w:bottom w:w="90" w:type="dxa"/>
              <w:end w:w="100" w:type="dxa"/>
            </w:tcMar>
          </w:tcPr>
          <w:p>
            <w:pPr>
              <w:spacing w:before="0" w:after="0" w:line="252" w:lineRule="auto"/>
            </w:pPr>
            <w:r>
              <w:rPr>
                <w:rFonts w:ascii="DejaVu Serif" w:hAnsi="DejaVu Serif" w:eastAsia="DejaVu Serif"/>
                <w:sz w:val="16"/>
              </w:rPr>
              <w:t>Global structural and cross-reference audit</w:t>
            </w:r>
          </w:p>
        </w:tc>
        <w:tc>
          <w:tcPr>
            <w:tcW w:type="dxa" w:w="1701"/>
            <w:vAlign w:val="center"/>
            <w:tcMar>
              <w:top w:w="90" w:type="dxa"/>
              <w:start w:w="100" w:type="dxa"/>
              <w:bottom w:w="90" w:type="dxa"/>
              <w:end w:w="100" w:type="dxa"/>
            </w:tcMar>
          </w:tcPr>
          <w:p>
            <w:pPr>
              <w:spacing w:before="0" w:after="0" w:line="252" w:lineRule="auto"/>
            </w:pPr>
            <w:r>
              <w:rPr>
                <w:rFonts w:ascii="DejaVu Serif" w:hAnsi="DejaVu Serif" w:eastAsia="DejaVu Serif"/>
                <w:sz w:val="16"/>
              </w:rPr>
              <w:t>CLOSED-QA</w:t>
            </w:r>
          </w:p>
        </w:tc>
      </w:tr>
      <w:tr>
        <w:trPr>
          <w:cantSplit/>
        </w:trPr>
        <w:tc>
          <w:tcPr>
            <w:tcW w:type="dxa" w:w="1814"/>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T1-EN-PO-020</w:t>
            </w:r>
          </w:p>
        </w:tc>
        <w:tc>
          <w:tcPr>
            <w:tcW w:type="dxa" w:w="5499"/>
            <w:vAlign w:val="center"/>
            <w:tcMar>
              <w:top w:w="90" w:type="dxa"/>
              <w:start w:w="100" w:type="dxa"/>
              <w:bottom w:w="90" w:type="dxa"/>
              <w:end w:w="100" w:type="dxa"/>
            </w:tcMar>
          </w:tcPr>
          <w:p>
            <w:pPr>
              <w:spacing w:before="0" w:after="0" w:line="252" w:lineRule="auto"/>
            </w:pPr>
            <w:r>
              <w:rPr>
                <w:rFonts w:ascii="DejaVu Serif" w:hAnsi="DejaVu Serif" w:eastAsia="DejaVu Serif"/>
                <w:sz w:val="16"/>
              </w:rPr>
              <w:t>Authorial bilingual mathematical, formula, status, and source audit</w:t>
            </w:r>
          </w:p>
        </w:tc>
        <w:tc>
          <w:tcPr>
            <w:tcW w:type="dxa" w:w="1701"/>
            <w:vAlign w:val="center"/>
            <w:tcMar>
              <w:top w:w="90" w:type="dxa"/>
              <w:start w:w="100" w:type="dxa"/>
              <w:bottom w:w="90" w:type="dxa"/>
              <w:end w:w="100" w:type="dxa"/>
            </w:tcMar>
          </w:tcPr>
          <w:p>
            <w:pPr>
              <w:spacing w:before="0" w:after="0" w:line="252" w:lineRule="auto"/>
            </w:pPr>
            <w:r>
              <w:rPr>
                <w:rFonts w:ascii="DejaVu Serif" w:hAnsi="DejaVu Serif" w:eastAsia="DejaVu Serif"/>
                <w:sz w:val="16"/>
              </w:rPr>
              <w:t>CLOSED-v0.11</w:t>
            </w:r>
          </w:p>
        </w:tc>
      </w:tr>
      <w:tr>
        <w:trPr>
          <w:cantSplit/>
        </w:trPr>
        <w:tc>
          <w:tcPr>
            <w:tcW w:type="dxa" w:w="1814"/>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T1-EN-PO-021</w:t>
            </w:r>
          </w:p>
        </w:tc>
        <w:tc>
          <w:tcPr>
            <w:tcW w:type="dxa" w:w="5499"/>
            <w:vAlign w:val="center"/>
            <w:tcMar>
              <w:top w:w="90" w:type="dxa"/>
              <w:start w:w="100" w:type="dxa"/>
              <w:bottom w:w="90" w:type="dxa"/>
              <w:end w:w="100" w:type="dxa"/>
            </w:tcMar>
          </w:tcPr>
          <w:p>
            <w:pPr>
              <w:spacing w:before="0" w:after="0" w:line="252" w:lineRule="auto"/>
            </w:pPr>
            <w:r>
              <w:rPr>
                <w:rFonts w:ascii="DejaVu Serif" w:hAnsi="DejaVu Serif" w:eastAsia="DejaVu Serif"/>
                <w:sz w:val="16"/>
              </w:rPr>
              <w:t>Freeze-candidate controlled diff and detached release receipt</w:t>
            </w:r>
          </w:p>
        </w:tc>
        <w:tc>
          <w:tcPr>
            <w:tcW w:type="dxa" w:w="1701"/>
            <w:vAlign w:val="center"/>
            <w:tcMar>
              <w:top w:w="90" w:type="dxa"/>
              <w:start w:w="100" w:type="dxa"/>
              <w:bottom w:w="90" w:type="dxa"/>
              <w:end w:w="100" w:type="dxa"/>
            </w:tcMar>
          </w:tcPr>
          <w:p>
            <w:pPr>
              <w:spacing w:before="0" w:after="0" w:line="252" w:lineRule="auto"/>
            </w:pPr>
            <w:r>
              <w:rPr>
                <w:rFonts w:ascii="DejaVu Serif" w:hAnsi="DejaVu Serif" w:eastAsia="DejaVu Serif"/>
                <w:sz w:val="16"/>
              </w:rPr>
              <w:t>CLOSED-v0.12</w:t>
            </w:r>
          </w:p>
        </w:tc>
      </w:tr>
    </w:tbl>
    <w:p>
      <w:pPr>
        <w:pStyle w:val="Heading1"/>
        <w:keepNext/>
      </w:pPr>
    </w:p>
    <w:tbl>
      <w:tblPr>
        <w:tblStyle w:val="TableGrid"/>
        <w:tblW w:type="auto" w:w="0"/>
        <w:jc w:val="center"/>
        <w:tblLayout w:type="fixed"/>
        <w:tblLook w:firstColumn="1" w:firstRow="1" w:lastColumn="0" w:lastRow="0" w:noHBand="0" w:noVBand="1" w:val="04A0"/>
      </w:tblPr>
      <w:tblGrid>
        <w:gridCol w:w="2523"/>
        <w:gridCol w:w="2523"/>
        <w:gridCol w:w="2523"/>
        <w:gridCol w:w="2523"/>
      </w:tblGrid>
      <w:tr>
        <w:trPr>
          <w:tblHeader w:val="true"/>
          <w:cantSplit/>
          <w:cantSplit/>
          <w:tblHeader w:val="true"/>
          <w:cantSplit/>
          <w:tblHeader w:val="true"/>
        </w:trPr>
        <w:tc>
          <w:tcPr>
            <w:tcW w:type="dxa" w:w="1701"/>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7"/>
              </w:rPr>
              <w:t>Blocker</w:t>
            </w:r>
          </w:p>
        </w:tc>
        <w:tc>
          <w:tcPr>
            <w:tcW w:type="dxa" w:w="3628"/>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7"/>
              </w:rPr>
              <w:t>Description</w:t>
            </w:r>
          </w:p>
        </w:tc>
        <w:tc>
          <w:tcPr>
            <w:tcW w:type="dxa" w:w="1531"/>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7"/>
              </w:rPr>
              <w:t>Status</w:t>
            </w:r>
          </w:p>
        </w:tc>
        <w:tc>
          <w:tcPr>
            <w:tcW w:type="dxa" w:w="2778"/>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7"/>
              </w:rPr>
              <w:t>Required handling</w:t>
            </w:r>
          </w:p>
        </w:tc>
      </w:tr>
      <w:tr>
        <w:trPr>
          <w:cantSplit/>
          <w:cantSplit/>
          <w:cantSplit/>
        </w:trPr>
        <w:tc>
          <w:tcPr>
            <w:tcW w:type="dxa" w:w="170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T1-EN-BLK-001</w:t>
            </w:r>
          </w:p>
        </w:tc>
        <w:tc>
          <w:tcPr>
            <w:tcW w:type="dxa" w:w="362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The active package contains the canonical Russian PDF but not an editable Russian DOCX master.</w:t>
            </w:r>
          </w:p>
        </w:tc>
        <w:tc>
          <w:tcPr>
            <w:tcW w:type="dxa" w:w="153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OPEN NON-VETO</w:t>
            </w:r>
          </w:p>
        </w:tc>
        <w:tc>
          <w:tcPr>
            <w:tcW w:type="dxa" w:w="277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Use PDF locators as authority; do not infer hidden Word structures.</w:t>
            </w:r>
          </w:p>
        </w:tc>
      </w:tr>
      <w:tr>
        <w:trPr>
          <w:cantSplit/>
          <w:cantSplit/>
          <w:cantSplit/>
        </w:trPr>
        <w:tc>
          <w:tcPr>
            <w:tcW w:type="dxa" w:w="170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T1-EN-BLK-002</w:t>
            </w:r>
          </w:p>
        </w:tc>
        <w:tc>
          <w:tcPr>
            <w:tcW w:type="dxa" w:w="362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Historical fragments use the symbol * with several local meanings.</w:t>
            </w:r>
          </w:p>
        </w:tc>
        <w:tc>
          <w:tcPr>
            <w:tcW w:type="dxa" w:w="1531"/>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OPEN</w:t>
            </w:r>
          </w:p>
        </w:tc>
        <w:tc>
          <w:tcPr>
            <w:tcW w:type="dxa" w:w="277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Require a local notation legend before every translated reuse.</w:t>
            </w:r>
          </w:p>
        </w:tc>
      </w:tr>
      <w:tr>
        <w:trPr>
          <w:cantSplit/>
          <w:cantSplit/>
          <w:cantSplit/>
        </w:trPr>
        <w:tc>
          <w:tcPr>
            <w:tcW w:type="dxa" w:w="170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T1-EN-BLK-003</w:t>
            </w:r>
          </w:p>
        </w:tc>
        <w:tc>
          <w:tcPr>
            <w:tcW w:type="dxa" w:w="362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Several authorial terms have legacy English variants across older publications.</w:t>
            </w:r>
          </w:p>
        </w:tc>
        <w:tc>
          <w:tcPr>
            <w:tcW w:type="dxa" w:w="153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OPEN</w:t>
            </w:r>
          </w:p>
        </w:tc>
        <w:tc>
          <w:tcPr>
            <w:tcW w:type="dxa" w:w="277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T1–T3 terminology ledger governs the translation; deviations require a recorded alias.</w:t>
            </w:r>
          </w:p>
        </w:tc>
      </w:tr>
      <w:tr>
        <w:trPr>
          <w:cantSplit/>
          <w:cantSplit/>
          <w:cantSplit/>
        </w:trPr>
        <w:tc>
          <w:tcPr>
            <w:tcW w:type="dxa" w:w="1701"/>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T1-EN-BLK-004</w:t>
            </w:r>
          </w:p>
        </w:tc>
        <w:tc>
          <w:tcPr>
            <w:tcW w:type="dxa" w:w="3628"/>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The English pagination will differ from the 235-page Russian source corpus.</w:t>
            </w:r>
          </w:p>
        </w:tc>
        <w:tc>
          <w:tcPr>
            <w:tcW w:type="dxa" w:w="1531"/>
            <w:shd w:fill="F7F9FB"/>
            <w:tcMar>
              <w:top w:w="90" w:type="dxa"/>
              <w:start w:w="100" w:type="dxa"/>
              <w:bottom w:w="90" w:type="dxa"/>
              <w:end w:w="100" w:type="dxa"/>
            </w:tcMar>
            <w:vAlign w:val="center"/>
          </w:tcPr>
          <w:p>
            <w:r>
              <w:rPr>
                <w:rFonts w:ascii="DejaVu Serif" w:hAnsi="DejaVu Serif" w:eastAsia="DejaVu Serif"/>
                <w:sz w:val="17"/>
              </w:rPr>
              <w:t>CLOSED-v0.10</w:t>
            </w:r>
          </w:p>
        </w:tc>
        <w:tc>
          <w:tcPr>
            <w:tcW w:type="dxa" w:w="2778"/>
            <w:shd w:fill="F7F9FB"/>
            <w:tcMar>
              <w:top w:w="90" w:type="dxa"/>
              <w:start w:w="100" w:type="dxa"/>
              <w:bottom w:w="90" w:type="dxa"/>
              <w:end w:w="100" w:type="dxa"/>
            </w:tcMar>
            <w:vAlign w:val="center"/>
          </w:tcPr>
          <w:p>
            <w:r>
              <w:rPr>
                <w:rFonts w:ascii="DejaVu Serif" w:hAnsi="DejaVu Serif" w:eastAsia="DejaVu Serif"/>
                <w:sz w:val="17"/>
              </w:rPr>
              <w:t>Static RU-to-EN page map and internal links installed; RU pages remain authoritative locators.</w:t>
            </w:r>
          </w:p>
        </w:tc>
      </w:tr>
      <w:tr>
        <w:trPr>
          <w:cantSplit/>
          <w:cantSplit/>
          <w:cantSplit/>
        </w:trPr>
        <w:tc>
          <w:tcPr>
            <w:tcW w:type="dxa" w:w="1701"/>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T1-EN-BLK-005</w:t>
            </w:r>
          </w:p>
        </w:tc>
        <w:tc>
          <w:tcPr>
            <w:tcW w:type="dxa" w:w="362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An external signed bilingual mathematical audit has not been performed.</w:t>
            </w:r>
          </w:p>
        </w:tc>
        <w:tc>
          <w:tcPr>
            <w:tcW w:type="dxa" w:w="1531"/>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OPEN NON-VETO</w:t>
            </w:r>
          </w:p>
        </w:tc>
        <w:tc>
          <w:tcPr>
            <w:tcW w:type="dxa" w:w="2778"/>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Required only before external certification claim, not before authorial drafting.</w:t>
            </w:r>
          </w:p>
        </w:tc>
      </w:tr>
    </w:tbl>
    <w:p>
      <w:pPr>
        <w:pStyle w:val="Heading1"/>
        <w:keepNext/>
      </w:pPr>
    </w:p>
    <w:tbl>
      <w:tblPr>
        <w:tblStyle w:val="TableGrid"/>
        <w:tblW w:type="auto" w:w="0"/>
        <w:jc w:val="center"/>
        <w:tblLayout w:type="fixed"/>
        <w:tblLook w:firstColumn="1" w:firstRow="1" w:lastColumn="0" w:lastRow="0" w:noHBand="0" w:noVBand="1" w:val="04A0"/>
      </w:tblPr>
      <w:tblGrid>
        <w:gridCol w:w="5046"/>
        <w:gridCol w:w="5046"/>
      </w:tblGrid>
      <w:tr>
        <w:trPr>
          <w:tblHeader w:val="true"/>
          <w:cantSplit/>
          <w:cantSplit/>
          <w:tblHeader w:val="true"/>
          <w:cantSplit/>
          <w:tblHeader w:val="true"/>
        </w:trPr>
        <w:tc>
          <w:tcPr>
            <w:tcW w:type="dxa" w:w="2324"/>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7"/>
              </w:rPr>
              <w:t>QA gate</w:t>
            </w:r>
          </w:p>
        </w:tc>
        <w:tc>
          <w:tcPr>
            <w:tcW w:type="dxa" w:w="7257"/>
            <w:shd w:fill="173B63"/>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i w:val="0"/>
                <w:color w:val="FFFFFF"/>
                <w:sz w:val="17"/>
              </w:rPr>
              <w:t>Requirement</w:t>
            </w:r>
          </w:p>
        </w:tc>
      </w:tr>
      <w:tr>
        <w:trPr>
          <w:cantSplit/>
          <w:cantSplit/>
          <w:cantSplit/>
        </w:trPr>
        <w:tc>
          <w:tcPr>
            <w:tcW w:type="dxa" w:w="232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Structural parity</w:t>
            </w:r>
          </w:p>
        </w:tc>
        <w:tc>
          <w:tcPr>
            <w:tcW w:type="dxa" w:w="7257"/>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52 chapters, 7 appendices, F001–F086, stable source locators</w:t>
            </w:r>
          </w:p>
        </w:tc>
      </w:tr>
      <w:tr>
        <w:trPr>
          <w:cantSplit/>
          <w:cantSplit/>
          <w:cantSplit/>
        </w:trPr>
        <w:tc>
          <w:tcPr>
            <w:tcW w:type="dxa" w:w="232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Formula parity</w:t>
            </w:r>
          </w:p>
        </w:tc>
        <w:tc>
          <w:tcPr>
            <w:tcW w:type="dxa" w:w="7257"/>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No semantic or symbolic change; every changed rendering compared to RU source</w:t>
            </w:r>
          </w:p>
        </w:tc>
      </w:tr>
      <w:tr>
        <w:trPr>
          <w:cantSplit/>
          <w:cantSplit/>
          <w:cantSplit/>
        </w:trPr>
        <w:tc>
          <w:tcPr>
            <w:tcW w:type="dxa" w:w="232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Status parity</w:t>
            </w:r>
          </w:p>
        </w:tc>
        <w:tc>
          <w:tcPr>
            <w:tcW w:type="dxa" w:w="7257"/>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No definition/theorem/model/physical-status promotion</w:t>
            </w:r>
          </w:p>
        </w:tc>
      </w:tr>
      <w:tr>
        <w:trPr>
          <w:cantSplit/>
          <w:cantSplit/>
          <w:cantSplit/>
        </w:trPr>
        <w:tc>
          <w:tcPr>
            <w:tcW w:type="dxa" w:w="232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Terminology</w:t>
            </w:r>
          </w:p>
        </w:tc>
        <w:tc>
          <w:tcPr>
            <w:tcW w:type="dxa" w:w="7257"/>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Normative ledger; alias deviations recorded</w:t>
            </w:r>
          </w:p>
        </w:tc>
      </w:tr>
      <w:tr>
        <w:trPr>
          <w:cantSplit/>
          <w:cantSplit/>
          <w:cantSplit/>
        </w:trPr>
        <w:tc>
          <w:tcPr>
            <w:tcW w:type="dxa" w:w="232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Typography</w:t>
            </w:r>
          </w:p>
        </w:tc>
        <w:tc>
          <w:tcPr>
            <w:tcW w:type="dxa" w:w="7257"/>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A4, readable fonts, repeatable table headers, no clipped formulae or tables</w:t>
            </w:r>
          </w:p>
        </w:tc>
      </w:tr>
      <w:tr>
        <w:trPr>
          <w:cantSplit/>
          <w:cantSplit/>
          <w:cantSplit/>
        </w:trPr>
        <w:tc>
          <w:tcPr>
            <w:tcW w:type="dxa" w:w="232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DOCX QA</w:t>
            </w:r>
          </w:p>
        </w:tc>
        <w:tc>
          <w:tcPr>
            <w:tcW w:type="dxa" w:w="7257"/>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Render every page to PNG and visually inspect at 100%</w:t>
            </w:r>
          </w:p>
        </w:tc>
      </w:tr>
      <w:tr>
        <w:trPr>
          <w:cantSplit/>
          <w:cantSplit/>
          <w:cantSplit/>
        </w:trPr>
        <w:tc>
          <w:tcPr>
            <w:tcW w:type="dxa" w:w="232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PDF QA</w:t>
            </w:r>
          </w:p>
        </w:tc>
        <w:tc>
          <w:tcPr>
            <w:tcW w:type="dxa" w:w="7257"/>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Independent PDF render; searchable text; not encrypted; not image-only</w:t>
            </w:r>
          </w:p>
        </w:tc>
      </w:tr>
      <w:tr>
        <w:trPr>
          <w:cantSplit/>
          <w:cantSplit/>
          <w:cantSplit/>
        </w:trPr>
        <w:tc>
          <w:tcPr>
            <w:tcW w:type="dxa" w:w="2324"/>
            <w:shd w:fill="F7F9FB"/>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Integrity</w:t>
            </w:r>
          </w:p>
        </w:tc>
        <w:tc>
          <w:tcPr>
            <w:tcW w:type="dxa" w:w="7257"/>
            <w:shd w:fill="F7F9FB"/>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SHA-256 for DOCX/PDF and source records</w:t>
            </w:r>
          </w:p>
        </w:tc>
      </w:tr>
      <w:tr>
        <w:trPr>
          <w:cantSplit/>
          <w:cantSplit/>
          <w:cantSplit/>
        </w:trPr>
        <w:tc>
          <w:tcPr>
            <w:tcW w:type="dxa" w:w="2324"/>
            <w:tcMar>
              <w:top w:w="90" w:type="dxa"/>
              <w:start w:w="100" w:type="dxa"/>
              <w:bottom w:w="90" w:type="dxa"/>
              <w:end w:w="100" w:type="dxa"/>
            </w:tcMar>
            <w:vAlign w:val="center"/>
          </w:tcPr>
          <w:p>
            <w:pPr>
              <w:keepNext w:val="0"/>
              <w:spacing w:before="0" w:after="0" w:line="252" w:lineRule="auto"/>
              <w:jc w:val="center"/>
            </w:pPr>
            <w:r>
              <w:rPr>
                <w:rFonts w:ascii="DejaVu Serif" w:hAnsi="DejaVu Serif" w:eastAsia="DejaVu Serif"/>
                <w:b w:val="0"/>
                <w:i w:val="0"/>
                <w:color w:val="111111"/>
                <w:sz w:val="17"/>
              </w:rPr>
              <w:t>Versioning</w:t>
            </w:r>
          </w:p>
        </w:tc>
        <w:tc>
          <w:tcPr>
            <w:tcW w:type="dxa" w:w="7257"/>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111111"/>
                <w:sz w:val="17"/>
              </w:rPr>
              <w:t>Never overwrite previous checkpoints</w:t>
            </w:r>
          </w:p>
        </w:tc>
      </w:tr>
    </w:tbl>
    <w:p>
      <w:pPr>
        <w:pStyle w:val="Heading1"/>
        <w:keepNext/>
      </w:pPr>
    </w:p>
    <w:tbl>
      <w:tblPr>
        <w:tblStyle w:val="TableGrid"/>
        <w:tblW w:type="auto" w:w="0"/>
        <w:jc w:val="center"/>
        <w:tblLayout w:type="autofit"/>
        <w:tblLook w:firstColumn="1" w:firstRow="1" w:lastColumn="0" w:lastRow="0" w:noHBand="0" w:noVBand="1" w:val="04A0"/>
      </w:tblPr>
      <w:tblGrid>
        <w:gridCol w:w="10092"/>
      </w:tblGrid>
      <w:tr>
        <w:trPr>
          <w:cantSplit/>
          <w:tblHeader w:val="true"/>
          <w:cantSplit/>
          <w:tblHeader w:val="true"/>
        </w:trPr>
        <w:tc>
          <w:tcPr>
            <w:tcW w:type="dxa" w:w="10092"/>
            <w:shd w:fill="E7F3EB"/>
            <w:tcMar>
              <w:top w:w="90" w:type="dxa"/>
              <w:start w:w="100" w:type="dxa"/>
              <w:bottom w:w="90" w:type="dxa"/>
              <w:end w:w="100" w:type="dxa"/>
            </w:tcMar>
            <w:vAlign w:val="center"/>
          </w:tcPr>
          <w:p>
            <w:pPr>
              <w:spacing w:before="0" w:after="0" w:line="252" w:lineRule="auto"/>
            </w:pPr>
            <w:r>
              <w:rPr>
                <w:rFonts w:ascii="DejaVu Serif" w:hAnsi="DejaVu Serif" w:eastAsia="DejaVu Serif"/>
                <w:sz w:val="18"/>
              </w:rPr>
              <w:t>ESTABLISHED. T1-EN-FREEZE-v1.0 contains Chapters 1-52, canonical Appendices A-G, derivative audit Appendices H-I, the complete F001-F086 registry, verified navigation, source-card metadata, and the accepted no-scientific-change lineage from v0.11 through v0.12.</w:t>
            </w:r>
          </w:p>
        </w:tc>
      </w:tr>
    </w:tbl>
    <w:tbl>
      <w:tblPr>
        <w:tblStyle w:val="TableGrid"/>
        <w:tblW w:type="auto" w:w="0"/>
        <w:jc w:val="center"/>
        <w:tblLayout w:type="autofit"/>
        <w:tblLook w:firstColumn="1" w:firstRow="1" w:lastColumn="0" w:lastRow="0" w:noHBand="0" w:noVBand="1" w:val="04A0"/>
      </w:tblPr>
      <w:tblGrid>
        <w:gridCol w:w="10092"/>
      </w:tblGrid>
      <w:tr>
        <w:trPr>
          <w:cantSplit/>
          <w:tblHeader w:val="true"/>
          <w:cantSplit/>
          <w:tblHeader w:val="true"/>
        </w:trPr>
        <w:tc>
          <w:tcPr>
            <w:tcW w:type="dxa" w:w="10092"/>
            <w:shd w:fill="F8E6E4"/>
            <w:tcMar>
              <w:top w:w="90" w:type="dxa"/>
              <w:start w:w="100" w:type="dxa"/>
              <w:bottom w:w="90" w:type="dxa"/>
              <w:end w:w="100" w:type="dxa"/>
            </w:tcMar>
            <w:vAlign w:val="center"/>
          </w:tcPr>
          <w:p>
            <w:pPr>
              <w:spacing w:before="0" w:after="0" w:line="252" w:lineRule="auto"/>
            </w:pPr>
            <w:r>
              <w:rPr>
                <w:rFonts w:ascii="DejaVu Serif" w:hAnsi="DejaVu Serif" w:eastAsia="DejaVu Serif"/>
                <w:sz w:val="18"/>
              </w:rPr>
              <w:t>NOT ESTABLISHED. No external signed bilingual certification exists; EXT-RUN and EMP-OBS remain absent; hashes establish identity and integrity rather than mathematical or physical truth.</w:t>
            </w:r>
          </w:p>
        </w:tc>
      </w:tr>
    </w:tbl>
    <w:p>
      <w:pPr>
        <w:pStyle w:val="Heading1"/>
        <w:keepNext/>
      </w:pPr>
    </w:p>
    <w:tbl>
      <w:tblPr>
        <w:tblStyle w:val="TableGrid"/>
        <w:tblW w:type="auto" w:w="0"/>
        <w:jc w:val="center"/>
        <w:tblLayout w:type="autofit"/>
        <w:tblLook w:firstColumn="1" w:firstRow="1" w:lastColumn="0" w:lastRow="0" w:noHBand="0" w:noVBand="1" w:val="04A0"/>
      </w:tblPr>
      <w:tblGrid>
        <w:gridCol w:w="10092"/>
      </w:tblGrid>
      <w:tr>
        <w:trPr>
          <w:cantSplit/>
          <w:tblHeader w:val="true"/>
          <w:cantSplit/>
          <w:tblHeader w:val="true"/>
        </w:trPr>
        <w:tc>
          <w:tcPr>
            <w:tcW w:type="dxa" w:w="10092"/>
            <w:shd w:fill="F6EEDB"/>
            <w:tcMar>
              <w:top w:w="90" w:type="dxa"/>
              <w:start w:w="100" w:type="dxa"/>
              <w:bottom w:w="90" w:type="dxa"/>
              <w:end w:w="100" w:type="dxa"/>
            </w:tcMar>
            <w:vAlign w:val="center"/>
          </w:tcPr>
          <w:p>
            <w:pPr>
              <w:spacing w:before="0" w:after="0" w:line="252" w:lineRule="auto"/>
            </w:pPr>
            <w:r>
              <w:rPr>
                <w:rFonts w:ascii="DejaVu Serif" w:hAnsi="DejaVu Serif" w:eastAsia="DejaVu Serif"/>
                <w:sz w:val="18"/>
              </w:rPr>
              <w:t>POST-FREEZE RULE. T1-EN-FREEZE-v1.0 is immutable. Any correction, extension, or metadata change requires a documented change-set and a new version; in-place editing is prohibited.</w:t>
            </w:r>
          </w:p>
        </w:tc>
      </w:tr>
    </w:tbl>
    <w:p>
      <w:r>
        <w:br w:type="page"/>
      </w:r>
    </w:p>
    <w:p>
      <w:pPr>
        <w:pStyle w:val="Heading1"/>
        <w:keepNext/>
        <w:spacing w:before="160" w:after="80"/>
      </w:pPr>
      <w:r>
        <w:rPr>
          <w:rFonts w:ascii="DejaVu Sans" w:hAnsi="DejaVu Sans" w:eastAsia="DejaVu Sans"/>
          <w:b/>
          <w:i w:val="0"/>
          <w:color w:val="1F4E78"/>
          <w:sz w:val="32"/>
        </w:rPr>
        <w:t>T1-EN-FOUNDATIONS-v0.2</w:t>
      </w:r>
    </w:p>
    <w:p>
      <w:pPr>
        <w:spacing w:after="60" w:line="259" w:lineRule="auto"/>
        <w:jc w:val="center"/>
      </w:pPr>
      <w:r>
        <w:rPr>
          <w:rFonts w:ascii="DejaVu Serif" w:hAnsi="DejaVu Serif" w:eastAsia="DejaVu Serif"/>
          <w:b/>
          <w:i w:val="0"/>
          <w:color w:val="A87918"/>
          <w:sz w:val="23"/>
        </w:rPr>
        <w:t>CONTROLLED ENGLISH TRANSLATION OF CHAPTERS 1–8</w:t>
      </w:r>
    </w:p>
    <w:tbl>
      <w:tblPr>
        <w:tblW w:type="auto" w:w="0"/>
        <w:jc w:val="center"/>
        <w:tblLook w:firstColumn="1" w:firstRow="1" w:lastColumn="0" w:lastRow="0" w:noHBand="0" w:noVBand="1" w:val="04A0"/>
      </w:tblPr>
      <w:tblGrid>
        <w:gridCol w:w="10092"/>
      </w:tblGrid>
      <w:tr>
        <w:trPr>
          <w:cantSplit/>
          <w:tblHeader w:val="true"/>
        </w:trPr>
        <w:tc>
          <w:tcPr>
            <w:tcW w:type="dxa" w:w="10092"/>
            <w:shd w:fill="EAF1F7"/>
            <w:tcMar>
              <w:top w:w="90" w:type="dxa"/>
              <w:start w:w="100" w:type="dxa"/>
              <w:bottom w:w="90" w:type="dxa"/>
              <w:end w:w="100" w:type="dxa"/>
            </w:tcMar>
            <w:vAlign w:val="center"/>
          </w:tcPr>
          <w:p>
            <w:pPr>
              <w:spacing w:after="0" w:line="252" w:lineRule="auto" w:before="0"/>
            </w:pPr>
            <w:r>
              <w:rPr>
                <w:rFonts w:ascii="DejaVu Serif" w:hAnsi="DejaVu Serif" w:eastAsia="DejaVu Serif"/>
                <w:b/>
                <w:color w:val="173B63"/>
                <w:sz w:val="18"/>
              </w:rPr>
              <w:t xml:space="preserve">TRANSLATION NOTE.  </w:t>
            </w:r>
            <w:r>
              <w:rPr>
                <w:rFonts w:ascii="DejaVu Serif" w:hAnsi="DejaVu Serif" w:eastAsia="DejaVu Serif"/>
                <w:b w:val="0"/>
                <w:color w:val="111111"/>
                <w:sz w:val="18"/>
              </w:rPr>
              <w:t>The scientific content below is translated from Russian source pages 5–34. Repeated running headers, duplicated archival tables of contents, and obvious extraction artefacts are not reproduced as independent scientific claims. Their substantive formulas and status statements are retained in normalized archival subsections.</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F8E6E4"/>
            <w:tcMar>
              <w:top w:w="90" w:type="dxa"/>
              <w:start w:w="100" w:type="dxa"/>
              <w:bottom w:w="90" w:type="dxa"/>
              <w:end w:w="100" w:type="dxa"/>
            </w:tcMar>
            <w:vAlign w:val="center"/>
          </w:tcPr>
          <w:p>
            <w:pPr>
              <w:spacing w:after="0" w:line="252" w:lineRule="auto" w:before="0"/>
            </w:pPr>
            <w:r>
              <w:rPr>
                <w:rFonts w:ascii="DejaVu Serif" w:hAnsi="DejaVu Serif" w:eastAsia="DejaVu Serif"/>
                <w:b/>
                <w:color w:val="A32626"/>
                <w:sz w:val="18"/>
              </w:rPr>
              <w:t xml:space="preserve">STATUS FIREWALL.  </w:t>
            </w:r>
            <w:r>
              <w:rPr>
                <w:rFonts w:ascii="DejaVu Serif" w:hAnsi="DejaVu Serif" w:eastAsia="DejaVu Serif"/>
                <w:b w:val="0"/>
                <w:color w:val="111111"/>
                <w:sz w:val="18"/>
              </w:rPr>
              <w:t>The translation preserves the Russian hierarchy of definitions, axioms, lemmas, propositions, theorems, conditional statements, models, open obligations, counterexamples, and ABSTAIN verdicts. No English clarification changes the truth layer.</w:t>
            </w:r>
          </w:p>
        </w:tc>
      </w:tr>
    </w:tbl>
    <w:p>
      <w:pPr>
        <w:spacing w:after="20"/>
      </w:pPr>
    </w:p>
    <w:p>
      <w:pPr>
        <w:pStyle w:val="Heading2"/>
        <w:keepNext/>
        <w:spacing w:before="100" w:after="80"/>
      </w:pPr>
      <w:r>
        <w:rPr>
          <w:rFonts w:ascii="DejaVu Sans" w:hAnsi="DejaVu Sans" w:eastAsia="DejaVu Sans"/>
          <w:b/>
          <w:i w:val="0"/>
          <w:color w:val="1F4E78"/>
          <w:sz w:val="25"/>
        </w:rPr>
        <w:t>v0.2 Change-Set and Parity Scope</w:t>
      </w:r>
    </w:p>
    <w:tbl>
      <w:tblPr>
        <w:tblW w:type="auto" w:w="0"/>
        <w:jc w:val="center"/>
        <w:tblLook w:firstColumn="1" w:firstRow="1" w:lastColumn="0" w:lastRow="0" w:noHBand="0" w:noVBand="1" w:val="04A0"/>
      </w:tblPr>
      <w:tblGrid>
        <w:gridCol w:w="3364"/>
        <w:gridCol w:w="3364"/>
        <w:gridCol w:w="3364"/>
      </w:tblGrid>
      <w:tr>
        <w:trPr>
          <w:tblHeader w:val="true"/>
          <w:cantSplit/>
          <w:cantSplit/>
          <w:tblHeader w:val="true"/>
        </w:trPr>
        <w:tc>
          <w:tcPr>
            <w:tcW w:type="dxa" w:w="1701"/>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ID</w:t>
            </w:r>
          </w:p>
        </w:tc>
        <w:tc>
          <w:tcPr>
            <w:tcW w:type="dxa" w:w="6520"/>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Change</w:t>
            </w:r>
          </w:p>
        </w:tc>
        <w:tc>
          <w:tcPr>
            <w:tcW w:type="dxa" w:w="1247"/>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Status</w:t>
            </w:r>
          </w:p>
        </w:tc>
      </w:tr>
      <w:tr>
        <w:trPr>
          <w:cantSplit/>
          <w:cantSplit/>
        </w:trPr>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T1-EN-CS-007</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Translated Chapters 1–8 with Russian source-page locators.</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EN-DRAFT</w:t>
            </w:r>
          </w:p>
        </w:tc>
      </w:tr>
      <w:tr>
        <w:trPr>
          <w:cantSplit/>
          <w:cantSplit/>
        </w:trPr>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T1-EN-CS-008</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Reconstructed eight diagrams with English labels while preserving the source mathematical roles.</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DOC/FIG</w:t>
            </w:r>
          </w:p>
        </w:tc>
      </w:tr>
      <w:tr>
        <w:trPr>
          <w:cantSplit/>
          <w:cantSplit/>
        </w:trPr>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T1-EN-CS-009</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Preserved all explicit axioms C1–C6, R1–R8, typed morphism conditions, and status gates.</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PARITY</w:t>
            </w:r>
          </w:p>
        </w:tc>
      </w:tr>
      <w:tr>
        <w:trPr>
          <w:cantSplit/>
          <w:cantSplit/>
        </w:trPr>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T1-EN-CS-010</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Preserved the harmonic-complement theorems, projective-invariance theorem, and conditioning statements.</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THM-PARITY</w:t>
            </w:r>
          </w:p>
        </w:tc>
      </w:tr>
      <w:tr>
        <w:trPr>
          <w:cantSplit/>
          <w:cantSplit/>
        </w:trPr>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T1-EN-CS-011</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Preserved all negative results: no truth from C@C alone, no global inverse outside Dom, no status promotion from λ, and no empirical claim from formal soundness.</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NEGATIVE-PARITY</w:t>
            </w:r>
          </w:p>
        </w:tc>
      </w:tr>
      <w:tr>
        <w:trPr>
          <w:cantSplit/>
          <w:cantSplit/>
        </w:trPr>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T1-EN-CS-012</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Added source-locator and translation-completeness matrix for Chapters 1–8.</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QA</w:t>
            </w:r>
          </w:p>
        </w:tc>
      </w:tr>
    </w:tbl>
    <w:p>
      <w:pPr>
        <w:spacing w:after="40"/>
      </w:pPr>
    </w:p>
    <w:tbl>
      <w:tblPr>
        <w:tblW w:type="auto" w:w="0"/>
        <w:jc w:val="center"/>
        <w:tblLook w:firstColumn="1" w:firstRow="1" w:lastColumn="0" w:lastRow="0" w:noHBand="0" w:noVBand="1" w:val="04A0"/>
      </w:tblPr>
      <w:tblGrid>
        <w:gridCol w:w="2523"/>
        <w:gridCol w:w="2523"/>
        <w:gridCol w:w="2523"/>
        <w:gridCol w:w="2523"/>
      </w:tblGrid>
      <w:tr>
        <w:trPr>
          <w:tblHeader w:val="true"/>
          <w:cantSplit/>
          <w:cantSplit/>
          <w:tblHeader w:val="true"/>
        </w:trPr>
        <w:tc>
          <w:tcPr>
            <w:tcW w:type="dxa" w:w="907"/>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7"/>
              </w:rPr>
              <w:t>Chapter</w:t>
            </w:r>
          </w:p>
        </w:tc>
        <w:tc>
          <w:tcPr>
            <w:tcW w:type="dxa" w:w="5102"/>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7"/>
              </w:rPr>
              <w:t>English title</w:t>
            </w:r>
          </w:p>
        </w:tc>
        <w:tc>
          <w:tcPr>
            <w:tcW w:type="dxa" w:w="1701"/>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7"/>
              </w:rPr>
              <w:t>Russian locator</w:t>
            </w:r>
          </w:p>
        </w:tc>
        <w:tc>
          <w:tcPr>
            <w:tcW w:type="dxa" w:w="1247"/>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7"/>
              </w:rPr>
              <w:t>Status</w:t>
            </w:r>
          </w:p>
        </w:tc>
      </w:tr>
      <w:tr>
        <w:trPr>
          <w:cantSplit/>
          <w:cantSplit/>
        </w:trPr>
        <w:tc>
          <w:tcPr>
            <w:tcW w:type="dxa" w:w="2523"/>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7"/>
              </w:rPr>
              <w:t>1</w:t>
            </w:r>
          </w:p>
        </w:tc>
        <w:tc>
          <w:tcPr>
            <w:tcW w:type="dxa" w:w="2523"/>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7"/>
              </w:rPr>
              <w:t>Time@Space and Stratified Ontology</w:t>
            </w:r>
          </w:p>
        </w:tc>
        <w:tc>
          <w:tcPr>
            <w:tcW w:type="dxa" w:w="2523"/>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7"/>
              </w:rPr>
              <w:t>RU pp. 5–8</w:t>
            </w:r>
          </w:p>
        </w:tc>
        <w:tc>
          <w:tcPr>
            <w:tcW w:type="dxa" w:w="2523"/>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7"/>
              </w:rPr>
              <w:t>COMPLETE</w:t>
            </w:r>
          </w:p>
        </w:tc>
      </w:tr>
      <w:tr>
        <w:trPr>
          <w:cantSplit/>
          <w:cantSplit/>
        </w:trPr>
        <w:tc>
          <w:tcPr>
            <w:tcW w:type="dxa" w:w="2523"/>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7"/>
              </w:rPr>
              <w:t>2</w:t>
            </w:r>
          </w:p>
        </w:tc>
        <w:tc>
          <w:tcPr>
            <w:tcW w:type="dxa" w:w="2523"/>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7"/>
              </w:rPr>
              <w:t>C@C: event@state as the Minimal Object</w:t>
            </w:r>
          </w:p>
        </w:tc>
        <w:tc>
          <w:tcPr>
            <w:tcW w:type="dxa" w:w="2523"/>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7"/>
              </w:rPr>
              <w:t>RU pp. 9–12</w:t>
            </w:r>
          </w:p>
        </w:tc>
        <w:tc>
          <w:tcPr>
            <w:tcW w:type="dxa" w:w="2523"/>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7"/>
              </w:rPr>
              <w:t>COMPLETE</w:t>
            </w:r>
          </w:p>
        </w:tc>
      </w:tr>
      <w:tr>
        <w:trPr>
          <w:cantSplit/>
          <w:cantSplit/>
        </w:trPr>
        <w:tc>
          <w:tcPr>
            <w:tcW w:type="dxa" w:w="2523"/>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7"/>
              </w:rPr>
              <w:t>3</w:t>
            </w:r>
          </w:p>
        </w:tc>
        <w:tc>
          <w:tcPr>
            <w:tcW w:type="dxa" w:w="2523"/>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7"/>
              </w:rPr>
              <w:t>Packet Objects and the Category Pack</w:t>
            </w:r>
          </w:p>
        </w:tc>
        <w:tc>
          <w:tcPr>
            <w:tcW w:type="dxa" w:w="2523"/>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7"/>
              </w:rPr>
              <w:t>RU pp. 13–17</w:t>
            </w:r>
          </w:p>
        </w:tc>
        <w:tc>
          <w:tcPr>
            <w:tcW w:type="dxa" w:w="2523"/>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7"/>
              </w:rPr>
              <w:t>COMPLETE</w:t>
            </w:r>
          </w:p>
        </w:tc>
      </w:tr>
      <w:tr>
        <w:trPr>
          <w:cantSplit/>
          <w:cantSplit/>
        </w:trPr>
        <w:tc>
          <w:tcPr>
            <w:tcW w:type="dxa" w:w="2523"/>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7"/>
              </w:rPr>
              <w:t>4</w:t>
            </w:r>
          </w:p>
        </w:tc>
        <w:tc>
          <w:tcPr>
            <w:tcW w:type="dxa" w:w="2523"/>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7"/>
              </w:rPr>
              <w:t>Packet Morphisms, Reductions, and Conservation Laws</w:t>
            </w:r>
          </w:p>
        </w:tc>
        <w:tc>
          <w:tcPr>
            <w:tcW w:type="dxa" w:w="2523"/>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7"/>
              </w:rPr>
              <w:t>RU p. 18</w:t>
            </w:r>
          </w:p>
        </w:tc>
        <w:tc>
          <w:tcPr>
            <w:tcW w:type="dxa" w:w="2523"/>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7"/>
              </w:rPr>
              <w:t>COMPLETE</w:t>
            </w:r>
          </w:p>
        </w:tc>
      </w:tr>
      <w:tr>
        <w:trPr>
          <w:cantSplit/>
          <w:cantSplit/>
        </w:trPr>
        <w:tc>
          <w:tcPr>
            <w:tcW w:type="dxa" w:w="2523"/>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7"/>
              </w:rPr>
              <w:t>5</w:t>
            </w:r>
          </w:p>
        </w:tc>
        <w:tc>
          <w:tcPr>
            <w:tcW w:type="dxa" w:w="2523"/>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7"/>
              </w:rPr>
              <w:t>Reper(R,I,U;D): Definition and Axioms</w:t>
            </w:r>
          </w:p>
        </w:tc>
        <w:tc>
          <w:tcPr>
            <w:tcW w:type="dxa" w:w="2523"/>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7"/>
              </w:rPr>
              <w:t>RU pp. 19–22</w:t>
            </w:r>
          </w:p>
        </w:tc>
        <w:tc>
          <w:tcPr>
            <w:tcW w:type="dxa" w:w="2523"/>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7"/>
              </w:rPr>
              <w:t>COMPLETE</w:t>
            </w:r>
          </w:p>
        </w:tc>
      </w:tr>
      <w:tr>
        <w:trPr>
          <w:cantSplit/>
          <w:cantSplit/>
        </w:trPr>
        <w:tc>
          <w:tcPr>
            <w:tcW w:type="dxa" w:w="2523"/>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7"/>
              </w:rPr>
              <w:t>6</w:t>
            </w:r>
          </w:p>
        </w:tc>
        <w:tc>
          <w:tcPr>
            <w:tcW w:type="dxa" w:w="2523"/>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7"/>
              </w:rPr>
              <w:t>Projective-Harmonic Cross-Ratio</w:t>
            </w:r>
          </w:p>
        </w:tc>
        <w:tc>
          <w:tcPr>
            <w:tcW w:type="dxa" w:w="2523"/>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7"/>
              </w:rPr>
              <w:t>RU pp. 23–26</w:t>
            </w:r>
          </w:p>
        </w:tc>
        <w:tc>
          <w:tcPr>
            <w:tcW w:type="dxa" w:w="2523"/>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7"/>
              </w:rPr>
              <w:t>COMPLETE</w:t>
            </w:r>
          </w:p>
        </w:tc>
      </w:tr>
      <w:tr>
        <w:trPr>
          <w:cantSplit/>
          <w:cantSplit/>
        </w:trPr>
        <w:tc>
          <w:tcPr>
            <w:tcW w:type="dxa" w:w="2523"/>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7"/>
              </w:rPr>
              <w:t>7</w:t>
            </w:r>
          </w:p>
        </w:tc>
        <w:tc>
          <w:tcPr>
            <w:tcW w:type="dxa" w:w="2523"/>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7"/>
              </w:rPr>
              <w:t>D/Dom and Sufficient Foundation</w:t>
            </w:r>
          </w:p>
        </w:tc>
        <w:tc>
          <w:tcPr>
            <w:tcW w:type="dxa" w:w="2523"/>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7"/>
              </w:rPr>
              <w:t>RU pp. 27–30</w:t>
            </w:r>
          </w:p>
        </w:tc>
        <w:tc>
          <w:tcPr>
            <w:tcW w:type="dxa" w:w="2523"/>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7"/>
              </w:rPr>
              <w:t>COMPLETE</w:t>
            </w:r>
          </w:p>
        </w:tc>
      </w:tr>
      <w:tr>
        <w:trPr>
          <w:cantSplit/>
          <w:cantSplit/>
        </w:trPr>
        <w:tc>
          <w:tcPr>
            <w:tcW w:type="dxa" w:w="2523"/>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7"/>
              </w:rPr>
              <w:t>8</w:t>
            </w:r>
          </w:p>
        </w:tc>
        <w:tc>
          <w:tcPr>
            <w:tcW w:type="dxa" w:w="2523"/>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7"/>
              </w:rPr>
              <w:t>Packet Laws of Logic and Rules of Inference</w:t>
            </w:r>
          </w:p>
        </w:tc>
        <w:tc>
          <w:tcPr>
            <w:tcW w:type="dxa" w:w="2523"/>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7"/>
              </w:rPr>
              <w:t>RU pp. 31–34</w:t>
            </w:r>
          </w:p>
        </w:tc>
        <w:tc>
          <w:tcPr>
            <w:tcW w:type="dxa" w:w="2523"/>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7"/>
              </w:rPr>
              <w:t>COMPLETE</w:t>
            </w:r>
          </w:p>
        </w:tc>
      </w:tr>
    </w:tbl>
    <w:p>
      <w:pPr>
        <w:spacing w:after="40"/>
      </w:pPr>
    </w:p>
    <w:p>
      <w:pPr>
        <w:pStyle w:val="Heading1"/>
        <w:keepNext/>
        <w:spacing w:before="160" w:after="80"/>
      </w:pPr>
      <w:bookmarkStart w:id="1000" w:name="T1_CH_01"/>
      <w:r>
        <w:rPr>
          <w:rFonts w:ascii="DejaVu Sans" w:hAnsi="DejaVu Sans" w:eastAsia="DejaVu Sans"/>
          <w:b/>
          <w:i w:val="0"/>
          <w:color w:val="1F4E78"/>
          <w:sz w:val="32"/>
        </w:rPr>
        <w:t>Chapter 1. Time@Space and Stratified Ontology</w:t>
      </w:r>
      <w:bookmarkEnd w:id="1000"/>
    </w:p>
    <w:p>
      <w:pPr>
        <w:spacing w:after="60" w:line="259" w:lineRule="auto"/>
        <w:jc w:val="left"/>
      </w:pPr>
      <w:r>
        <w:rPr>
          <w:rFonts w:ascii="DejaVu Serif" w:hAnsi="DejaVu Serif" w:eastAsia="DejaVu Serif"/>
          <w:b w:val="0"/>
          <w:i/>
          <w:color w:val="5E6873"/>
          <w:sz w:val="18"/>
        </w:rPr>
        <w:t>Russian source locator: pp. 5–8</w:t>
      </w:r>
    </w:p>
    <w:tbl>
      <w:tblPr>
        <w:tblW w:type="auto" w:w="0"/>
        <w:jc w:val="center"/>
        <w:tblLook w:firstColumn="1" w:firstRow="1" w:lastColumn="0" w:lastRow="0" w:noHBand="0" w:noVBand="1" w:val="04A0"/>
      </w:tblPr>
      <w:tblGrid>
        <w:gridCol w:w="5046"/>
        <w:gridCol w:w="5046"/>
      </w:tblGrid>
      <w:tr>
        <w:trPr>
          <w:cantSplit/>
          <w:cantSplit/>
          <w:tblHeader w:val="true"/>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PLAIN-LANGUAGE MEANING</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This chapter sets the initial scene of the theory: space is treated as a section of the more comprehensive object Time@Space, and dimensional levels are organised as strata.</w:t>
            </w:r>
          </w:p>
        </w:tc>
      </w:tr>
      <w:tr>
        <w:trPr>
          <w:cantSplit/>
          <w:cantSplit/>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MATHEMATICAL CORE</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A standard stratified envelope, the concept of an admissible section, and the authorial project terms Hyparxis and Apeiron are introduced.</w:t>
            </w:r>
          </w:p>
        </w:tc>
      </w:tr>
      <w:tr>
        <w:trPr>
          <w:cantSplit/>
          <w:cantSplit/>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BOUNDARY OF THE CLAIM</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This is an axiomatic ontology and a model language, not an independently confirmed experimental theory of physical spacetime.</w:t>
            </w:r>
          </w:p>
        </w:tc>
      </w:tr>
      <w:tr>
        <w:trPr>
          <w:cantSplit/>
          <w:cantSplit/>
        </w:trPr>
        <w:tc>
          <w:tcPr>
            <w:tcW w:type="dxa" w:w="1814"/>
            <w:tcMar>
              <w:top w:w="90" w:type="dxa"/>
              <w:start w:w="100" w:type="dxa"/>
              <w:bottom w:w="90" w:type="dxa"/>
              <w:end w:w="100" w:type="dxa"/>
            </w:tcMar>
            <w:vAlign w:val="center"/>
            <w:shd w:fill="A87918"/>
          </w:tcPr>
          <w:p>
            <w:pPr>
              <w:spacing w:after="0" w:before="0" w:line="252" w:lineRule="auto"/>
              <w:jc w:val="center"/>
            </w:pPr>
            <w:r>
              <w:rPr>
                <w:rFonts w:ascii="DejaVu Serif" w:hAnsi="DejaVu Serif" w:eastAsia="DejaVu Serif"/>
                <w:b/>
                <w:color w:val="FFFFFF"/>
                <w:sz w:val="18"/>
              </w:rPr>
              <w:t>STATUS</w:t>
            </w:r>
          </w:p>
        </w:tc>
        <w:tc>
          <w:tcPr>
            <w:tcW w:type="dxa" w:w="7483"/>
            <w:tcMar>
              <w:top w:w="90" w:type="dxa"/>
              <w:start w:w="100" w:type="dxa"/>
              <w:bottom w:w="90" w:type="dxa"/>
              <w:end w:w="100" w:type="dxa"/>
            </w:tcMar>
            <w:vAlign w:val="center"/>
            <w:shd w:fill="F6EEDB"/>
          </w:tcPr>
          <w:p>
            <w:pPr>
              <w:spacing w:after="0" w:before="0" w:line="252" w:lineRule="auto"/>
              <w:jc w:val="left"/>
            </w:pPr>
            <w:r>
              <w:rPr>
                <w:rFonts w:ascii="DejaVu Serif" w:hAnsi="DejaVu Serif" w:eastAsia="DejaVu Serif"/>
                <w:b w:val="0"/>
                <w:color w:val="111111"/>
                <w:sz w:val="18"/>
              </w:rPr>
              <w:t>AXIOMATIC FOUNDATION</w:t>
            </w:r>
          </w:p>
        </w:tc>
      </w:tr>
    </w:tbl>
    <w:p>
      <w:pPr>
        <w:spacing w:after="20"/>
      </w:pPr>
    </w:p>
    <w:p>
      <w:pPr>
        <w:keepLines w:val="0"/>
        <w:spacing w:after="80" w:line="269" w:lineRule="auto"/>
        <w:ind w:firstLine="312"/>
        <w:jc w:val="both"/>
      </w:pPr>
      <w:r>
        <w:rPr>
          <w:rFonts w:ascii="DejaVu Serif" w:hAnsi="DejaVu Serif" w:eastAsia="DejaVu Serif"/>
          <w:b w:val="0"/>
          <w:i w:val="0"/>
          <w:sz w:val="21"/>
        </w:rPr>
        <w:t>The term Time@Space is not introduced as a renaming of spacetime. It changes the order of ontological foundations. In the conventional notation, space and time are already given as a coordinate continuum. Here stratified temporal connectedness is taken as primary, while space arises as a stable section or layer of its realisation. Such a reversal requires a strict distinction between a philosophical thesis, an axiomatic model, and a physical interpretation.</w:t>
      </w:r>
    </w:p>
    <w:p>
      <w:pPr>
        <w:keepNext/>
        <w:jc w:val="center"/>
      </w:pPr>
      <w:r>
        <w:drawing>
          <wp:inline xmlns:a="http://schemas.openxmlformats.org/drawingml/2006/main" xmlns:pic="http://schemas.openxmlformats.org/drawingml/2006/picture">
            <wp:extent cx="5688000" cy="2869057"/>
            <wp:docPr id="4" name="Picture 4"/>
            <wp:cNvGraphicFramePr>
              <a:graphicFrameLocks noChangeAspect="1"/>
            </wp:cNvGraphicFramePr>
            <a:graphic>
              <a:graphicData uri="http://schemas.openxmlformats.org/drawingml/2006/picture">
                <pic:pic>
                  <pic:nvPicPr>
                    <pic:cNvPr id="0" name="fig_ch1_layers.png"/>
                    <pic:cNvPicPr/>
                  </pic:nvPicPr>
                  <pic:blipFill>
                    <a:blip r:embed="rId16"/>
                    <a:stretch>
                      <a:fillRect/>
                    </a:stretch>
                  </pic:blipFill>
                  <pic:spPr>
                    <a:xfrm>
                      <a:off x="0" y="0"/>
                      <a:ext cx="5688000" cy="2869057"/>
                    </a:xfrm>
                    <a:prstGeom prst="rect"/>
                  </pic:spPr>
                </pic:pic>
              </a:graphicData>
            </a:graphic>
          </wp:inline>
        </w:drawing>
      </w:r>
    </w:p>
    <w:p>
      <w:pPr>
        <w:keepNext w:val="0"/>
        <w:spacing w:after="100"/>
        <w:jc w:val="center"/>
      </w:pPr>
      <w:bookmarkStart w:id="1061" w:name="T1_FIG_003"/>
      <w:r>
        <w:rPr>
          <w:rFonts w:ascii="DejaVu Serif" w:hAnsi="DejaVu Serif" w:eastAsia="DejaVu Serif"/>
          <w:b w:val="0"/>
          <w:i/>
          <w:color w:val="5E6873"/>
          <w:sz w:val="18"/>
        </w:rPr>
        <w:t>Figure 1.1. Stratified layers of Time@Space and their admissible reductions.</w:t>
      </w:r>
      <w:bookmarkEnd w:id="1061"/>
    </w:p>
    <w:p>
      <w:pPr>
        <w:pStyle w:val="Heading2"/>
        <w:keepNext/>
        <w:spacing w:before="100" w:after="80"/>
      </w:pPr>
      <w:r>
        <w:rPr>
          <w:rFonts w:ascii="DejaVu Sans" w:hAnsi="DejaVu Sans" w:eastAsia="DejaVu Sans"/>
          <w:b/>
          <w:i w:val="0"/>
          <w:color w:val="1F4E78"/>
          <w:sz w:val="25"/>
        </w:rPr>
        <w:t>1.1. Standard Stratified Envelope</w:t>
      </w:r>
    </w:p>
    <w:p>
      <w:pPr>
        <w:keepLines w:val="0"/>
        <w:spacing w:after="80" w:line="269" w:lineRule="auto"/>
        <w:ind w:firstLine="312"/>
        <w:jc w:val="both"/>
      </w:pPr>
      <w:r>
        <w:rPr>
          <w:rFonts w:ascii="DejaVu Serif" w:hAnsi="DejaVu Serif" w:eastAsia="DejaVu Serif"/>
          <w:b w:val="0"/>
          <w:i w:val="0"/>
          <w:sz w:val="21"/>
        </w:rPr>
        <w:t>Let X be a Hausdorff paracompact space endowed with a finite filtration by smooth pure layers X⁽ᵏ⁾, k∈{−1,0,1,2,3}. The authorial filtration T⁽ᵏ⁾ is understood as a stratified envelope. The index −1 is retained as a special compatibility layer of transitions and need not be an independent smooth stratum.</w:t>
      </w:r>
    </w:p>
    <w:p>
      <w:pPr>
        <w:keepLines/>
        <w:spacing w:before="60" w:after="80"/>
        <w:jc w:val="center"/>
      </w:pPr>
      <w:r>
        <w:rPr>
          <w:rFonts w:ascii="DejaVu Serif" w:hAnsi="DejaVu Serif" w:eastAsia="DejaVu Serif"/>
          <w:b w:val="0"/>
          <w:i w:val="0"/>
          <w:color w:val="173B63"/>
          <w:sz w:val="22"/>
        </w:rPr>
        <w:t>T⁽³⁾ ⊂ T⁽²⁾ ⊂ T⁽¹⁾ ⊂ T⁽⁰⁾ ⊂ T⁽⁻¹⁾ = X</w:t>
      </w:r>
      <w:r>
        <w:rPr>
          <w:rFonts w:ascii="DejaVu Sans" w:hAnsi="DejaVu Sans" w:eastAsia="DejaVu Sans"/>
          <w:b w:val="0"/>
          <w:i w:val="0"/>
          <w:color w:val="5E6873"/>
          <w:sz w:val="15"/>
        </w:rPr>
        <w:t xml:space="preserve">    [RU p. 6]</w:t>
      </w:r>
    </w:p>
    <w:p>
      <w:pPr>
        <w:pStyle w:val="Heading2"/>
        <w:keepNext/>
        <w:spacing w:before="100" w:after="80"/>
      </w:pPr>
      <w:r>
        <w:rPr>
          <w:rFonts w:ascii="DejaVu Sans" w:hAnsi="DejaVu Sans" w:eastAsia="DejaVu Sans"/>
          <w:b/>
          <w:i w:val="0"/>
          <w:color w:val="1F4E78"/>
          <w:sz w:val="25"/>
        </w:rPr>
        <w:t>1.2. Space as an Admissible Section</w:t>
      </w:r>
    </w:p>
    <w:p>
      <w:pPr>
        <w:keepLines w:val="0"/>
        <w:spacing w:after="80" w:line="269" w:lineRule="auto"/>
        <w:ind w:firstLine="312"/>
        <w:jc w:val="both"/>
      </w:pPr>
      <w:r>
        <w:rPr>
          <w:rFonts w:ascii="DejaVu Serif" w:hAnsi="DejaVu Serif" w:eastAsia="DejaVu Serif"/>
          <w:b w:val="0"/>
          <w:i w:val="0"/>
          <w:sz w:val="21"/>
        </w:rPr>
        <w:t>Observed three-dimensional space is interpreted as the outer layer T⁽³⁾; surfaces, lines, and points coexist as deeper strata. Time is not reduced to an additional coordinate. It specifies an ordered compatibility of transitions, the domains of partial maps, and the preservation of structure under reduction.</w:t>
      </w:r>
    </w:p>
    <w:p>
      <w:pPr>
        <w:pStyle w:val="Heading2"/>
        <w:keepNext/>
        <w:spacing w:before="100" w:after="80"/>
      </w:pPr>
      <w:r>
        <w:rPr>
          <w:rFonts w:ascii="DejaVu Sans" w:hAnsi="DejaVu Sans" w:eastAsia="DejaVu Sans"/>
          <w:b/>
          <w:i w:val="0"/>
          <w:color w:val="1F4E78"/>
          <w:sz w:val="25"/>
        </w:rPr>
        <w:t>1.3. Hyparxis and Apeiron</w:t>
      </w:r>
    </w:p>
    <w:p>
      <w:pPr>
        <w:keepLines w:val="0"/>
        <w:spacing w:after="80" w:line="269" w:lineRule="auto"/>
        <w:ind w:firstLine="312"/>
        <w:jc w:val="both"/>
      </w:pPr>
      <w:r>
        <w:rPr>
          <w:rFonts w:ascii="DejaVu Serif" w:hAnsi="DejaVu Serif" w:eastAsia="DejaVu Serif"/>
          <w:b w:val="0"/>
          <w:i w:val="0"/>
          <w:sz w:val="21"/>
        </w:rPr>
        <w:t>Hyparxis is a family of compatible transitions between adjacent filtration levels. Apeiron is a condition of global connectedness that prevents the transition system from decomposing into mutually inconsistent fragments. These terms acquire mathematical meaning only when maps, domains, and composition rules are stated explicitly.</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Definition 1.1 [DEF-A].  </w:t>
            </w:r>
            <w:r>
              <w:rPr>
                <w:rFonts w:ascii="DejaVu Serif" w:hAnsi="DejaVu Serif" w:eastAsia="DejaVu Serif"/>
                <w:b w:val="0"/>
                <w:color w:val="111111"/>
                <w:sz w:val="18"/>
              </w:rPr>
              <w:t>A standard stratified envelope is a Hausdorff paracompact space X with a finite family of closed subsets and pure strata Xₖ = T⁽ᵏ⁾ ∖ T⁽ᵏ⁻¹⁾. Every nonempty Xₖ is a connected smooth manifold of pure dimension k. Near x∈Xₖ one allows a conical local model U ≅ ℝᵏ × C(Lₓ).</w:t>
            </w:r>
          </w:p>
        </w:tc>
      </w:tr>
    </w:tbl>
    <w:p>
      <w:pPr>
        <w:spacing w:after="20"/>
      </w:pPr>
    </w:p>
    <w:p>
      <w:pPr>
        <w:keepLines w:val="0"/>
        <w:spacing w:after="80" w:line="269" w:lineRule="auto"/>
        <w:ind w:firstLine="312"/>
        <w:jc w:val="both"/>
      </w:pPr>
      <w:r>
        <w:rPr>
          <w:rFonts w:ascii="DejaVu Serif" w:hAnsi="DejaVu Serif" w:eastAsia="DejaVu Serif"/>
          <w:b w:val="0"/>
          <w:i w:val="0"/>
          <w:sz w:val="21"/>
        </w:rPr>
        <w:t>The local dimension is a function dimₗₒc:X→{−1,0,1,2,3}. The formal level −1 is not declared to be a new geometric dimension; it encodes a compatibility layer of transitions. The envelope is a standard external carrier but does not replace the authorial packet formalism.</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Definition 1.2 [DEF-A].  </w:t>
            </w:r>
            <w:r>
              <w:rPr>
                <w:rFonts w:ascii="DejaVu Serif" w:hAnsi="DejaVu Serif" w:eastAsia="DejaVu Serif"/>
                <w:b w:val="0"/>
                <w:color w:val="111111"/>
                <w:sz w:val="18"/>
              </w:rPr>
              <w:t>For k=3,2,1,0, partial smooth maps Lₖ:Dom(Lₖ)⊂T⁽ᵏ⁾→T⁽ᵏ⁻¹⁾ are specified. On overlaps they must be compatible with stratum inclusions and satisfy Lₖ₋₁∘Lₖ = Lₖ₋₁,ₖ whenever both sides are defined.</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Definition 1.3 [DEF-A].  </w:t>
            </w:r>
            <w:r>
              <w:rPr>
                <w:rFonts w:ascii="DejaVu Serif" w:hAnsi="DejaVu Serif" w:eastAsia="DejaVu Serif"/>
                <w:b w:val="0"/>
                <w:color w:val="111111"/>
                <w:sz w:val="18"/>
              </w:rPr>
              <w:t>The stratified envelope is Apeiron-connected when there exists a global potential τ:X→ℝ, constant on each stratum and strictly decreasing along every admissible transition to a lower-dimensional layer, and when any two points can be connected by a finite admissible chain compatible with the direction of τ.</w:t>
            </w:r>
          </w:p>
        </w:tc>
      </w:tr>
    </w:tbl>
    <w:p>
      <w:pPr>
        <w:spacing w:after="20"/>
      </w:pPr>
    </w:p>
    <w:p>
      <w:pPr>
        <w:keepLines w:val="0"/>
        <w:spacing w:after="80" w:line="269" w:lineRule="auto"/>
        <w:ind w:firstLine="312"/>
        <w:jc w:val="both"/>
      </w:pPr>
      <w:r>
        <w:rPr>
          <w:rFonts w:ascii="DejaVu Serif" w:hAnsi="DejaVu Serif" w:eastAsia="DejaVu Serif"/>
          <w:b w:val="0"/>
          <w:i w:val="0"/>
          <w:sz w:val="21"/>
        </w:rPr>
        <w:t>Functoriality is understood relative to one fixed envelope. Packet-category morphisms commute with restrictions to pure strata, with the Hyparxis maps, and with the relevant Hodge operators. Later constructions therefore do not silently introduce a new base carrier.</w:t>
      </w:r>
    </w:p>
    <w:tbl>
      <w:tblPr>
        <w:tblW w:type="auto" w:w="0"/>
        <w:jc w:val="center"/>
        <w:tblLook w:firstColumn="1" w:firstRow="1" w:lastColumn="0" w:lastRow="0" w:noHBand="0" w:noVBand="1" w:val="04A0"/>
      </w:tblPr>
      <w:tblGrid>
        <w:gridCol w:w="10092"/>
      </w:tblGrid>
      <w:tr>
        <w:trPr>
          <w:cantSplit/>
          <w:tblHeader w:val="true"/>
        </w:trPr>
        <w:tc>
          <w:tcPr>
            <w:tcW w:type="dxa" w:w="10092"/>
            <w:shd w:fill="F8E6E4"/>
            <w:tcMar>
              <w:top w:w="90" w:type="dxa"/>
              <w:start w:w="100" w:type="dxa"/>
              <w:bottom w:w="90" w:type="dxa"/>
              <w:end w:w="100" w:type="dxa"/>
            </w:tcMar>
            <w:vAlign w:val="center"/>
          </w:tcPr>
          <w:p>
            <w:pPr>
              <w:spacing w:after="0" w:line="252" w:lineRule="auto" w:before="0"/>
            </w:pPr>
            <w:r>
              <w:rPr>
                <w:rFonts w:ascii="DejaVu Serif" w:hAnsi="DejaVu Serif" w:eastAsia="DejaVu Serif"/>
                <w:b/>
                <w:color w:val="A32626"/>
                <w:sz w:val="18"/>
              </w:rPr>
              <w:t xml:space="preserve">EVIDENCE BOUNDARY.  </w:t>
            </w:r>
            <w:r>
              <w:rPr>
                <w:rFonts w:ascii="DejaVu Serif" w:hAnsi="DejaVu Serif" w:eastAsia="DejaVu Serif"/>
                <w:b w:val="0"/>
                <w:color w:val="111111"/>
                <w:sz w:val="18"/>
              </w:rPr>
              <w:t>Existence of the envelope and transition maps is an axiomatic or model input. A physical interpretation of Time@Space does not follow from a topological realisation alone.</w:t>
            </w:r>
          </w:p>
        </w:tc>
      </w:tr>
    </w:tbl>
    <w:p>
      <w:pPr>
        <w:spacing w:after="20"/>
      </w:pPr>
    </w:p>
    <w:p>
      <w:pPr>
        <w:pStyle w:val="Heading2"/>
        <w:keepNext/>
        <w:spacing w:before="100" w:after="80"/>
      </w:pPr>
      <w:r>
        <w:rPr>
          <w:rFonts w:ascii="DejaVu Sans" w:hAnsi="DejaVu Sans" w:eastAsia="DejaVu Sans"/>
          <w:b/>
          <w:i w:val="0"/>
          <w:color w:val="1F4E78"/>
          <w:sz w:val="25"/>
        </w:rPr>
        <w:t>1.4. Packet Flow and the Hodge–Kurpishev Superoperator</w:t>
      </w:r>
    </w:p>
    <w:p>
      <w:pPr>
        <w:keepLines w:val="0"/>
        <w:spacing w:after="80" w:line="269" w:lineRule="auto"/>
        <w:ind w:firstLine="312"/>
        <w:jc w:val="both"/>
      </w:pPr>
      <w:r>
        <w:rPr>
          <w:rFonts w:ascii="DejaVu Serif" w:hAnsi="DejaVu Serif" w:eastAsia="DejaVu Serif"/>
          <w:b w:val="0"/>
          <w:i w:val="0"/>
          <w:sz w:val="21"/>
        </w:rPr>
        <w:t>Let ⋆ be the Hodge operator on the k-th pure layer and suppose that Lₖ admits smooth local sections. The superoperator H is defined as a compatible composition of transfers and Hodge dualities between neighbouring layers. The expression is meaningful only on the intersection of the domains of all participating operators. The identity ⋆² = (−1)ᵖ⁽ᵏ⁻ᵖ⁾id applies to p-forms for fixed metric and orientation.</w:t>
      </w:r>
    </w:p>
    <w:p>
      <w:pPr>
        <w:keepLines w:val="0"/>
        <w:spacing w:after="80" w:line="269" w:lineRule="auto"/>
        <w:ind w:firstLine="312"/>
        <w:jc w:val="both"/>
      </w:pPr>
      <w:r>
        <w:rPr>
          <w:rFonts w:ascii="DejaVu Serif" w:hAnsi="DejaVu Serif" w:eastAsia="DejaVu Serif"/>
          <w:b w:val="0"/>
          <w:i w:val="0"/>
          <w:sz w:val="21"/>
        </w:rPr>
        <w:t>A flow in Pack is a one-parameter family of automorphisms Φₜ:Pack→Pack preserving the stratification and commuting with H and Lₖ. An inertial connection is such a flow Iₜ for which IₜH=HIₜ. A Lyapunov functional S may, for example, be selected as the squared norm of an associator amplitude; its monotonicity is a separate hypothesis of a particular dynamical model.</w:t>
      </w:r>
    </w:p>
    <w:p>
      <w:pPr>
        <w:keepLines/>
        <w:spacing w:before="60" w:after="80"/>
        <w:jc w:val="center"/>
      </w:pPr>
      <w:r>
        <w:rPr>
          <w:rFonts w:ascii="DejaVu Serif" w:hAnsi="DejaVu Serif" w:eastAsia="DejaVu Serif"/>
          <w:b w:val="0"/>
          <w:i w:val="0"/>
          <w:color w:val="173B63"/>
          <w:sz w:val="22"/>
        </w:rPr>
        <w:t>A(ζ)=‖dζ‖,      dS(Φₜx)/dt ≤ 0 only under explicitly specified dynamics</w:t>
      </w:r>
      <w:r>
        <w:rPr>
          <w:rFonts w:ascii="DejaVu Sans" w:hAnsi="DejaVu Sans" w:eastAsia="DejaVu Sans"/>
          <w:b w:val="0"/>
          <w:i w:val="0"/>
          <w:color w:val="5E6873"/>
          <w:sz w:val="15"/>
        </w:rPr>
        <w:t xml:space="preserve">    [RU p. 8]</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Proposition 1.1 [PROP]  </w:t>
            </w:r>
            <w:r>
              <w:rPr>
                <w:rFonts w:ascii="DejaVu Serif" w:hAnsi="DejaVu Serif" w:eastAsia="DejaVu Serif"/>
                <w:b w:val="0"/>
                <w:color w:val="111111"/>
                <w:sz w:val="18"/>
              </w:rPr>
              <w:t>The basic axiom system has a finite model if empty strata and partial transitions are permitted.</w:t>
            </w:r>
          </w:p>
        </w:tc>
      </w:tr>
    </w:tbl>
    <w:p>
      <w:pPr>
        <w:spacing w:after="20"/>
      </w:pPr>
    </w:p>
    <w:p>
      <w:pPr>
        <w:spacing w:after="80" w:line="264" w:lineRule="auto"/>
        <w:ind w:firstLine="312"/>
        <w:jc w:val="both"/>
      </w:pPr>
      <w:r>
        <w:rPr>
          <w:rFonts w:ascii="DejaVu Serif" w:hAnsi="DejaVu Serif" w:eastAsia="DejaVu Serif"/>
          <w:b/>
          <w:sz w:val="20"/>
        </w:rPr>
        <w:t xml:space="preserve">Proof. </w:t>
      </w:r>
      <w:r>
        <w:rPr>
          <w:rFonts w:ascii="DejaVu Serif" w:hAnsi="DejaVu Serif" w:eastAsia="DejaVu Serif"/>
          <w:sz w:val="20"/>
        </w:rPr>
        <w:t>Take X={x₋₁,x₀,x₁,x₂,x₃}, set T⁽⁻¹⁾=X and T⁽ᵏ⁾={xₖ,…,x₃} for k=0,1,2,3. Define Lₖ(xₖ)=xₖ₋₁ on singleton domains and leave the maps undefined elsewhere. All inclusions, types, and admissible-composition conditions hold directly.</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Corollary 1.2 [PROP].  </w:t>
            </w:r>
            <w:r>
              <w:rPr>
                <w:rFonts w:ascii="DejaVu Serif" w:hAnsi="DejaVu Serif" w:eastAsia="DejaVu Serif"/>
                <w:b w:val="0"/>
                <w:color w:val="111111"/>
                <w:sz w:val="18"/>
              </w:rPr>
              <w:t>The existence of a formal model proves compatibility of the axioms only. It does not prove that Time@Space is physical spacetime.</w:t>
            </w:r>
          </w:p>
        </w:tc>
      </w:tr>
    </w:tbl>
    <w:p>
      <w:pPr>
        <w:spacing w:after="20"/>
      </w:pPr>
    </w:p>
    <w:p>
      <w:pPr>
        <w:pStyle w:val="Heading2"/>
        <w:keepNext/>
        <w:spacing w:before="100" w:after="80"/>
      </w:pPr>
      <w:r>
        <w:rPr>
          <w:rFonts w:ascii="DejaVu Sans" w:hAnsi="DejaVu Sans" w:eastAsia="DejaVu Sans"/>
          <w:b/>
          <w:i w:val="0"/>
          <w:color w:val="1F4E78"/>
          <w:sz w:val="25"/>
        </w:rPr>
        <w:t>1.5. Evidence-Applicability Passport</w:t>
      </w:r>
    </w:p>
    <w:p>
      <w:pPr>
        <w:keepLines w:val="0"/>
        <w:spacing w:after="80" w:line="269" w:lineRule="auto"/>
        <w:ind w:firstLine="312"/>
        <w:jc w:val="both"/>
      </w:pPr>
      <w:r>
        <w:rPr>
          <w:rFonts w:ascii="DejaVu Serif" w:hAnsi="DejaVu Serif" w:eastAsia="DejaVu Serif"/>
          <w:b w:val="0"/>
          <w:i w:val="0"/>
          <w:sz w:val="21"/>
        </w:rPr>
        <w:t>The passport of a Chapter 1 claim records the axiom identifier, carrier X, pure strata, Dom(Lₖ), chosen metrics and orientations, sufficient foundation D, result type, and prohibited interpretations. A transition from axiomatic status to geometric or physical status requires a separate realisation morphism and independent evidence.</w:t>
      </w:r>
    </w:p>
    <w:tbl>
      <w:tblPr>
        <w:tblW w:type="auto" w:w="0"/>
        <w:jc w:val="center"/>
        <w:tblLook w:firstColumn="1" w:firstRow="1" w:lastColumn="0" w:lastRow="0" w:noHBand="0" w:noVBand="1" w:val="04A0"/>
      </w:tblPr>
      <w:tblGrid>
        <w:gridCol w:w="10092"/>
      </w:tblGrid>
      <w:tr>
        <w:trPr>
          <w:cantSplit/>
          <w:tblHeader w:val="true"/>
        </w:trPr>
        <w:tc>
          <w:tcPr>
            <w:tcW w:type="dxa" w:w="10092"/>
            <w:shd w:fill="F6EEDB"/>
            <w:tcMar>
              <w:top w:w="90" w:type="dxa"/>
              <w:start w:w="100" w:type="dxa"/>
              <w:bottom w:w="90" w:type="dxa"/>
              <w:end w:w="100" w:type="dxa"/>
            </w:tcMar>
            <w:vAlign w:val="center"/>
          </w:tcPr>
          <w:p>
            <w:pPr>
              <w:spacing w:after="0" w:line="252" w:lineRule="auto" w:before="0"/>
            </w:pPr>
            <w:r>
              <w:rPr>
                <w:rFonts w:ascii="DejaVu Serif" w:hAnsi="DejaVu Serif" w:eastAsia="DejaVu Serif"/>
                <w:b/>
                <w:color w:val="A87918"/>
                <w:sz w:val="18"/>
              </w:rPr>
              <w:t xml:space="preserve">PHILOSOPHICAL BOUNDARY.  </w:t>
            </w:r>
            <w:r>
              <w:rPr>
                <w:rFonts w:ascii="DejaVu Serif" w:hAnsi="DejaVu Serif" w:eastAsia="DejaVu Serif"/>
                <w:b w:val="0"/>
                <w:color w:val="111111"/>
                <w:sz w:val="18"/>
              </w:rPr>
              <w:t>A model demonstrates the possibility of a non-contradictory world of reasoning; it does not convert thinkability into observed actuality. The route from possibility to fact must remain visible in the evidence passport.</w:t>
            </w:r>
          </w:p>
        </w:tc>
      </w:tr>
    </w:tbl>
    <w:p>
      <w:pPr>
        <w:spacing w:after="20"/>
      </w:pPr>
    </w:p>
    <w:p>
      <w:pPr>
        <w:pStyle w:val="Heading1"/>
        <w:keepNext/>
        <w:spacing w:before="160" w:after="80"/>
      </w:pPr>
      <w:bookmarkStart w:id="1001" w:name="T1_CH_02"/>
      <w:r>
        <w:rPr>
          <w:rFonts w:ascii="DejaVu Sans" w:hAnsi="DejaVu Sans" w:eastAsia="DejaVu Sans"/>
          <w:b/>
          <w:i w:val="0"/>
          <w:color w:val="1F4E78"/>
          <w:sz w:val="32"/>
        </w:rPr>
        <w:t>Chapter 2. C@C: event@state as the Minimal Object</w:t>
      </w:r>
      <w:bookmarkEnd w:id="1001"/>
    </w:p>
    <w:p>
      <w:pPr>
        <w:spacing w:after="60" w:line="259" w:lineRule="auto"/>
        <w:jc w:val="left"/>
      </w:pPr>
      <w:r>
        <w:rPr>
          <w:rFonts w:ascii="DejaVu Serif" w:hAnsi="DejaVu Serif" w:eastAsia="DejaVu Serif"/>
          <w:b w:val="0"/>
          <w:i/>
          <w:color w:val="5E6873"/>
          <w:sz w:val="18"/>
        </w:rPr>
        <w:t>Russian source locator: pp. 9–12</w:t>
      </w:r>
    </w:p>
    <w:tbl>
      <w:tblPr>
        <w:tblW w:type="auto" w:w="0"/>
        <w:jc w:val="center"/>
        <w:tblLook w:firstColumn="1" w:firstRow="1" w:lastColumn="0" w:lastRow="0" w:noHBand="0" w:noVBand="1" w:val="04A0"/>
      </w:tblPr>
      <w:tblGrid>
        <w:gridCol w:w="5046"/>
        <w:gridCol w:w="5046"/>
      </w:tblGrid>
      <w:tr>
        <w:trPr>
          <w:cantSplit/>
          <w:cantSplit/>
          <w:tblHeader w:val="true"/>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PLAIN-LANGUAGE MEANING</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An event is not separated from the state in which it is recorded. The notation C@C prevents either component from being lost in logical or computational analysis.</w:t>
            </w:r>
          </w:p>
        </w:tc>
      </w:tr>
      <w:tr>
        <w:trPr>
          <w:cantSplit/>
          <w:cantSplit/>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MATHEMATICAL CORE</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The minimal packet event@state is defined, together with its axioms, versioning rules, and elementary examples.</w:t>
            </w:r>
          </w:p>
        </w:tc>
      </w:tr>
      <w:tr>
        <w:trPr>
          <w:cantSplit/>
          <w:cantSplit/>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BOUNDARY OF THE CLAIM</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Packaging an event with a state does not establish its truth. Reper, Dom, and a sufficient foundation D are required later.</w:t>
            </w:r>
          </w:p>
        </w:tc>
      </w:tr>
      <w:tr>
        <w:trPr>
          <w:cantSplit/>
          <w:cantSplit/>
        </w:trPr>
        <w:tc>
          <w:tcPr>
            <w:tcW w:type="dxa" w:w="1814"/>
            <w:tcMar>
              <w:top w:w="90" w:type="dxa"/>
              <w:start w:w="100" w:type="dxa"/>
              <w:bottom w:w="90" w:type="dxa"/>
              <w:end w:w="100" w:type="dxa"/>
            </w:tcMar>
            <w:vAlign w:val="center"/>
            <w:shd w:fill="A87918"/>
          </w:tcPr>
          <w:p>
            <w:pPr>
              <w:spacing w:after="0" w:before="0" w:line="252" w:lineRule="auto"/>
              <w:jc w:val="center"/>
            </w:pPr>
            <w:r>
              <w:rPr>
                <w:rFonts w:ascii="DejaVu Serif" w:hAnsi="DejaVu Serif" w:eastAsia="DejaVu Serif"/>
                <w:b/>
                <w:color w:val="FFFFFF"/>
                <w:sz w:val="18"/>
              </w:rPr>
              <w:t>STATUS</w:t>
            </w:r>
          </w:p>
        </w:tc>
        <w:tc>
          <w:tcPr>
            <w:tcW w:type="dxa" w:w="7483"/>
            <w:tcMar>
              <w:top w:w="90" w:type="dxa"/>
              <w:start w:w="100" w:type="dxa"/>
              <w:bottom w:w="90" w:type="dxa"/>
              <w:end w:w="100" w:type="dxa"/>
            </w:tcMar>
            <w:vAlign w:val="center"/>
            <w:shd w:fill="F6EEDB"/>
          </w:tcPr>
          <w:p>
            <w:pPr>
              <w:spacing w:after="0" w:before="0" w:line="252" w:lineRule="auto"/>
              <w:jc w:val="left"/>
            </w:pPr>
            <w:r>
              <w:rPr>
                <w:rFonts w:ascii="DejaVu Serif" w:hAnsi="DejaVu Serif" w:eastAsia="DejaVu Serif"/>
                <w:b w:val="0"/>
                <w:color w:val="111111"/>
                <w:sz w:val="18"/>
              </w:rPr>
              <w:t>INTERNAL DEFINITION</w:t>
            </w:r>
          </w:p>
        </w:tc>
      </w:tr>
    </w:tbl>
    <w:p>
      <w:pPr>
        <w:spacing w:after="20"/>
      </w:pPr>
    </w:p>
    <w:p>
      <w:pPr>
        <w:keepLines w:val="0"/>
        <w:spacing w:after="80" w:line="269" w:lineRule="auto"/>
        <w:ind w:firstLine="312"/>
        <w:jc w:val="both"/>
      </w:pPr>
      <w:r>
        <w:rPr>
          <w:rFonts w:ascii="DejaVu Serif" w:hAnsi="DejaVu Serif" w:eastAsia="DejaVu Serif"/>
          <w:b w:val="0"/>
          <w:i w:val="0"/>
          <w:sz w:val="21"/>
        </w:rPr>
        <w:t>An ordinary geometric point answers “where?” but does not contain the answer to “in what state?”. Packet Reper logic therefore takes a minimal object that simultaneously records an act of occurrence and the layer in which that act acquires meaning.</w:t>
      </w:r>
    </w:p>
    <w:p>
      <w:pPr>
        <w:keepLines/>
        <w:spacing w:before="60" w:after="80"/>
        <w:jc w:val="center"/>
      </w:pPr>
      <w:r>
        <w:rPr>
          <w:rFonts w:ascii="DejaVu Serif" w:hAnsi="DejaVu Serif" w:eastAsia="DejaVu Serif"/>
          <w:b w:val="0"/>
          <w:i w:val="0"/>
          <w:color w:val="173B63"/>
          <w:sz w:val="22"/>
        </w:rPr>
        <w:t>c = C@C = (e,s)</w:t>
      </w:r>
      <w:r>
        <w:rPr>
          <w:rFonts w:ascii="DejaVu Sans" w:hAnsi="DejaVu Sans" w:eastAsia="DejaVu Sans"/>
          <w:b w:val="0"/>
          <w:i w:val="0"/>
          <w:color w:val="5E6873"/>
          <w:sz w:val="15"/>
        </w:rPr>
        <w:t xml:space="preserve">    [RU p. 9]</w:t>
      </w:r>
    </w:p>
    <w:p>
      <w:pPr>
        <w:keepNext/>
        <w:jc w:val="center"/>
      </w:pPr>
      <w:r>
        <w:drawing>
          <wp:inline xmlns:a="http://schemas.openxmlformats.org/drawingml/2006/main" xmlns:pic="http://schemas.openxmlformats.org/drawingml/2006/picture">
            <wp:extent cx="5688000" cy="2305268"/>
            <wp:docPr id="5" name="Picture 5"/>
            <wp:cNvGraphicFramePr>
              <a:graphicFrameLocks noChangeAspect="1"/>
            </wp:cNvGraphicFramePr>
            <a:graphic>
              <a:graphicData uri="http://schemas.openxmlformats.org/drawingml/2006/picture">
                <pic:pic>
                  <pic:nvPicPr>
                    <pic:cNvPr id="0" name="fig_ch2_cc.png"/>
                    <pic:cNvPicPr/>
                  </pic:nvPicPr>
                  <pic:blipFill>
                    <a:blip r:embed="rId17"/>
                    <a:stretch>
                      <a:fillRect/>
                    </a:stretch>
                  </pic:blipFill>
                  <pic:spPr>
                    <a:xfrm>
                      <a:off x="0" y="0"/>
                      <a:ext cx="5688000" cy="2305268"/>
                    </a:xfrm>
                    <a:prstGeom prst="rect"/>
                  </pic:spPr>
                </pic:pic>
              </a:graphicData>
            </a:graphic>
          </wp:inline>
        </w:drawing>
      </w:r>
    </w:p>
    <w:p>
      <w:pPr>
        <w:keepNext w:val="0"/>
        <w:spacing w:after="100"/>
        <w:jc w:val="center"/>
      </w:pPr>
      <w:bookmarkStart w:id="1062" w:name="T1_FIG_004"/>
      <w:r>
        <w:rPr>
          <w:rFonts w:ascii="DejaVu Serif" w:hAnsi="DejaVu Serif" w:eastAsia="DejaVu Serif"/>
          <w:b w:val="0"/>
          <w:i/>
          <w:color w:val="5E6873"/>
          <w:sz w:val="18"/>
        </w:rPr>
        <w:t>Figure 2.1. The C@C object, versioning, and the transition to evidence gates.</w:t>
      </w:r>
      <w:bookmarkEnd w:id="1062"/>
    </w:p>
    <w:p>
      <w:pPr>
        <w:pStyle w:val="Heading2"/>
        <w:keepNext/>
        <w:spacing w:before="100" w:after="80"/>
      </w:pPr>
      <w:r>
        <w:rPr>
          <w:rFonts w:ascii="DejaVu Sans" w:hAnsi="DejaVu Sans" w:eastAsia="DejaVu Sans"/>
          <w:b/>
          <w:i w:val="0"/>
          <w:color w:val="1F4E78"/>
          <w:sz w:val="25"/>
        </w:rPr>
        <w:t>2.1. Early Content Axioms CC1–CC5</w:t>
      </w:r>
    </w:p>
    <w:tbl>
      <w:tblPr>
        <w:tblW w:type="auto" w:w="0"/>
        <w:jc w:val="center"/>
        <w:tblLook w:firstColumn="1" w:firstRow="1" w:lastColumn="0" w:lastRow="0" w:noHBand="0" w:noVBand="1" w:val="04A0"/>
      </w:tblPr>
      <w:tblGrid>
        <w:gridCol w:w="5046"/>
        <w:gridCol w:w="5046"/>
      </w:tblGrid>
      <w:tr>
        <w:trPr>
          <w:tblHeader w:val="true"/>
          <w:cantSplit/>
          <w:cantSplit/>
          <w:tblHeader w:val="true"/>
        </w:trPr>
        <w:tc>
          <w:tcPr>
            <w:tcW w:type="dxa" w:w="1134"/>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Axiom</w:t>
            </w:r>
          </w:p>
        </w:tc>
        <w:tc>
          <w:tcPr>
            <w:tcW w:type="dxa" w:w="8220"/>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Content</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CC1</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Every event is considered only together with a state.</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CC2</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A state without a carrier event does not form a completed object.</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CC3</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A change of state creates a new C@C object or a morphism.</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CC4</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Reduction of C@C to a point is permitted only through an explicit forgetful map.</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CC5</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Source, recording time, and domain belong to the evidence passport of the object.</w:t>
            </w:r>
          </w:p>
        </w:tc>
      </w:tr>
    </w:tbl>
    <w:p>
      <w:pPr>
        <w:spacing w:after="40"/>
      </w:pPr>
    </w:p>
    <w:tbl>
      <w:tblPr>
        <w:tblW w:type="auto" w:w="0"/>
        <w:jc w:val="center"/>
        <w:tblLook w:firstColumn="1" w:firstRow="1" w:lastColumn="0" w:lastRow="0" w:noHBand="0" w:noVBand="1" w:val="04A0"/>
      </w:tblPr>
      <w:tblGrid>
        <w:gridCol w:w="10092"/>
      </w:tblGrid>
      <w:tr>
        <w:trPr>
          <w:cantSplit/>
          <w:tblHeader w:val="true"/>
        </w:trPr>
        <w:tc>
          <w:tcPr>
            <w:tcW w:type="dxa" w:w="10092"/>
            <w:shd w:fill="F6EEDB"/>
            <w:tcMar>
              <w:top w:w="90" w:type="dxa"/>
              <w:start w:w="100" w:type="dxa"/>
              <w:bottom w:w="90" w:type="dxa"/>
              <w:end w:w="100" w:type="dxa"/>
            </w:tcMar>
            <w:vAlign w:val="center"/>
          </w:tcPr>
          <w:p>
            <w:pPr>
              <w:spacing w:after="0" w:line="252" w:lineRule="auto" w:before="0"/>
            </w:pPr>
            <w:r>
              <w:rPr>
                <w:rFonts w:ascii="DejaVu Serif" w:hAnsi="DejaVu Serif" w:eastAsia="DejaVu Serif"/>
                <w:b/>
                <w:color w:val="A87918"/>
                <w:sz w:val="18"/>
              </w:rPr>
              <w:t xml:space="preserve">EDITORIAL CONVENTION.  </w:t>
            </w:r>
            <w:r>
              <w:rPr>
                <w:rFonts w:ascii="DejaVu Serif" w:hAnsi="DejaVu Serif" w:eastAsia="DejaVu Serif"/>
                <w:b w:val="0"/>
                <w:color w:val="111111"/>
                <w:sz w:val="18"/>
              </w:rPr>
              <w:t>CC1–CC5 are retained as the early content-level pre-axiomatics. The formal system of the frozen edition is C1–C6 below; if the two layers diverge, C1–C6 has priority.</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Definition 2.1 [DEF-A].  </w:t>
            </w:r>
            <w:r>
              <w:rPr>
                <w:rFonts w:ascii="DejaVu Serif" w:hAnsi="DejaVu Serif" w:eastAsia="DejaVu Serif"/>
                <w:b w:val="0"/>
                <w:color w:val="111111"/>
                <w:sz w:val="18"/>
              </w:rPr>
              <w:t>Let S be a set or object of states, E a set of event instances, and π:E→S a typing map. The minimal C@C object is the dependent sum C@C(π)=Σₛ∈S Eₛ={(e,s)∈E×S | π(e)=s}, where Eₛ=π⁻¹(s).</w:t>
            </w:r>
          </w:p>
        </w:tc>
      </w:tr>
    </w:tbl>
    <w:p>
      <w:pPr>
        <w:spacing w:after="20"/>
      </w:pPr>
    </w:p>
    <w:tbl>
      <w:tblPr>
        <w:tblW w:type="auto" w:w="0"/>
        <w:jc w:val="center"/>
        <w:tblLook w:firstColumn="1" w:firstRow="1" w:lastColumn="0" w:lastRow="0" w:noHBand="0" w:noVBand="1" w:val="04A0"/>
      </w:tblPr>
      <w:tblGrid>
        <w:gridCol w:w="5046"/>
        <w:gridCol w:w="5046"/>
      </w:tblGrid>
      <w:tr>
        <w:trPr>
          <w:tblHeader w:val="true"/>
          <w:cantSplit/>
          <w:cantSplit/>
          <w:tblHeader w:val="true"/>
        </w:trPr>
        <w:tc>
          <w:tcPr>
            <w:tcW w:type="dxa" w:w="1814"/>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Formal axiom</w:t>
            </w:r>
          </w:p>
        </w:tc>
        <w:tc>
          <w:tcPr>
            <w:tcW w:type="dxa" w:w="7540"/>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Statement</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C1 — Typing</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The pair (e,s) belongs to C@C only when π(e)=s. Pairing an event with an arbitrary incompatible state does not create a Chapter 2 object.</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C2 — Double distinguishability</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(e,s)=(e′,s′) if and only if e=e′ and s=s′. Neither coordinate absorbs the other.</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C3 — Local non-emptiness</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The packet line Lₛ=Eₛ×{s} is a nonempty layer only if Eₛ≠∅. An empty layer may represent a state of possibility but contains no occurred event.</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C4 — Versioning</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A change of state, timestamp, source, or coordinate convention creates a new C@C instance; the prior object is not overwritten retrospectively.</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C5 — Status neutrality</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Membership in C@C records an event in a state but establishes neither truth, causality, nor predictive strength. These statuses require Reper, D, Dom, and the relevant protocol.</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C6 — Traceability</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For evidential or empirical use, the pair carries a source-id and an immutable version identifier. Absence of the reference does not destroy the mathematical pair but blocks evidence-status promotion.</w:t>
            </w:r>
          </w:p>
        </w:tc>
      </w:tr>
    </w:tbl>
    <w:p>
      <w:pPr>
        <w:spacing w:after="40"/>
      </w:pP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Lemma 2.2 [LEM]  </w:t>
            </w:r>
            <w:r>
              <w:rPr>
                <w:rFonts w:ascii="DejaVu Serif" w:hAnsi="DejaVu Serif" w:eastAsia="DejaVu Serif"/>
                <w:b w:val="0"/>
                <w:color w:val="111111"/>
                <w:sz w:val="18"/>
              </w:rPr>
              <w:t>The projection pr_E:C@C(π)→E is bijective, whereas pr_S:C@C(π)→S is generally not injective. The substantive contribution of C@C is not an increase in the cardinality of E but the explicit preservation of the typing π and the state π(e).</w:t>
            </w:r>
          </w:p>
        </w:tc>
      </w:tr>
    </w:tbl>
    <w:p>
      <w:pPr>
        <w:spacing w:after="20"/>
      </w:pPr>
    </w:p>
    <w:p>
      <w:pPr>
        <w:spacing w:after="80" w:line="264" w:lineRule="auto"/>
        <w:ind w:firstLine="312"/>
        <w:jc w:val="both"/>
      </w:pPr>
      <w:r>
        <w:rPr>
          <w:rFonts w:ascii="DejaVu Serif" w:hAnsi="DejaVu Serif" w:eastAsia="DejaVu Serif"/>
          <w:b/>
          <w:sz w:val="20"/>
        </w:rPr>
        <w:t xml:space="preserve">Proof. </w:t>
      </w:r>
      <w:r>
        <w:rPr>
          <w:rFonts w:ascii="DejaVu Serif" w:hAnsi="DejaVu Serif" w:eastAsia="DejaVu Serif"/>
          <w:sz w:val="20"/>
        </w:rPr>
        <w:t>Every e∈E corresponds to exactly one pair (e,π(e)), so pr_E has the inverse e↦(e,π(e)). Distinct events may lie in one fibre Eₛ; hence pr_S may identify different pairs.</w:t>
      </w:r>
    </w:p>
    <w:p>
      <w:pPr>
        <w:pStyle w:val="Heading2"/>
        <w:keepNext/>
        <w:spacing w:before="100" w:after="80"/>
      </w:pPr>
      <w:r>
        <w:rPr>
          <w:rFonts w:ascii="DejaVu Sans" w:hAnsi="DejaVu Sans" w:eastAsia="DejaVu Sans"/>
          <w:b/>
          <w:i w:val="0"/>
          <w:color w:val="1F4E78"/>
          <w:sz w:val="25"/>
        </w:rPr>
        <w:t>2.2. Examples</w:t>
      </w:r>
    </w:p>
    <w:tbl>
      <w:tblPr>
        <w:tblW w:type="auto" w:w="0"/>
        <w:jc w:val="center"/>
        <w:tblLook w:firstColumn="1" w:firstRow="1" w:lastColumn="0" w:lastRow="0" w:noHBand="0" w:noVBand="1" w:val="04A0"/>
      </w:tblPr>
      <w:tblGrid>
        <w:gridCol w:w="5046"/>
        <w:gridCol w:w="5046"/>
      </w:tblGrid>
      <w:tr>
        <w:trPr>
          <w:tblHeader w:val="true"/>
          <w:cantSplit/>
          <w:cantSplit/>
          <w:tblHeader w:val="true"/>
        </w:trPr>
        <w:tc>
          <w:tcPr>
            <w:tcW w:type="dxa" w:w="1928"/>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Domain</w:t>
            </w:r>
          </w:p>
        </w:tc>
        <w:tc>
          <w:tcPr>
            <w:tcW w:type="dxa" w:w="7427"/>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C@C interpretation</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Mathematics</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A formula without axioms and an admissible domain is merely an event of inscription; its state is supplied by the theory, notation, and proof chain.</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Cost estimate / audit</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A price line becomes an auditable object only together with the project section, stage, norm, and foundation document.</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Physics</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A numerical value requires units, experimental channel, uncertainty, and source.</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Biology</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A sequence requires an accession, organism, database version, and coordinate convention.</w:t>
            </w:r>
          </w:p>
        </w:tc>
      </w:tr>
    </w:tbl>
    <w:p>
      <w:pPr>
        <w:spacing w:after="40"/>
      </w:pPr>
    </w:p>
    <w:p>
      <w:pPr>
        <w:pStyle w:val="Heading2"/>
        <w:keepNext/>
        <w:spacing w:before="100" w:after="80"/>
      </w:pPr>
      <w:r>
        <w:rPr>
          <w:rFonts w:ascii="DejaVu Sans" w:hAnsi="DejaVu Sans" w:eastAsia="DejaVu Sans"/>
          <w:b/>
          <w:i w:val="0"/>
          <w:color w:val="1F4E78"/>
          <w:sz w:val="25"/>
        </w:rPr>
        <w:t>2.3. Normalized Archival Layer from Monograph 5.0</w:t>
      </w:r>
    </w:p>
    <w:p>
      <w:pPr>
        <w:keepLines w:val="0"/>
        <w:spacing w:after="80" w:line="269" w:lineRule="auto"/>
        <w:ind w:firstLine="312"/>
        <w:jc w:val="both"/>
      </w:pPr>
      <w:r>
        <w:rPr>
          <w:rFonts w:ascii="DejaVu Serif" w:hAnsi="DejaVu Serif" w:eastAsia="DejaVu Serif"/>
          <w:b w:val="0"/>
          <w:i w:val="0"/>
          <w:sz w:val="21"/>
        </w:rPr>
        <w:t>The preserved legacy layer described the project’s minimal object as a packet point a=(e,s), where e is an event and s is a state. An event outside a state lacks geometric fixation; a state without an event remains an empty layer. The archival hierarchy was recorded as C@C → R@C@C → T_cs → Flag/Reper → transreper, serving as a rollback route when a computational, physical, or anthropological extension breaks connectedness.</w:t>
      </w:r>
    </w:p>
    <w:p>
      <w:pPr>
        <w:keepLines/>
        <w:spacing w:before="60" w:after="80"/>
        <w:jc w:val="center"/>
      </w:pPr>
      <w:r>
        <w:rPr>
          <w:rFonts w:ascii="DejaVu Serif" w:hAnsi="DejaVu Serif" w:eastAsia="DejaVu Serif"/>
          <w:b w:val="0"/>
          <w:i w:val="0"/>
          <w:color w:val="173B63"/>
          <w:sz w:val="22"/>
        </w:rPr>
        <w:t>Human_R = C@C + Rep(R,I,U;D) + (Ξ,Δ,Υ) + L + λ</w:t>
      </w:r>
      <w:r>
        <w:rPr>
          <w:rFonts w:ascii="DejaVu Sans" w:hAnsi="DejaVu Sans" w:eastAsia="DejaVu Sans"/>
          <w:b w:val="0"/>
          <w:i w:val="0"/>
          <w:color w:val="5E6873"/>
          <w:sz w:val="15"/>
        </w:rPr>
        <w:t xml:space="preserve">    [normalized legacy formula]</w:t>
      </w:r>
    </w:p>
    <w:p>
      <w:pPr>
        <w:keepLines/>
        <w:spacing w:before="60" w:after="80"/>
        <w:jc w:val="center"/>
      </w:pPr>
      <w:r>
        <w:rPr>
          <w:rFonts w:ascii="DejaVu Serif" w:hAnsi="DejaVu Serif" w:eastAsia="DejaVu Serif"/>
          <w:b w:val="0"/>
          <w:i w:val="0"/>
          <w:color w:val="173B63"/>
          <w:sz w:val="22"/>
        </w:rPr>
        <w:t>Repᵢ = (Rᵢ,Iᵢ,Uᵢ;Dᵢ),       Truth(Rep) ⇔ cr(U,I;R,D)=−1</w:t>
      </w:r>
      <w:r>
        <w:rPr>
          <w:rFonts w:ascii="DejaVu Sans" w:hAnsi="DejaVu Sans" w:eastAsia="DejaVu Sans"/>
          <w:b w:val="0"/>
          <w:i w:val="0"/>
          <w:color w:val="5E6873"/>
          <w:sz w:val="15"/>
        </w:rPr>
        <w:t xml:space="preserve">    [normalized legacy formula]</w:t>
      </w:r>
    </w:p>
    <w:p>
      <w:pPr>
        <w:keepLines/>
        <w:spacing w:before="60" w:after="80"/>
        <w:jc w:val="center"/>
      </w:pPr>
      <w:r>
        <w:rPr>
          <w:rFonts w:ascii="DejaVu Serif" w:hAnsi="DejaVu Serif" w:eastAsia="DejaVu Serif"/>
          <w:b w:val="0"/>
          <w:i w:val="0"/>
          <w:color w:val="173B63"/>
          <w:sz w:val="22"/>
        </w:rPr>
        <w:t>λ = ((U−R)(I−D))/((U−D)(I−R)),       δ_truth = |λ+1|</w:t>
      </w:r>
      <w:r>
        <w:rPr>
          <w:rFonts w:ascii="DejaVu Sans" w:hAnsi="DejaVu Sans" w:eastAsia="DejaVu Sans"/>
          <w:b w:val="0"/>
          <w:i w:val="0"/>
          <w:color w:val="5E6873"/>
          <w:sz w:val="15"/>
        </w:rPr>
        <w:t xml:space="preserve">    [normalized legacy formula]</w:t>
      </w:r>
    </w:p>
    <w:p>
      <w:pPr>
        <w:keepLines w:val="0"/>
        <w:spacing w:after="80" w:line="269" w:lineRule="auto"/>
        <w:ind w:firstLine="312"/>
        <w:jc w:val="both"/>
      </w:pPr>
      <w:r>
        <w:rPr>
          <w:rFonts w:ascii="DejaVu Serif" w:hAnsi="DejaVu Serif" w:eastAsia="DejaVu Serif"/>
          <w:b w:val="0"/>
          <w:i w:val="0"/>
          <w:sz w:val="21"/>
        </w:rPr>
        <w:t>The legacy corpus also used C@C as the unit of causality, memory, document, proof, forecast, and action. In the controlled English derivative this broad use is preserved as an architectural programme; it does not erase domain-specific typing or evidential requirements.</w:t>
      </w:r>
    </w:p>
    <w:tbl>
      <w:tblPr>
        <w:tblW w:type="auto" w:w="0"/>
        <w:jc w:val="center"/>
        <w:tblLook w:firstColumn="1" w:firstRow="1" w:lastColumn="0" w:lastRow="0" w:noHBand="0" w:noVBand="1" w:val="04A0"/>
      </w:tblPr>
      <w:tblGrid>
        <w:gridCol w:w="10092"/>
      </w:tblGrid>
      <w:tr>
        <w:trPr>
          <w:cantSplit/>
          <w:tblHeader w:val="true"/>
        </w:trPr>
        <w:tc>
          <w:tcPr>
            <w:tcW w:type="dxa" w:w="10092"/>
            <w:shd w:fill="EAF1F7"/>
            <w:tcMar>
              <w:top w:w="90" w:type="dxa"/>
              <w:start w:w="100" w:type="dxa"/>
              <w:bottom w:w="90" w:type="dxa"/>
              <w:end w:w="100" w:type="dxa"/>
            </w:tcMar>
            <w:vAlign w:val="center"/>
          </w:tcPr>
          <w:p>
            <w:pPr>
              <w:spacing w:after="0" w:line="252" w:lineRule="auto" w:before="0"/>
            </w:pPr>
            <w:r>
              <w:rPr>
                <w:rFonts w:ascii="DejaVu Serif" w:hAnsi="DejaVu Serif" w:eastAsia="DejaVu Serif"/>
                <w:b/>
                <w:color w:val="173B63"/>
                <w:sz w:val="18"/>
              </w:rPr>
              <w:t xml:space="preserve">CHAPTER 2 PASSPORT.  </w:t>
            </w:r>
            <w:r>
              <w:rPr>
                <w:rFonts w:ascii="DejaVu Serif" w:hAnsi="DejaVu Serif" w:eastAsia="DejaVu Serif"/>
                <w:b w:val="0"/>
                <w:color w:val="111111"/>
                <w:sz w:val="18"/>
              </w:rPr>
              <w:t>carrier=C@C(π); typing=π:E→S; identity=coordinatewise; versioning=immutable; source-id=required for evidence promotion; truth-status=neutral; downstream gates=Reper/D/Dom.</w:t>
            </w:r>
          </w:p>
        </w:tc>
      </w:tr>
    </w:tbl>
    <w:p>
      <w:pPr>
        <w:spacing w:after="20"/>
      </w:pPr>
    </w:p>
    <w:p>
      <w:pPr>
        <w:pStyle w:val="Heading1"/>
        <w:keepNext/>
        <w:spacing w:before="160" w:after="80"/>
      </w:pPr>
      <w:bookmarkStart w:id="1002" w:name="T1_CH_03"/>
      <w:r>
        <w:rPr>
          <w:rFonts w:ascii="DejaVu Sans" w:hAnsi="DejaVu Sans" w:eastAsia="DejaVu Sans"/>
          <w:b/>
          <w:i w:val="0"/>
          <w:color w:val="1F4E78"/>
          <w:sz w:val="32"/>
        </w:rPr>
        <w:t>Chapter 3. Packet Objects and the Category Pack</w:t>
      </w:r>
      <w:bookmarkEnd w:id="1002"/>
    </w:p>
    <w:p>
      <w:pPr>
        <w:spacing w:after="60" w:line="259" w:lineRule="auto"/>
        <w:jc w:val="left"/>
      </w:pPr>
      <w:r>
        <w:rPr>
          <w:rFonts w:ascii="DejaVu Serif" w:hAnsi="DejaVu Serif" w:eastAsia="DejaVu Serif"/>
          <w:b w:val="0"/>
          <w:i/>
          <w:color w:val="5E6873"/>
          <w:sz w:val="18"/>
        </w:rPr>
        <w:t>Russian source locator: pp. 13–17</w:t>
      </w:r>
    </w:p>
    <w:tbl>
      <w:tblPr>
        <w:tblW w:type="auto" w:w="0"/>
        <w:jc w:val="center"/>
        <w:tblLook w:firstColumn="1" w:firstRow="1" w:lastColumn="0" w:lastRow="0" w:noHBand="0" w:noVBand="1" w:val="04A0"/>
      </w:tblPr>
      <w:tblGrid>
        <w:gridCol w:w="5046"/>
        <w:gridCol w:w="5046"/>
      </w:tblGrid>
      <w:tr>
        <w:trPr>
          <w:cantSplit/>
          <w:cantSplit/>
          <w:tblHeader w:val="true"/>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PLAIN-LANGUAGE MEANING</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The chapter explains how packet objects and admissible transitions between them form one mathematical system.</w:t>
            </w:r>
          </w:p>
        </w:tc>
      </w:tr>
      <w:tr>
        <w:trPr>
          <w:cantSplit/>
          <w:cantSplit/>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MATHEMATICAL CORE</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The category Pack is constructed; objects, labels, states, and morphisms are distinguished; preservation of packet structure is made explicit.</w:t>
            </w:r>
          </w:p>
        </w:tc>
      </w:tr>
      <w:tr>
        <w:trPr>
          <w:cantSplit/>
          <w:cantSplit/>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BOUNDARY OF THE CLAIM</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Pack is a working category of the project, not a universal category of all events or all states.</w:t>
            </w:r>
          </w:p>
        </w:tc>
      </w:tr>
      <w:tr>
        <w:trPr>
          <w:cantSplit/>
          <w:cantSplit/>
        </w:trPr>
        <w:tc>
          <w:tcPr>
            <w:tcW w:type="dxa" w:w="1814"/>
            <w:tcMar>
              <w:top w:w="90" w:type="dxa"/>
              <w:start w:w="100" w:type="dxa"/>
              <w:bottom w:w="90" w:type="dxa"/>
              <w:end w:w="100" w:type="dxa"/>
            </w:tcMar>
            <w:vAlign w:val="center"/>
            <w:shd w:fill="A87918"/>
          </w:tcPr>
          <w:p>
            <w:pPr>
              <w:spacing w:after="0" w:before="0" w:line="252" w:lineRule="auto"/>
              <w:jc w:val="center"/>
            </w:pPr>
            <w:r>
              <w:rPr>
                <w:rFonts w:ascii="DejaVu Serif" w:hAnsi="DejaVu Serif" w:eastAsia="DejaVu Serif"/>
                <w:b/>
                <w:color w:val="FFFFFF"/>
                <w:sz w:val="18"/>
              </w:rPr>
              <w:t>STATUS</w:t>
            </w:r>
          </w:p>
        </w:tc>
        <w:tc>
          <w:tcPr>
            <w:tcW w:type="dxa" w:w="7483"/>
            <w:tcMar>
              <w:top w:w="90" w:type="dxa"/>
              <w:start w:w="100" w:type="dxa"/>
              <w:bottom w:w="90" w:type="dxa"/>
              <w:end w:w="100" w:type="dxa"/>
            </w:tcMar>
            <w:vAlign w:val="center"/>
            <w:shd w:fill="F6EEDB"/>
          </w:tcPr>
          <w:p>
            <w:pPr>
              <w:spacing w:after="0" w:before="0" w:line="252" w:lineRule="auto"/>
              <w:jc w:val="left"/>
            </w:pPr>
            <w:r>
              <w:rPr>
                <w:rFonts w:ascii="DejaVu Serif" w:hAnsi="DejaVu Serif" w:eastAsia="DejaVu Serif"/>
                <w:b w:val="0"/>
                <w:color w:val="111111"/>
                <w:sz w:val="18"/>
              </w:rPr>
              <w:t>INTERNAL CONSTRUCTION</w:t>
            </w:r>
          </w:p>
        </w:tc>
      </w:tr>
    </w:tbl>
    <w:p>
      <w:pPr>
        <w:spacing w:after="20"/>
      </w:pPr>
    </w:p>
    <w:p>
      <w:pPr>
        <w:keepLines w:val="0"/>
        <w:spacing w:after="80" w:line="269" w:lineRule="auto"/>
        <w:ind w:firstLine="312"/>
        <w:jc w:val="both"/>
      </w:pPr>
      <w:r>
        <w:rPr>
          <w:rFonts w:ascii="DejaVu Serif" w:hAnsi="DejaVu Serif" w:eastAsia="DejaVu Serif"/>
          <w:b w:val="0"/>
          <w:i w:val="0"/>
          <w:sz w:val="21"/>
        </w:rPr>
        <w:t>A packet combines an object with an additional structural layer that cannot be replaced by an ordinary pair of data without loss of meaning. In the basic Hodge-compatible realisation, the packet object contains a geometric carrier and a dual component defined by the Hodge operator on the relevant layer.</w:t>
      </w:r>
    </w:p>
    <w:p>
      <w:pPr>
        <w:keepLines/>
        <w:spacing w:before="60" w:after="80"/>
        <w:jc w:val="center"/>
      </w:pPr>
      <w:r>
        <w:rPr>
          <w:rFonts w:ascii="DejaVu Serif" w:hAnsi="DejaVu Serif" w:eastAsia="DejaVu Serif"/>
          <w:b w:val="0"/>
          <w:i w:val="0"/>
          <w:color w:val="173B63"/>
          <w:sz w:val="22"/>
        </w:rPr>
        <w:t>U ⊙ V := (U, ⋆ₕV)</w:t>
      </w:r>
      <w:r>
        <w:rPr>
          <w:rFonts w:ascii="DejaVu Sans" w:hAnsi="DejaVu Sans" w:eastAsia="DejaVu Sans"/>
          <w:b w:val="0"/>
          <w:i w:val="0"/>
          <w:color w:val="5E6873"/>
          <w:sz w:val="15"/>
        </w:rPr>
        <w:t xml:space="preserve">    [RU p. 13]</w:t>
      </w:r>
    </w:p>
    <w:p>
      <w:pPr>
        <w:keepNext/>
        <w:jc w:val="center"/>
      </w:pPr>
      <w:r>
        <w:drawing>
          <wp:inline xmlns:a="http://schemas.openxmlformats.org/drawingml/2006/main" xmlns:pic="http://schemas.openxmlformats.org/drawingml/2006/picture">
            <wp:extent cx="5688000" cy="2640410"/>
            <wp:docPr id="6" name="Picture 6"/>
            <wp:cNvGraphicFramePr>
              <a:graphicFrameLocks noChangeAspect="1"/>
            </wp:cNvGraphicFramePr>
            <a:graphic>
              <a:graphicData uri="http://schemas.openxmlformats.org/drawingml/2006/picture">
                <pic:pic>
                  <pic:nvPicPr>
                    <pic:cNvPr id="0" name="fig_ch3_pack.png"/>
                    <pic:cNvPicPr/>
                  </pic:nvPicPr>
                  <pic:blipFill>
                    <a:blip r:embed="rId18"/>
                    <a:stretch>
                      <a:fillRect/>
                    </a:stretch>
                  </pic:blipFill>
                  <pic:spPr>
                    <a:xfrm>
                      <a:off x="0" y="0"/>
                      <a:ext cx="5688000" cy="2640410"/>
                    </a:xfrm>
                    <a:prstGeom prst="rect"/>
                  </pic:spPr>
                </pic:pic>
              </a:graphicData>
            </a:graphic>
          </wp:inline>
        </w:drawing>
      </w:r>
    </w:p>
    <w:p>
      <w:pPr>
        <w:keepNext w:val="0"/>
        <w:spacing w:after="100"/>
        <w:jc w:val="center"/>
      </w:pPr>
      <w:bookmarkStart w:id="1063" w:name="T1_FIG_005"/>
      <w:r>
        <w:rPr>
          <w:rFonts w:ascii="DejaVu Serif" w:hAnsi="DejaVu Serif" w:eastAsia="DejaVu Serif"/>
          <w:b w:val="0"/>
          <w:i/>
          <w:color w:val="5E6873"/>
          <w:sz w:val="18"/>
        </w:rPr>
        <w:t>Figure 3.1. Commutative square for a Hodge-compatible packet morphism.</w:t>
      </w:r>
      <w:bookmarkEnd w:id="1063"/>
    </w:p>
    <w:p>
      <w:pPr>
        <w:pStyle w:val="Heading2"/>
        <w:keepNext/>
        <w:spacing w:before="100" w:after="80"/>
      </w:pPr>
      <w:r>
        <w:rPr>
          <w:rFonts w:ascii="DejaVu Sans" w:hAnsi="DejaVu Sans" w:eastAsia="DejaVu Sans"/>
          <w:b/>
          <w:i w:val="0"/>
          <w:color w:val="1F4E78"/>
          <w:sz w:val="25"/>
        </w:rPr>
        <w:t>3.1. The Category Pack</w:t>
      </w:r>
    </w:p>
    <w:p>
      <w:pPr>
        <w:keepLines w:val="0"/>
        <w:spacing w:after="80" w:line="269" w:lineRule="auto"/>
        <w:ind w:firstLine="312"/>
        <w:jc w:val="both"/>
      </w:pPr>
      <w:r>
        <w:rPr>
          <w:rFonts w:ascii="DejaVu Serif" w:hAnsi="DejaVu Serif" w:eastAsia="DejaVu Serif"/>
          <w:b w:val="0"/>
          <w:i w:val="0"/>
          <w:sz w:val="21"/>
        </w:rPr>
        <w:t>An object of Pack is a typed pair (X,ω), where X is an admissible stratum and ω is a differential form in a declared space Ωᵖ(X). A morphism f:(X,ω)→(X′,ω′) consists of a smooth map f_X and a linear transfer f_ω, preserves stratification and the declared metrics, and commutes with the Hodge operators on the common domain.</w:t>
      </w:r>
    </w:p>
    <w:p>
      <w:pPr>
        <w:keepLines/>
        <w:spacing w:before="60" w:after="80"/>
        <w:jc w:val="center"/>
      </w:pPr>
      <w:r>
        <w:rPr>
          <w:rFonts w:ascii="DejaVu Serif" w:hAnsi="DejaVu Serif" w:eastAsia="DejaVu Serif"/>
          <w:b w:val="0"/>
          <w:i w:val="0"/>
          <w:color w:val="173B63"/>
          <w:sz w:val="22"/>
        </w:rPr>
        <w:t>f_ω ∘ ⋆_X = ⋆_X′ ∘ f_ω</w:t>
      </w:r>
      <w:r>
        <w:rPr>
          <w:rFonts w:ascii="DejaVu Sans" w:hAnsi="DejaVu Sans" w:eastAsia="DejaVu Sans"/>
          <w:b w:val="0"/>
          <w:i w:val="0"/>
          <w:color w:val="5E6873"/>
          <w:sz w:val="15"/>
        </w:rPr>
        <w:t xml:space="preserve">    [RU p. 14]</w:t>
      </w:r>
    </w:p>
    <w:p>
      <w:pPr>
        <w:pStyle w:val="Heading2"/>
        <w:keepNext/>
        <w:spacing w:before="100" w:after="80"/>
      </w:pPr>
      <w:r>
        <w:rPr>
          <w:rFonts w:ascii="DejaVu Sans" w:hAnsi="DejaVu Sans" w:eastAsia="DejaVu Sans"/>
          <w:b/>
          <w:i w:val="0"/>
          <w:color w:val="1F4E78"/>
          <w:sz w:val="25"/>
        </w:rPr>
        <w:t>3.2. Separation of Symbols</w:t>
      </w:r>
    </w:p>
    <w:tbl>
      <w:tblPr>
        <w:tblW w:type="auto" w:w="0"/>
        <w:jc w:val="center"/>
        <w:tblLook w:firstColumn="1" w:firstRow="1" w:lastColumn="0" w:lastRow="0" w:noHBand="0" w:noVBand="1" w:val="04A0"/>
      </w:tblPr>
      <w:tblGrid>
        <w:gridCol w:w="5046"/>
        <w:gridCol w:w="5046"/>
      </w:tblGrid>
      <w:tr>
        <w:trPr>
          <w:tblHeader w:val="true"/>
          <w:cantSplit/>
          <w:cantSplit/>
          <w:tblHeader w:val="true"/>
        </w:trPr>
        <w:tc>
          <w:tcPr>
            <w:tcW w:type="dxa" w:w="2268"/>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Symbol</w:t>
            </w:r>
          </w:p>
        </w:tc>
        <w:tc>
          <w:tcPr>
            <w:tcW w:type="dxa" w:w="7087"/>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Controlled meaning</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⋆ₕ / ⋆_Hdg</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Hodge operator</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internal, generally nonassociative binary operation</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R⋆R</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quadratic packet object</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Ass⊙(x,y,z)</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trilinear defect (x⊙y)⊙z − x⊙(y⊙z)</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 in archival formulas</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interpreted only by the local legend; never imported automatically into the live notation</w:t>
            </w:r>
          </w:p>
        </w:tc>
      </w:tr>
    </w:tbl>
    <w:p>
      <w:pPr>
        <w:spacing w:after="40"/>
      </w:pPr>
    </w:p>
    <w:p>
      <w:pPr>
        <w:keepLines w:val="0"/>
        <w:spacing w:after="80" w:line="269" w:lineRule="auto"/>
        <w:ind w:firstLine="312"/>
        <w:jc w:val="both"/>
      </w:pPr>
      <w:r>
        <w:rPr>
          <w:rFonts w:ascii="DejaVu Serif" w:hAnsi="DejaVu Serif" w:eastAsia="DejaVu Serif"/>
          <w:b w:val="0"/>
          <w:i w:val="0"/>
          <w:sz w:val="21"/>
        </w:rPr>
        <w:t>The normalized notation does not identify R⋆R with Hodge duality. Packets such as C⋆_HdgB, M⋆_HdgR, P⋆_HdgP, and C⋆_HdgC remain typed examples only on their declared domains.</w:t>
      </w:r>
    </w:p>
    <w:p>
      <w:pPr>
        <w:pStyle w:val="Heading2"/>
        <w:keepNext/>
        <w:spacing w:before="100" w:after="80"/>
      </w:pPr>
      <w:r>
        <w:rPr>
          <w:rFonts w:ascii="DejaVu Sans" w:hAnsi="DejaVu Sans" w:eastAsia="DejaVu Sans"/>
          <w:b/>
          <w:i w:val="0"/>
          <w:color w:val="1F4E78"/>
          <w:sz w:val="25"/>
        </w:rPr>
        <w:t>3.3. Geometric Realisation of Packet Objects</w:t>
      </w:r>
    </w:p>
    <w:p>
      <w:pPr>
        <w:keepLines w:val="0"/>
        <w:spacing w:after="80" w:line="269" w:lineRule="auto"/>
        <w:ind w:firstLine="312"/>
        <w:jc w:val="both"/>
      </w:pPr>
      <w:r>
        <w:rPr>
          <w:rFonts w:ascii="DejaVu Serif" w:hAnsi="DejaVu Serif" w:eastAsia="DejaVu Serif"/>
          <w:b w:val="0"/>
          <w:i w:val="0"/>
          <w:sz w:val="21"/>
        </w:rPr>
        <w:t>Let X=⋃Xₖ be a standard stratified envelope. The category Str(X) has the nonempty pure strata Xₖ as objects; a morphism Xⱼ→Xₖ exists for a declared incidence with j≥k. Locally X is modelled by ℝᵏ×C(Lₓ).</w:t>
      </w:r>
    </w:p>
    <w:p>
      <w:pPr>
        <w:keepLines w:val="0"/>
        <w:spacing w:after="80" w:line="269" w:lineRule="auto"/>
        <w:ind w:firstLine="312"/>
        <w:jc w:val="both"/>
      </w:pPr>
      <w:r>
        <w:rPr>
          <w:rFonts w:ascii="DejaVu Serif" w:hAnsi="DejaVu Serif" w:eastAsia="DejaVu Serif"/>
          <w:b w:val="0"/>
          <w:i w:val="0"/>
          <w:sz w:val="21"/>
        </w:rPr>
        <w:t>Packet-realisation data on Xₖ consist of an oriented real vector bundle Eₖ→Xₖ, a metric gₖ, a Hodge operator ⋆:ΛᵖEₖ*→Λᵏ⁻ᵖEₖ*, and a class of admissible forms Γ_adm(Eₖ). For incident strata one specifies restriction maps rⱼₖ compatible with composition.</w:t>
      </w:r>
    </w:p>
    <w:p>
      <w:pPr>
        <w:keepLines/>
        <w:spacing w:before="60" w:after="80"/>
        <w:jc w:val="center"/>
      </w:pPr>
      <w:r>
        <w:rPr>
          <w:rFonts w:ascii="DejaVu Serif" w:hAnsi="DejaVu Serif" w:eastAsia="DejaVu Serif"/>
          <w:b w:val="0"/>
          <w:i w:val="0"/>
          <w:color w:val="173B63"/>
          <w:sz w:val="22"/>
        </w:rPr>
        <w:t>rⱼₖ ∘ ⋆ = ⋆ ∘ rⱼₖ    on Dom(rⱼₖ∘⋆)</w:t>
      </w:r>
      <w:r>
        <w:rPr>
          <w:rFonts w:ascii="DejaVu Sans" w:hAnsi="DejaVu Sans" w:eastAsia="DejaVu Sans"/>
          <w:b w:val="0"/>
          <w:i w:val="0"/>
          <w:color w:val="5E6873"/>
          <w:sz w:val="15"/>
        </w:rPr>
        <w:t xml:space="preserve">    [RU p. 15]</w:t>
      </w:r>
    </w:p>
    <w:p>
      <w:pPr>
        <w:keepLines w:val="0"/>
        <w:spacing w:after="80" w:line="269" w:lineRule="auto"/>
        <w:ind w:firstLine="312"/>
        <w:jc w:val="both"/>
      </w:pPr>
      <w:r>
        <w:rPr>
          <w:rFonts w:ascii="DejaVu Serif" w:hAnsi="DejaVu Serif" w:eastAsia="DejaVu Serif"/>
          <w:b w:val="0"/>
          <w:i w:val="0"/>
          <w:sz w:val="21"/>
        </w:rPr>
        <w:t>The notation U⋆_HdgV denotes the pair (U,⋆_U V) only when V belongs to Dom(⋆_U). Object notation does not replace checks of form degree, layer dimension, metric, and orientation.</w:t>
      </w:r>
    </w:p>
    <w:tbl>
      <w:tblPr>
        <w:tblW w:type="auto" w:w="0"/>
        <w:jc w:val="center"/>
        <w:tblLook w:firstColumn="1" w:firstRow="1" w:lastColumn="0" w:lastRow="0" w:noHBand="0" w:noVBand="1" w:val="04A0"/>
      </w:tblPr>
      <w:tblGrid>
        <w:gridCol w:w="10092"/>
      </w:tblGrid>
      <w:tr>
        <w:trPr>
          <w:cantSplit/>
          <w:tblHeader w:val="true"/>
        </w:trPr>
        <w:tc>
          <w:tcPr>
            <w:tcW w:type="dxa" w:w="10092"/>
            <w:shd w:fill="F8E6E4"/>
            <w:tcMar>
              <w:top w:w="90" w:type="dxa"/>
              <w:start w:w="100" w:type="dxa"/>
              <w:bottom w:w="90" w:type="dxa"/>
              <w:end w:w="100" w:type="dxa"/>
            </w:tcMar>
            <w:vAlign w:val="center"/>
          </w:tcPr>
          <w:p>
            <w:pPr>
              <w:spacing w:after="0" w:line="252" w:lineRule="auto" w:before="0"/>
            </w:pPr>
            <w:r>
              <w:rPr>
                <w:rFonts w:ascii="DejaVu Serif" w:hAnsi="DejaVu Serif" w:eastAsia="DejaVu Serif"/>
                <w:b/>
                <w:color w:val="A32626"/>
                <w:sz w:val="18"/>
              </w:rPr>
              <w:t xml:space="preserve">QUADRATIC-LAYER BOUNDARY.  </w:t>
            </w:r>
            <w:r>
              <w:rPr>
                <w:rFonts w:ascii="DejaVu Serif" w:hAnsi="DejaVu Serif" w:eastAsia="DejaVu Serif"/>
                <w:b w:val="0"/>
                <w:color w:val="111111"/>
                <w:sz w:val="18"/>
              </w:rPr>
              <w:t>This realisation fixes the stratified and Hodge-theoretic environment only. The objects R⋆R, their polarisation identities, and obstruction maps belong to the later NAPG layer and do not follow from Str(X) alone.</w:t>
            </w:r>
          </w:p>
        </w:tc>
      </w:tr>
    </w:tbl>
    <w:p>
      <w:pPr>
        <w:spacing w:after="20"/>
      </w:pPr>
    </w:p>
    <w:p>
      <w:pPr>
        <w:pStyle w:val="Heading2"/>
        <w:keepNext/>
        <w:spacing w:before="100" w:after="80"/>
      </w:pPr>
      <w:r>
        <w:rPr>
          <w:rFonts w:ascii="DejaVu Sans" w:hAnsi="DejaVu Sans" w:eastAsia="DejaVu Sans"/>
          <w:b/>
          <w:i w:val="0"/>
          <w:color w:val="1F4E78"/>
          <w:sz w:val="25"/>
        </w:rPr>
        <w:t>3.4. Pack Morphisms and Naturality</w:t>
      </w:r>
    </w:p>
    <w:p>
      <w:pPr>
        <w:keepLines w:val="0"/>
        <w:spacing w:after="80" w:line="269" w:lineRule="auto"/>
        <w:ind w:firstLine="312"/>
        <w:jc w:val="both"/>
      </w:pPr>
      <w:r>
        <w:rPr>
          <w:rFonts w:ascii="DejaVu Serif" w:hAnsi="DejaVu Serif" w:eastAsia="DejaVu Serif"/>
          <w:b w:val="0"/>
          <w:i w:val="0"/>
          <w:sz w:val="21"/>
        </w:rPr>
        <w:t>A morphism f:(X,ω)→(X′,ω′) contains a smooth map f_X and a linear operator f_ω. If f_X is an isometry, naturality of the Hodge operator is f_ω(⋆_Xα)=⋆_X′f_ω(α). Conformal maps require a separate dimension-and-degree factor; the word “compatible” is not a substitute for the exact formula.</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Proposition 3.1 [PROP]  </w:t>
            </w:r>
            <w:r>
              <w:rPr>
                <w:rFonts w:ascii="DejaVu Serif" w:hAnsi="DejaVu Serif" w:eastAsia="DejaVu Serif"/>
                <w:b w:val="0"/>
                <w:color w:val="111111"/>
                <w:sz w:val="18"/>
              </w:rPr>
              <w:t>Isometric Pack morphisms are closed under composition and preserve Hodge duality.</w:t>
            </w:r>
          </w:p>
        </w:tc>
      </w:tr>
    </w:tbl>
    <w:p>
      <w:pPr>
        <w:spacing w:after="20"/>
      </w:pPr>
    </w:p>
    <w:p>
      <w:pPr>
        <w:spacing w:after="80" w:line="264" w:lineRule="auto"/>
        <w:ind w:firstLine="312"/>
        <w:jc w:val="both"/>
      </w:pPr>
      <w:r>
        <w:rPr>
          <w:rFonts w:ascii="DejaVu Serif" w:hAnsi="DejaVu Serif" w:eastAsia="DejaVu Serif"/>
          <w:b/>
          <w:sz w:val="20"/>
        </w:rPr>
        <w:t xml:space="preserve">Proof. </w:t>
      </w:r>
      <w:r>
        <w:rPr>
          <w:rFonts w:ascii="DejaVu Serif" w:hAnsi="DejaVu Serif" w:eastAsia="DejaVu Serif"/>
          <w:sz w:val="20"/>
        </w:rPr>
        <w:t>For g∘f, one has g_ωf_ω⋆_X = g_ω⋆_X′f_ω = ⋆_X″g_ωf_ω. The identity morphism is also compatible with ⋆.</w:t>
      </w:r>
    </w:p>
    <w:p>
      <w:pPr>
        <w:keepLines w:val="0"/>
        <w:spacing w:after="80" w:line="269" w:lineRule="auto"/>
        <w:ind w:firstLine="312"/>
        <w:jc w:val="both"/>
      </w:pPr>
      <w:r>
        <w:rPr>
          <w:rFonts w:ascii="DejaVu Serif" w:hAnsi="DejaVu Serif" w:eastAsia="DejaVu Serif"/>
          <w:b w:val="0"/>
          <w:i w:val="0"/>
          <w:sz w:val="21"/>
        </w:rPr>
        <w:t>If the Hyparxis maps Lₖ are diffeomorphisms onto their images, their local sections induce mutually inverse transfers of differential forms on their domains. This is a local statement and does not create global invertibility outside the declared domains.</w:t>
      </w:r>
    </w:p>
    <w:p>
      <w:pPr>
        <w:pStyle w:val="Heading2"/>
        <w:keepNext/>
        <w:spacing w:before="100" w:after="80"/>
      </w:pPr>
      <w:r>
        <w:rPr>
          <w:rFonts w:ascii="DejaVu Sans" w:hAnsi="DejaVu Sans" w:eastAsia="DejaVu Sans"/>
          <w:b/>
          <w:i w:val="0"/>
          <w:color w:val="1F4E78"/>
          <w:sz w:val="25"/>
        </w:rPr>
        <w:t>3.5. Superoperator, Flow, and Inertial Connection</w:t>
      </w:r>
    </w:p>
    <w:p>
      <w:pPr>
        <w:keepLines w:val="0"/>
        <w:spacing w:after="80" w:line="269" w:lineRule="auto"/>
        <w:ind w:firstLine="312"/>
        <w:jc w:val="both"/>
      </w:pPr>
      <w:r>
        <w:rPr>
          <w:rFonts w:ascii="DejaVu Serif" w:hAnsi="DejaVu Serif" w:eastAsia="DejaVu Serif"/>
          <w:b w:val="0"/>
          <w:i w:val="0"/>
          <w:sz w:val="21"/>
        </w:rPr>
        <w:t>The Hodge–Kurpishev superoperator H is built from the Hodge operators on the strata and selected lifts and restrictions. Any compact notation H:=H(⋆,Lₖ) is an abbreviation for a typed composition, not a self-sufficient definition without a domain.</w:t>
      </w:r>
    </w:p>
    <w:p>
      <w:pPr>
        <w:keepLines w:val="0"/>
        <w:spacing w:after="80" w:line="269" w:lineRule="auto"/>
        <w:ind w:firstLine="312"/>
        <w:jc w:val="both"/>
      </w:pPr>
      <w:r>
        <w:rPr>
          <w:rFonts w:ascii="DejaVu Serif" w:hAnsi="DejaVu Serif" w:eastAsia="DejaVu Serif"/>
          <w:b w:val="0"/>
          <w:i w:val="0"/>
          <w:sz w:val="21"/>
        </w:rPr>
        <w:t>A flow Φₜ:Pack→Pack preserves stratification when Φₜ(T⁽ᵏ⁾)⊂T⁽ᵏ⁾ and is compatible with H when ΦₜH=HΦₜ. An inertial connection is a flow that also preserves the admissible transitions Lₖ.</w:t>
      </w:r>
    </w:p>
    <w:tbl>
      <w:tblPr>
        <w:tblW w:type="auto" w:w="0"/>
        <w:jc w:val="center"/>
        <w:tblLook w:firstColumn="1" w:firstRow="1" w:lastColumn="0" w:lastRow="0" w:noHBand="0" w:noVBand="1" w:val="04A0"/>
      </w:tblPr>
      <w:tblGrid>
        <w:gridCol w:w="10092"/>
      </w:tblGrid>
      <w:tr>
        <w:trPr>
          <w:cantSplit/>
          <w:tblHeader w:val="true"/>
        </w:trPr>
        <w:tc>
          <w:tcPr>
            <w:tcW w:type="dxa" w:w="10092"/>
            <w:shd w:fill="F8E6E4"/>
            <w:tcMar>
              <w:top w:w="90" w:type="dxa"/>
              <w:start w:w="100" w:type="dxa"/>
              <w:bottom w:w="90" w:type="dxa"/>
              <w:end w:w="100" w:type="dxa"/>
            </w:tcMar>
            <w:vAlign w:val="center"/>
          </w:tcPr>
          <w:p>
            <w:pPr>
              <w:spacing w:after="0" w:line="252" w:lineRule="auto" w:before="0"/>
            </w:pPr>
            <w:r>
              <w:rPr>
                <w:rFonts w:ascii="DejaVu Serif" w:hAnsi="DejaVu Serif" w:eastAsia="DejaVu Serif"/>
                <w:b/>
                <w:color w:val="A32626"/>
                <w:sz w:val="18"/>
              </w:rPr>
              <w:t xml:space="preserve">NEGATIVE STATEMENT.  </w:t>
            </w:r>
            <w:r>
              <w:rPr>
                <w:rFonts w:ascii="DejaVu Serif" w:hAnsi="DejaVu Serif" w:eastAsia="DejaVu Serif"/>
                <w:b w:val="0"/>
                <w:color w:val="111111"/>
                <w:sz w:val="18"/>
              </w:rPr>
              <w:t>Existence of a Pack morphism does not imply that scalar “size” and “dimension” can be assigned simultaneously and independently without a sufficient foundation D and a type contract. This boundary later enters the mathematical form of PN.2.</w:t>
            </w:r>
          </w:p>
        </w:tc>
      </w:tr>
    </w:tbl>
    <w:p>
      <w:pPr>
        <w:spacing w:after="20"/>
      </w:pPr>
    </w:p>
    <w:p>
      <w:pPr>
        <w:pStyle w:val="Heading2"/>
        <w:keepNext/>
        <w:spacing w:before="100" w:after="80"/>
      </w:pPr>
      <w:r>
        <w:rPr>
          <w:rFonts w:ascii="DejaVu Sans" w:hAnsi="DejaVu Sans" w:eastAsia="DejaVu Sans"/>
          <w:b/>
          <w:i w:val="0"/>
          <w:color w:val="1F4E78"/>
          <w:sz w:val="25"/>
        </w:rPr>
        <w:t>3.6. Differential Example and Boundary of the Authorial Layer</w:t>
      </w:r>
    </w:p>
    <w:p>
      <w:pPr>
        <w:keepLines w:val="0"/>
        <w:spacing w:after="80" w:line="269" w:lineRule="auto"/>
        <w:ind w:firstLine="312"/>
        <w:jc w:val="both"/>
      </w:pPr>
      <w:r>
        <w:rPr>
          <w:rFonts w:ascii="DejaVu Serif" w:hAnsi="DejaVu Serif" w:eastAsia="DejaVu Serif"/>
          <w:b w:val="0"/>
          <w:i w:val="0"/>
          <w:sz w:val="21"/>
        </w:rPr>
        <w:t>In a seven-dimensional model with a G₂-structure φ, the associated metric defines a Hodge operator and a 4-form ψ=⋆φ. The Laplacian flow is ∂φ/∂t=Δ_φφ with Δ_φ=dd*+d*d. This classical geometric environment is a model realisation; it does not prove a physical interpretation of NAPG.</w:t>
      </w:r>
    </w:p>
    <w:p>
      <w:pPr>
        <w:keepLines w:val="0"/>
        <w:spacing w:after="80" w:line="269" w:lineRule="auto"/>
        <w:ind w:firstLine="312"/>
        <w:jc w:val="both"/>
      </w:pPr>
      <w:r>
        <w:rPr>
          <w:rFonts w:ascii="DejaVu Serif" w:hAnsi="DejaVu Serif" w:eastAsia="DejaVu Serif"/>
          <w:b w:val="0"/>
          <w:i w:val="0"/>
          <w:sz w:val="21"/>
        </w:rPr>
        <w:t>In the selected left-invariant ansatz, dφ and dψ are computed, and the associator amplitude is defined by the norm of a selected Hyparxis form ζ: A(φ)=‖dζ‖. The value depends on the metric, normalisation, and model domain.</w:t>
      </w:r>
    </w:p>
    <w:p>
      <w:pPr>
        <w:keepLines w:val="0"/>
        <w:spacing w:after="80" w:line="269" w:lineRule="auto"/>
        <w:ind w:firstLine="312"/>
        <w:jc w:val="both"/>
      </w:pPr>
      <w:r>
        <w:rPr>
          <w:rFonts w:ascii="DejaVu Serif" w:hAnsi="DejaVu Serif" w:eastAsia="DejaVu Serif"/>
          <w:b w:val="0"/>
          <w:i w:val="0"/>
          <w:sz w:val="21"/>
        </w:rPr>
        <w:t>The reduced deformation theory uses the tangent quotient H²_red=ker d²/im d¹ and the primary obstruction O³_red=C³_red/im d². The derivative of a parameterised family defines a distinguished tangent class; continuation to second order requires the corresponding obstruction to vanish. The converse is not accepted without additional hypotheses.</w:t>
      </w:r>
    </w:p>
    <w:p>
      <w:pPr>
        <w:keepLines w:val="0"/>
        <w:spacing w:after="80" w:line="269" w:lineRule="auto"/>
        <w:ind w:firstLine="312"/>
        <w:jc w:val="both"/>
      </w:pPr>
      <w:r>
        <w:rPr>
          <w:rFonts w:ascii="DejaVu Serif" w:hAnsi="DejaVu Serif" w:eastAsia="DejaVu Serif"/>
          <w:b w:val="0"/>
          <w:i w:val="0"/>
          <w:sz w:val="21"/>
        </w:rPr>
        <w:t>The authorial architecture lies in the connection of stratified time, packet formalism, PN.2, the superoperator H, the flow-module packet, the action/change/reversal operators, associator amplitude, and NAPG. Hodge theory, G₂ geometry, and deformation theory are cited as classical prior art and mathematical environment.</w:t>
      </w:r>
    </w:p>
    <w:tbl>
      <w:tblPr>
        <w:tblW w:type="auto" w:w="0"/>
        <w:jc w:val="center"/>
        <w:tblLook w:firstColumn="1" w:firstRow="1" w:lastColumn="0" w:lastRow="0" w:noHBand="0" w:noVBand="1" w:val="04A0"/>
      </w:tblPr>
      <w:tblGrid>
        <w:gridCol w:w="10092"/>
      </w:tblGrid>
      <w:tr>
        <w:trPr>
          <w:cantSplit/>
          <w:tblHeader w:val="true"/>
        </w:trPr>
        <w:tc>
          <w:tcPr>
            <w:tcW w:type="dxa" w:w="10092"/>
            <w:shd w:fill="EAF1F7"/>
            <w:tcMar>
              <w:top w:w="90" w:type="dxa"/>
              <w:start w:w="100" w:type="dxa"/>
              <w:bottom w:w="90" w:type="dxa"/>
              <w:end w:w="100" w:type="dxa"/>
            </w:tcMar>
            <w:vAlign w:val="center"/>
          </w:tcPr>
          <w:p>
            <w:pPr>
              <w:spacing w:after="0" w:line="252" w:lineRule="auto" w:before="0"/>
            </w:pPr>
            <w:r>
              <w:rPr>
                <w:rFonts w:ascii="DejaVu Serif" w:hAnsi="DejaVu Serif" w:eastAsia="DejaVu Serif"/>
                <w:b/>
                <w:color w:val="173B63"/>
                <w:sz w:val="18"/>
              </w:rPr>
              <w:t xml:space="preserve">CHAPTER 3 PASSPORT.  </w:t>
            </w:r>
            <w:r>
              <w:rPr>
                <w:rFonts w:ascii="DejaVu Serif" w:hAnsi="DejaVu Serif" w:eastAsia="DejaVu Serif"/>
                <w:b w:val="0"/>
                <w:color w:val="111111"/>
                <w:sz w:val="18"/>
              </w:rPr>
              <w:t>carrier=X; strata={T⁽ᵏ⁾}; internal operation=⊙; Hodge=⋆_Hdg; quadratic object=R⋆R; Dom=explicit; D=source-and-proof; physical transfer=OPEN; truth_layer_promotion=0.</w:t>
            </w:r>
          </w:p>
        </w:tc>
      </w:tr>
    </w:tbl>
    <w:p>
      <w:pPr>
        <w:spacing w:after="20"/>
      </w:pPr>
    </w:p>
    <w:p>
      <w:pPr>
        <w:pStyle w:val="Heading2"/>
        <w:keepNext/>
        <w:spacing w:before="100" w:after="80"/>
      </w:pPr>
      <w:r>
        <w:rPr>
          <w:rFonts w:ascii="DejaVu Sans" w:hAnsi="DejaVu Sans" w:eastAsia="DejaVu Sans"/>
          <w:b/>
          <w:i w:val="0"/>
          <w:color w:val="1F4E78"/>
          <w:sz w:val="25"/>
        </w:rPr>
        <w:t>3.7. Categorical Specification of Pack</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Definition 3.7 [DEF-A].  </w:t>
            </w:r>
            <w:r>
              <w:rPr>
                <w:rFonts w:ascii="DejaVu Serif" w:hAnsi="DejaVu Serif" w:eastAsia="DejaVu Serif"/>
                <w:b w:val="0"/>
                <w:color w:val="111111"/>
                <w:sz w:val="18"/>
              </w:rPr>
              <w:t>A Pack object is P=(|P|,{Pⱼ}ⱼ∈J,s_P), where {Pⱼ} is a finite or locally finite filtration of the carrier and s_P is additional packet structure compatible with restrictions to the strata.</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Definition 3.8 [DEF-A].  </w:t>
            </w:r>
            <w:r>
              <w:rPr>
                <w:rFonts w:ascii="DejaVu Serif" w:hAnsi="DejaVu Serif" w:eastAsia="DejaVu Serif"/>
                <w:b w:val="0"/>
                <w:color w:val="111111"/>
                <w:sz w:val="18"/>
              </w:rPr>
              <w:t>A morphism f:P→Q consists of a carrier map and a family of stratum maps preserving indices, restrictions, and the canonical packet operation ⊙.</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Theorem 3.9 [THM]  </w:t>
            </w:r>
            <w:r>
              <w:rPr>
                <w:rFonts w:ascii="DejaVu Serif" w:hAnsi="DejaVu Serif" w:eastAsia="DejaVu Serif"/>
                <w:b w:val="0"/>
                <w:color w:val="111111"/>
                <w:sz w:val="18"/>
              </w:rPr>
              <w:t>With identity morphisms and componentwise composition, admissible packet objects form a category Pack.</w:t>
            </w:r>
          </w:p>
        </w:tc>
      </w:tr>
    </w:tbl>
    <w:p>
      <w:pPr>
        <w:spacing w:after="20"/>
      </w:pPr>
    </w:p>
    <w:p>
      <w:pPr>
        <w:spacing w:after="80" w:line="264" w:lineRule="auto"/>
        <w:ind w:firstLine="312"/>
        <w:jc w:val="both"/>
      </w:pPr>
      <w:r>
        <w:rPr>
          <w:rFonts w:ascii="DejaVu Serif" w:hAnsi="DejaVu Serif" w:eastAsia="DejaVu Serif"/>
          <w:b/>
          <w:sz w:val="20"/>
        </w:rPr>
        <w:t xml:space="preserve">Proof. </w:t>
      </w:r>
      <w:r>
        <w:rPr>
          <w:rFonts w:ascii="DejaVu Serif" w:hAnsi="DejaVu Serif" w:eastAsia="DejaVu Serif"/>
          <w:sz w:val="20"/>
        </w:rPr>
        <w:t>Identity maps preserve the filtration and structure. The composition of two compatible squares is compatible; associativity follows from associativity of map composition, not from associativity of the internal NAPG operation.</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Corollary 3.10 [THM].  </w:t>
            </w:r>
            <w:r>
              <w:rPr>
                <w:rFonts w:ascii="DejaVu Serif" w:hAnsi="DejaVu Serif" w:eastAsia="DejaVu Serif"/>
                <w:b w:val="0"/>
                <w:color w:val="111111"/>
                <w:sz w:val="18"/>
              </w:rPr>
              <w:t>Categorical composition of morphisms and the internal nonassociative operation ⊙ belong to different types and cannot substitute for one another.</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F6EEDB"/>
            <w:tcMar>
              <w:top w:w="90" w:type="dxa"/>
              <w:start w:w="100" w:type="dxa"/>
              <w:bottom w:w="90" w:type="dxa"/>
              <w:end w:w="100" w:type="dxa"/>
            </w:tcMar>
            <w:vAlign w:val="center"/>
          </w:tcPr>
          <w:p>
            <w:pPr>
              <w:spacing w:after="0" w:line="252" w:lineRule="auto" w:before="0"/>
            </w:pPr>
            <w:r>
              <w:rPr>
                <w:rFonts w:ascii="DejaVu Serif" w:hAnsi="DejaVu Serif" w:eastAsia="DejaVu Serif"/>
                <w:b/>
                <w:color w:val="A87918"/>
                <w:sz w:val="18"/>
              </w:rPr>
              <w:t xml:space="preserve">PHILOSOPHICAL INSERT.  </w:t>
            </w:r>
            <w:r>
              <w:rPr>
                <w:rFonts w:ascii="DejaVu Serif" w:hAnsi="DejaVu Serif" w:eastAsia="DejaVu Serif"/>
                <w:b w:val="0"/>
                <w:color w:val="111111"/>
                <w:sz w:val="18"/>
              </w:rPr>
              <w:t>A category retains not only things but also the admissible ways of moving between them. The meaning of an object is therefore revealed in a network of transformations that do not destroy its type.</w:t>
            </w:r>
          </w:p>
        </w:tc>
      </w:tr>
    </w:tbl>
    <w:p>
      <w:pPr>
        <w:spacing w:after="20"/>
      </w:pPr>
    </w:p>
    <w:p>
      <w:pPr>
        <w:pStyle w:val="Heading1"/>
        <w:keepNext/>
        <w:spacing w:before="160" w:after="80"/>
      </w:pPr>
      <w:bookmarkStart w:id="1003" w:name="T1_CH_04"/>
      <w:r>
        <w:rPr>
          <w:rFonts w:ascii="DejaVu Sans" w:hAnsi="DejaVu Sans" w:eastAsia="DejaVu Sans"/>
          <w:b/>
          <w:i w:val="0"/>
          <w:color w:val="1F4E78"/>
          <w:sz w:val="32"/>
        </w:rPr>
        <w:t>Chapter 4. Packet Morphisms, Reductions, and Conservation Laws</w:t>
      </w:r>
      <w:bookmarkEnd w:id="1003"/>
    </w:p>
    <w:p>
      <w:pPr>
        <w:spacing w:after="60" w:line="259" w:lineRule="auto"/>
        <w:jc w:val="left"/>
      </w:pPr>
      <w:r>
        <w:rPr>
          <w:rFonts w:ascii="DejaVu Serif" w:hAnsi="DejaVu Serif" w:eastAsia="DejaVu Serif"/>
          <w:b w:val="0"/>
          <w:i/>
          <w:color w:val="5E6873"/>
          <w:sz w:val="18"/>
        </w:rPr>
        <w:t>Russian source locator: p. 18</w:t>
      </w:r>
    </w:p>
    <w:tbl>
      <w:tblPr>
        <w:tblW w:type="auto" w:w="0"/>
        <w:jc w:val="center"/>
        <w:tblLook w:firstColumn="1" w:firstRow="1" w:lastColumn="0" w:lastRow="0" w:noHBand="0" w:noVBand="1" w:val="04A0"/>
      </w:tblPr>
      <w:tblGrid>
        <w:gridCol w:w="5046"/>
        <w:gridCol w:w="5046"/>
      </w:tblGrid>
      <w:tr>
        <w:trPr>
          <w:cantSplit/>
          <w:cantSplit/>
          <w:tblHeader w:val="true"/>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PLAIN-LANGUAGE MEANING</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The chapter specifies which transformations of packets are admissible and exactly what may be forgotten in a reduction.</w:t>
            </w:r>
          </w:p>
        </w:tc>
      </w:tr>
      <w:tr>
        <w:trPr>
          <w:cantSplit/>
          <w:cantSplit/>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MATHEMATICAL CORE</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Conditions for admissible morphisms, reduction and forgetting operations, and projective preservation rules for labels and relations are stated.</w:t>
            </w:r>
          </w:p>
        </w:tc>
      </w:tr>
      <w:tr>
        <w:trPr>
          <w:cantSplit/>
          <w:cantSplit/>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BOUNDARY OF THE CLAIM</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A conservation law applies only after the relevant category of objects is specified and does not automatically become a physical conservation law.</w:t>
            </w:r>
          </w:p>
        </w:tc>
      </w:tr>
      <w:tr>
        <w:trPr>
          <w:cantSplit/>
          <w:cantSplit/>
        </w:trPr>
        <w:tc>
          <w:tcPr>
            <w:tcW w:type="dxa" w:w="1814"/>
            <w:tcMar>
              <w:top w:w="90" w:type="dxa"/>
              <w:start w:w="100" w:type="dxa"/>
              <w:bottom w:w="90" w:type="dxa"/>
              <w:end w:w="100" w:type="dxa"/>
            </w:tcMar>
            <w:vAlign w:val="center"/>
            <w:shd w:fill="A87918"/>
          </w:tcPr>
          <w:p>
            <w:pPr>
              <w:spacing w:after="0" w:before="0" w:line="252" w:lineRule="auto"/>
              <w:jc w:val="center"/>
            </w:pPr>
            <w:r>
              <w:rPr>
                <w:rFonts w:ascii="DejaVu Serif" w:hAnsi="DejaVu Serif" w:eastAsia="DejaVu Serif"/>
                <w:b/>
                <w:color w:val="FFFFFF"/>
                <w:sz w:val="18"/>
              </w:rPr>
              <w:t>STATUS</w:t>
            </w:r>
          </w:p>
        </w:tc>
        <w:tc>
          <w:tcPr>
            <w:tcW w:type="dxa" w:w="7483"/>
            <w:tcMar>
              <w:top w:w="90" w:type="dxa"/>
              <w:start w:w="100" w:type="dxa"/>
              <w:bottom w:w="90" w:type="dxa"/>
              <w:end w:w="100" w:type="dxa"/>
            </w:tcMar>
            <w:vAlign w:val="center"/>
            <w:shd w:fill="F6EEDB"/>
          </w:tcPr>
          <w:p>
            <w:pPr>
              <w:spacing w:after="0" w:before="0" w:line="252" w:lineRule="auto"/>
              <w:jc w:val="left"/>
            </w:pPr>
            <w:r>
              <w:rPr>
                <w:rFonts w:ascii="DejaVu Serif" w:hAnsi="DejaVu Serif" w:eastAsia="DejaVu Serif"/>
                <w:b w:val="0"/>
                <w:color w:val="111111"/>
                <w:sz w:val="18"/>
              </w:rPr>
              <w:t>AXIOMS AND RULES</w:t>
            </w:r>
          </w:p>
        </w:tc>
      </w:tr>
    </w:tbl>
    <w:p>
      <w:pPr>
        <w:spacing w:after="20"/>
      </w:pPr>
    </w:p>
    <w:p>
      <w:pPr>
        <w:keepLines w:val="0"/>
        <w:spacing w:after="80" w:line="269" w:lineRule="auto"/>
        <w:ind w:firstLine="312"/>
        <w:jc w:val="both"/>
      </w:pPr>
      <w:r>
        <w:rPr>
          <w:rFonts w:ascii="DejaVu Serif" w:hAnsi="DejaVu Serif" w:eastAsia="DejaVu Serif"/>
          <w:b w:val="0"/>
          <w:i w:val="0"/>
          <w:sz w:val="21"/>
        </w:rPr>
        <w:t>A packet morphism transfers an object between layers or domains while preserving not only the form of notation but also its evidential meaning. A morphism that preserves a geometric picture but loses D, Dom, source, or status does not transport authorization.</w:t>
      </w:r>
    </w:p>
    <w:p>
      <w:pPr>
        <w:keepNext/>
        <w:jc w:val="center"/>
      </w:pPr>
      <w:r>
        <w:drawing>
          <wp:inline xmlns:a="http://schemas.openxmlformats.org/drawingml/2006/main" xmlns:pic="http://schemas.openxmlformats.org/drawingml/2006/picture">
            <wp:extent cx="5688000" cy="2696789"/>
            <wp:docPr id="7" name="Picture 7"/>
            <wp:cNvGraphicFramePr>
              <a:graphicFrameLocks noChangeAspect="1"/>
            </wp:cNvGraphicFramePr>
            <a:graphic>
              <a:graphicData uri="http://schemas.openxmlformats.org/drawingml/2006/picture">
                <pic:pic>
                  <pic:nvPicPr>
                    <pic:cNvPr id="0" name="fig_ch4_morphism.png"/>
                    <pic:cNvPicPr/>
                  </pic:nvPicPr>
                  <pic:blipFill>
                    <a:blip r:embed="rId19"/>
                    <a:stretch>
                      <a:fillRect/>
                    </a:stretch>
                  </pic:blipFill>
                  <pic:spPr>
                    <a:xfrm>
                      <a:off x="0" y="0"/>
                      <a:ext cx="5688000" cy="2696789"/>
                    </a:xfrm>
                    <a:prstGeom prst="rect"/>
                  </pic:spPr>
                </pic:pic>
              </a:graphicData>
            </a:graphic>
          </wp:inline>
        </w:drawing>
      </w:r>
    </w:p>
    <w:p>
      <w:pPr>
        <w:keepNext w:val="0"/>
        <w:spacing w:after="100"/>
        <w:jc w:val="center"/>
      </w:pPr>
      <w:bookmarkStart w:id="1064" w:name="T1_FIG_006"/>
      <w:r>
        <w:rPr>
          <w:rFonts w:ascii="DejaVu Serif" w:hAnsi="DejaVu Serif" w:eastAsia="DejaVu Serif"/>
          <w:b w:val="0"/>
          <w:i/>
          <w:color w:val="5E6873"/>
          <w:sz w:val="18"/>
        </w:rPr>
        <w:t>Figure 4.1. Packet/Reper morphism and the components that must be preserved or explicitly transformed.</w:t>
      </w:r>
      <w:bookmarkEnd w:id="1064"/>
    </w:p>
    <w:p>
      <w:pPr>
        <w:pStyle w:val="Heading2"/>
        <w:keepNext/>
        <w:spacing w:before="100" w:after="80"/>
      </w:pPr>
      <w:r>
        <w:rPr>
          <w:rFonts w:ascii="DejaVu Sans" w:hAnsi="DejaVu Sans" w:eastAsia="DejaVu Sans"/>
          <w:b/>
          <w:i w:val="0"/>
          <w:color w:val="1F4E78"/>
          <w:sz w:val="25"/>
        </w:rPr>
        <w:t>4.1. Admissibility Conditions</w:t>
      </w:r>
    </w:p>
    <w:tbl>
      <w:tblPr>
        <w:tblW w:type="auto" w:w="0"/>
        <w:jc w:val="center"/>
        <w:tblLook w:firstColumn="1" w:firstRow="1" w:lastColumn="0" w:lastRow="0" w:noHBand="0" w:noVBand="1" w:val="04A0"/>
      </w:tblPr>
      <w:tblGrid>
        <w:gridCol w:w="5046"/>
        <w:gridCol w:w="5046"/>
      </w:tblGrid>
      <w:tr>
        <w:trPr>
          <w:tblHeader w:val="true"/>
          <w:cantSplit/>
          <w:cantSplit/>
          <w:tblHeader w:val="true"/>
        </w:trPr>
        <w:tc>
          <w:tcPr>
            <w:tcW w:type="dxa" w:w="2268"/>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Condition</w:t>
            </w:r>
          </w:p>
        </w:tc>
        <w:tc>
          <w:tcPr>
            <w:tcW w:type="dxa" w:w="7087"/>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Required check</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Typing</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Source and target belong to the declared categories.</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Incidence</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Membership and intersection relations are preserved.</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Hodge compatibility</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The square with the Hodge operators commutes.</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D/Dom</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Foundation and admissible domain are preserved or transformed explicitly.</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Status</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A high status cannot arise from a lower one without a new evidence procedure.</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Invertibility</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If invertibility is claimed, an inverse morphism and the composition identities are exhibited.</w:t>
            </w:r>
          </w:p>
        </w:tc>
      </w:tr>
    </w:tbl>
    <w:p>
      <w:pPr>
        <w:spacing w:after="40"/>
      </w:pPr>
    </w:p>
    <w:p>
      <w:pPr>
        <w:pStyle w:val="Heading2"/>
        <w:keepNext/>
        <w:spacing w:before="100" w:after="80"/>
      </w:pPr>
      <w:r>
        <w:rPr>
          <w:rFonts w:ascii="DejaVu Sans" w:hAnsi="DejaVu Sans" w:eastAsia="DejaVu Sans"/>
          <w:b/>
          <w:i w:val="0"/>
          <w:color w:val="1F4E78"/>
          <w:sz w:val="25"/>
        </w:rPr>
        <w:t>4.2. Reduction and Forgetting</w:t>
      </w:r>
    </w:p>
    <w:p>
      <w:pPr>
        <w:keepLines w:val="0"/>
        <w:spacing w:after="80" w:line="269" w:lineRule="auto"/>
        <w:ind w:firstLine="312"/>
        <w:jc w:val="both"/>
      </w:pPr>
      <w:r>
        <w:rPr>
          <w:rFonts w:ascii="DejaVu Serif" w:hAnsi="DejaVu Serif" w:eastAsia="DejaVu Serif"/>
          <w:b w:val="0"/>
          <w:i w:val="0"/>
          <w:sz w:val="21"/>
        </w:rPr>
        <w:t>A reduction may be affine, projective, metric, physical, computational, or semantic. Every reduction must state which data are preserved and which are forgotten. Forgetting is not an error by itself; the error begins when the reduced result is used as though no loss had occurred.</w:t>
      </w:r>
    </w:p>
    <w:p>
      <w:pPr>
        <w:pStyle w:val="Heading2"/>
        <w:keepNext/>
        <w:spacing w:before="100" w:after="80"/>
      </w:pPr>
      <w:r>
        <w:rPr>
          <w:rFonts w:ascii="DejaVu Sans" w:hAnsi="DejaVu Sans" w:eastAsia="DejaVu Sans"/>
          <w:b/>
          <w:i w:val="0"/>
          <w:color w:val="1F4E78"/>
          <w:sz w:val="25"/>
        </w:rPr>
        <w:t>4.3. Stability under Composition</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Theorem 4.1 [THM]  </w:t>
            </w:r>
            <w:r>
              <w:rPr>
                <w:rFonts w:ascii="DejaVu Serif" w:hAnsi="DejaVu Serif" w:eastAsia="DejaVu Serif"/>
                <w:b w:val="0"/>
                <w:color w:val="111111"/>
                <w:sz w:val="18"/>
              </w:rPr>
              <w:t>If f:P→Q and g:Q→R are admissible packet morphisms and their domains are compatible, then g∘f preserves every invariant preserved by both morphisms.</w:t>
            </w:r>
          </w:p>
        </w:tc>
      </w:tr>
    </w:tbl>
    <w:p>
      <w:pPr>
        <w:spacing w:after="20"/>
      </w:pPr>
    </w:p>
    <w:p>
      <w:pPr>
        <w:spacing w:after="80" w:line="264" w:lineRule="auto"/>
        <w:ind w:firstLine="312"/>
        <w:jc w:val="both"/>
      </w:pPr>
      <w:r>
        <w:rPr>
          <w:rFonts w:ascii="DejaVu Serif" w:hAnsi="DejaVu Serif" w:eastAsia="DejaVu Serif"/>
          <w:b/>
          <w:sz w:val="20"/>
        </w:rPr>
        <w:t xml:space="preserve">Proof. </w:t>
      </w:r>
      <w:r>
        <w:rPr>
          <w:rFonts w:ascii="DejaVu Serif" w:hAnsi="DejaVu Serif" w:eastAsia="DejaVu Serif"/>
          <w:sz w:val="20"/>
        </w:rPr>
        <w:t>For an invariant I, I_Q∘f=I_P and I_R∘g=I_Q. Hence I_R∘g∘f=I_P. The domain condition excludes application of the composition outside the common domain.</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Corollary 4.2 [THM].  </w:t>
            </w:r>
            <w:r>
              <w:rPr>
                <w:rFonts w:ascii="DejaVu Serif" w:hAnsi="DejaVu Serif" w:eastAsia="DejaVu Serif"/>
                <w:b w:val="0"/>
                <w:color w:val="111111"/>
                <w:sz w:val="18"/>
              </w:rPr>
              <w:t>A chain of transformations is authorized only on the intersection of the domains of all its links.</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F8E6E4"/>
            <w:tcMar>
              <w:top w:w="90" w:type="dxa"/>
              <w:start w:w="100" w:type="dxa"/>
              <w:bottom w:w="90" w:type="dxa"/>
              <w:end w:w="100" w:type="dxa"/>
            </w:tcMar>
            <w:vAlign w:val="center"/>
          </w:tcPr>
          <w:p>
            <w:pPr>
              <w:spacing w:after="0" w:line="252" w:lineRule="auto" w:before="0"/>
            </w:pPr>
            <w:r>
              <w:rPr>
                <w:rFonts w:ascii="DejaVu Serif" w:hAnsi="DejaVu Serif" w:eastAsia="DejaVu Serif"/>
                <w:b/>
                <w:color w:val="A32626"/>
                <w:sz w:val="18"/>
              </w:rPr>
              <w:t xml:space="preserve">Counterexample 4.3 [REFUTED GENERALISATION].  </w:t>
            </w:r>
            <w:r>
              <w:rPr>
                <w:rFonts w:ascii="DejaVu Serif" w:hAnsi="DejaVu Serif" w:eastAsia="DejaVu Serif"/>
                <w:b w:val="0"/>
                <w:color w:val="111111"/>
                <w:sz w:val="18"/>
              </w:rPr>
              <w:t>Two transformations that are separately computable need not compose when the image of the first does not lie in the domain of the second.</w:t>
            </w:r>
          </w:p>
        </w:tc>
      </w:tr>
    </w:tbl>
    <w:p>
      <w:pPr>
        <w:spacing w:after="20"/>
      </w:pPr>
    </w:p>
    <w:p>
      <w:pPr>
        <w:pStyle w:val="Heading2"/>
        <w:keepNext/>
        <w:spacing w:before="100" w:after="80"/>
      </w:pPr>
      <w:r>
        <w:rPr>
          <w:rFonts w:ascii="DejaVu Sans" w:hAnsi="DejaVu Sans" w:eastAsia="DejaVu Sans"/>
          <w:b/>
          <w:i w:val="0"/>
          <w:color w:val="1F4E78"/>
          <w:sz w:val="25"/>
        </w:rPr>
        <w:t>4.4. Loss of Data and Loss of Foundation</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Definition 4.1 [DEF-A].  </w:t>
            </w:r>
            <w:r>
              <w:rPr>
                <w:rFonts w:ascii="DejaVu Serif" w:hAnsi="DejaVu Serif" w:eastAsia="DejaVu Serif"/>
                <w:b w:val="0"/>
                <w:color w:val="111111"/>
                <w:sz w:val="18"/>
              </w:rPr>
              <w:t>Data loss is the irreversible identification of distinct input records. Foundation loss is the deletion of D, or of the relation to D, while computed values are formally retained.</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Proposition 4.4 [PROP]  </w:t>
            </w:r>
            <w:r>
              <w:rPr>
                <w:rFonts w:ascii="DejaVu Serif" w:hAnsi="DejaVu Serif" w:eastAsia="DejaVu Serif"/>
                <w:b w:val="0"/>
                <w:color w:val="111111"/>
                <w:sz w:val="18"/>
              </w:rPr>
              <w:t>Foundation loss may occur without numerical data loss, and data loss may occur without immediate loss of a formal foundation; the defects are independent.</w:t>
            </w:r>
          </w:p>
        </w:tc>
      </w:tr>
    </w:tbl>
    <w:p>
      <w:pPr>
        <w:spacing w:after="20"/>
      </w:pPr>
    </w:p>
    <w:p>
      <w:pPr>
        <w:spacing w:after="80" w:line="264" w:lineRule="auto"/>
        <w:ind w:firstLine="312"/>
        <w:jc w:val="both"/>
      </w:pPr>
      <w:r>
        <w:rPr>
          <w:rFonts w:ascii="DejaVu Serif" w:hAnsi="DejaVu Serif" w:eastAsia="DejaVu Serif"/>
          <w:b/>
          <w:sz w:val="20"/>
        </w:rPr>
        <w:t xml:space="preserve">Proof. </w:t>
      </w:r>
      <w:r>
        <w:rPr>
          <w:rFonts w:ascii="DejaVu Serif" w:hAnsi="DejaVu Serif" w:eastAsia="DejaVu Serif"/>
          <w:sz w:val="20"/>
        </w:rPr>
        <w:t>The projection (x,D)↦x preserves a number but removes its foundation. Hashing a document together with a signed protocol may preserve evidence that a version existed while losing the full document text.</w:t>
      </w:r>
    </w:p>
    <w:tbl>
      <w:tblPr>
        <w:tblW w:type="auto" w:w="0"/>
        <w:jc w:val="center"/>
        <w:tblLook w:firstColumn="1" w:firstRow="1" w:lastColumn="0" w:lastRow="0" w:noHBand="0" w:noVBand="1" w:val="04A0"/>
      </w:tblPr>
      <w:tblGrid>
        <w:gridCol w:w="10092"/>
      </w:tblGrid>
      <w:tr>
        <w:trPr>
          <w:cantSplit/>
          <w:tblHeader w:val="true"/>
        </w:trPr>
        <w:tc>
          <w:tcPr>
            <w:tcW w:type="dxa" w:w="10092"/>
            <w:shd w:fill="EAF1F7"/>
            <w:tcMar>
              <w:top w:w="90" w:type="dxa"/>
              <w:start w:w="100" w:type="dxa"/>
              <w:bottom w:w="90" w:type="dxa"/>
              <w:end w:w="100" w:type="dxa"/>
            </w:tcMar>
            <w:vAlign w:val="center"/>
          </w:tcPr>
          <w:p>
            <w:pPr>
              <w:spacing w:after="0" w:line="252" w:lineRule="auto" w:before="0"/>
            </w:pPr>
            <w:r>
              <w:rPr>
                <w:rFonts w:ascii="DejaVu Serif" w:hAnsi="DejaVu Serif" w:eastAsia="DejaVu Serif"/>
                <w:b/>
                <w:color w:val="173B63"/>
                <w:sz w:val="18"/>
              </w:rPr>
              <w:t xml:space="preserve">REDUCTION RULE.  </w:t>
            </w:r>
            <w:r>
              <w:rPr>
                <w:rFonts w:ascii="DejaVu Serif" w:hAnsi="DejaVu Serif" w:eastAsia="DejaVu Serif"/>
                <w:b w:val="0"/>
                <w:color w:val="111111"/>
                <w:sz w:val="18"/>
              </w:rPr>
              <w:t>Every reducing morphism separately records data-loss, proof-loss, domain-loss, and status-loss.</w:t>
            </w:r>
          </w:p>
        </w:tc>
      </w:tr>
    </w:tbl>
    <w:p>
      <w:pPr>
        <w:spacing w:after="20"/>
      </w:pPr>
    </w:p>
    <w:p>
      <w:pPr>
        <w:pStyle w:val="Heading1"/>
        <w:keepNext/>
        <w:spacing w:before="160" w:after="80"/>
      </w:pPr>
      <w:bookmarkStart w:id="1004" w:name="T1_CH_05"/>
      <w:r>
        <w:rPr>
          <w:rFonts w:ascii="DejaVu Sans" w:hAnsi="DejaVu Sans" w:eastAsia="DejaVu Sans"/>
          <w:b/>
          <w:i w:val="0"/>
          <w:color w:val="1F4E78"/>
          <w:sz w:val="32"/>
        </w:rPr>
        <w:t>Chapter 5. Reper(R,I,U;D): Definition and Axioms</w:t>
      </w:r>
      <w:bookmarkEnd w:id="1004"/>
    </w:p>
    <w:p>
      <w:pPr>
        <w:spacing w:after="60" w:line="259" w:lineRule="auto"/>
        <w:jc w:val="left"/>
      </w:pPr>
      <w:r>
        <w:rPr>
          <w:rFonts w:ascii="DejaVu Serif" w:hAnsi="DejaVu Serif" w:eastAsia="DejaVu Serif"/>
          <w:b w:val="0"/>
          <w:i/>
          <w:color w:val="5E6873"/>
          <w:sz w:val="18"/>
        </w:rPr>
        <w:t>Russian source locator: pp. 19–22</w:t>
      </w:r>
    </w:p>
    <w:tbl>
      <w:tblPr>
        <w:tblW w:type="auto" w:w="0"/>
        <w:jc w:val="center"/>
        <w:tblLook w:firstColumn="1" w:firstRow="1" w:lastColumn="0" w:lastRow="0" w:noHBand="0" w:noVBand="1" w:val="04A0"/>
      </w:tblPr>
      <w:tblGrid>
        <w:gridCol w:w="5046"/>
        <w:gridCol w:w="5046"/>
      </w:tblGrid>
      <w:tr>
        <w:trPr>
          <w:cantSplit/>
          <w:cantSplit/>
          <w:tblHeader w:val="true"/>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PLAIN-LANGUAGE MEANING</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A Reper is an object passport: what is actually given, which idea or invariant is selected, which possibilities are admissible, and on what foundation the conclusion is made.</w:t>
            </w:r>
          </w:p>
        </w:tc>
      </w:tr>
      <w:tr>
        <w:trPr>
          <w:cantSplit/>
          <w:cantSplit/>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MATHEMATICAL CORE</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The quadruple (R,I,U;D) is defined, the semantics of its components is explained, and axioms of a complete Reper are formulated.</w:t>
            </w:r>
          </w:p>
        </w:tc>
      </w:tr>
      <w:tr>
        <w:trPr>
          <w:cantSplit/>
          <w:cantSplit/>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BOUNDARY OF THE CLAIM</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The triple (R,I,U) without D is not a complete foundation and does not automatically receive truth status.</w:t>
            </w:r>
          </w:p>
        </w:tc>
      </w:tr>
      <w:tr>
        <w:trPr>
          <w:cantSplit/>
          <w:cantSplit/>
        </w:trPr>
        <w:tc>
          <w:tcPr>
            <w:tcW w:type="dxa" w:w="1814"/>
            <w:tcMar>
              <w:top w:w="90" w:type="dxa"/>
              <w:start w:w="100" w:type="dxa"/>
              <w:bottom w:w="90" w:type="dxa"/>
              <w:end w:w="100" w:type="dxa"/>
            </w:tcMar>
            <w:vAlign w:val="center"/>
            <w:shd w:fill="A87918"/>
          </w:tcPr>
          <w:p>
            <w:pPr>
              <w:spacing w:after="0" w:before="0" w:line="252" w:lineRule="auto"/>
              <w:jc w:val="center"/>
            </w:pPr>
            <w:r>
              <w:rPr>
                <w:rFonts w:ascii="DejaVu Serif" w:hAnsi="DejaVu Serif" w:eastAsia="DejaVu Serif"/>
                <w:b/>
                <w:color w:val="FFFFFF"/>
                <w:sz w:val="18"/>
              </w:rPr>
              <w:t>STATUS</w:t>
            </w:r>
          </w:p>
        </w:tc>
        <w:tc>
          <w:tcPr>
            <w:tcW w:type="dxa" w:w="7483"/>
            <w:tcMar>
              <w:top w:w="90" w:type="dxa"/>
              <w:start w:w="100" w:type="dxa"/>
              <w:bottom w:w="90" w:type="dxa"/>
              <w:end w:w="100" w:type="dxa"/>
            </w:tcMar>
            <w:vAlign w:val="center"/>
            <w:shd w:fill="F6EEDB"/>
          </w:tcPr>
          <w:p>
            <w:pPr>
              <w:spacing w:after="0" w:before="0" w:line="252" w:lineRule="auto"/>
              <w:jc w:val="left"/>
            </w:pPr>
            <w:r>
              <w:rPr>
                <w:rFonts w:ascii="DejaVu Serif" w:hAnsi="DejaVu Serif" w:eastAsia="DejaVu Serif"/>
                <w:b w:val="0"/>
                <w:color w:val="111111"/>
                <w:sz w:val="18"/>
              </w:rPr>
              <w:t>BASIC DEFINITION</w:t>
            </w:r>
          </w:p>
        </w:tc>
      </w:tr>
    </w:tbl>
    <w:p>
      <w:pPr>
        <w:spacing w:after="20"/>
      </w:pPr>
    </w:p>
    <w:p>
      <w:pPr>
        <w:keepLines w:val="0"/>
        <w:spacing w:after="80" w:line="269" w:lineRule="auto"/>
        <w:ind w:firstLine="312"/>
        <w:jc w:val="both"/>
      </w:pPr>
      <w:r>
        <w:rPr>
          <w:rFonts w:ascii="DejaVu Serif" w:hAnsi="DejaVu Serif" w:eastAsia="DejaVu Serif"/>
          <w:b w:val="0"/>
          <w:i w:val="0"/>
          <w:sz w:val="21"/>
        </w:rPr>
        <w:t>Reper is the central structure of Volume I. It connects established content, an idea or invariant, a field of possibilities, and a sufficient foundation. The semicolon before D marks the special evidential role of the foundation: D completes the flag and separates a structural hypothesis from an authorized object.</w:t>
      </w:r>
    </w:p>
    <w:p>
      <w:pPr>
        <w:keepLines/>
        <w:spacing w:before="60" w:after="80"/>
        <w:jc w:val="center"/>
      </w:pPr>
      <w:r>
        <w:rPr>
          <w:rFonts w:ascii="DejaVu Serif" w:hAnsi="DejaVu Serif" w:eastAsia="DejaVu Serif"/>
          <w:b w:val="0"/>
          <w:i w:val="0"/>
          <w:color w:val="173B63"/>
          <w:sz w:val="22"/>
        </w:rPr>
        <w:t>Rep(x) = (Rₓ, Iₓ, Uₓ; Dₓ)</w:t>
      </w:r>
      <w:r>
        <w:rPr>
          <w:rFonts w:ascii="DejaVu Sans" w:hAnsi="DejaVu Sans" w:eastAsia="DejaVu Sans"/>
          <w:b w:val="0"/>
          <w:i w:val="0"/>
          <w:color w:val="5E6873"/>
          <w:sz w:val="15"/>
        </w:rPr>
        <w:t xml:space="preserve">    [RU p. 19]</w:t>
      </w:r>
    </w:p>
    <w:p>
      <w:pPr>
        <w:keepNext/>
        <w:jc w:val="center"/>
      </w:pPr>
      <w:r>
        <w:drawing>
          <wp:inline xmlns:a="http://schemas.openxmlformats.org/drawingml/2006/main" xmlns:pic="http://schemas.openxmlformats.org/drawingml/2006/picture">
            <wp:extent cx="5688000" cy="3435051"/>
            <wp:docPr id="8" name="Picture 8"/>
            <wp:cNvGraphicFramePr>
              <a:graphicFrameLocks noChangeAspect="1"/>
            </wp:cNvGraphicFramePr>
            <a:graphic>
              <a:graphicData uri="http://schemas.openxmlformats.org/drawingml/2006/picture">
                <pic:pic>
                  <pic:nvPicPr>
                    <pic:cNvPr id="0" name="fig_ch5_reper.png"/>
                    <pic:cNvPicPr/>
                  </pic:nvPicPr>
                  <pic:blipFill>
                    <a:blip r:embed="rId20"/>
                    <a:stretch>
                      <a:fillRect/>
                    </a:stretch>
                  </pic:blipFill>
                  <pic:spPr>
                    <a:xfrm>
                      <a:off x="0" y="0"/>
                      <a:ext cx="5688000" cy="3435051"/>
                    </a:xfrm>
                    <a:prstGeom prst="rect"/>
                  </pic:spPr>
                </pic:pic>
              </a:graphicData>
            </a:graphic>
          </wp:inline>
        </w:drawing>
      </w:r>
    </w:p>
    <w:p>
      <w:pPr>
        <w:keepNext w:val="0"/>
        <w:spacing w:after="100"/>
        <w:jc w:val="center"/>
      </w:pPr>
      <w:bookmarkStart w:id="1065" w:name="T1_FIG_007"/>
      <w:r>
        <w:rPr>
          <w:rFonts w:ascii="DejaVu Serif" w:hAnsi="DejaVu Serif" w:eastAsia="DejaVu Serif"/>
          <w:b w:val="0"/>
          <w:i/>
          <w:color w:val="5E6873"/>
          <w:sz w:val="18"/>
        </w:rPr>
        <w:t>Figure 5.1. Reper tetrahedron: realised content R, invariant I, possibilities U, and sufficient foundation D.</w:t>
      </w:r>
      <w:bookmarkEnd w:id="1065"/>
    </w:p>
    <w:p>
      <w:pPr>
        <w:pStyle w:val="Heading2"/>
        <w:keepNext/>
        <w:spacing w:before="100" w:after="80"/>
      </w:pPr>
      <w:r>
        <w:rPr>
          <w:rFonts w:ascii="DejaVu Sans" w:hAnsi="DejaVu Sans" w:eastAsia="DejaVu Sans"/>
          <w:b/>
          <w:i w:val="0"/>
          <w:color w:val="1F4E78"/>
          <w:sz w:val="25"/>
        </w:rPr>
        <w:t>5.1. Semantics of the Components</w:t>
      </w:r>
    </w:p>
    <w:tbl>
      <w:tblPr>
        <w:tblW w:type="auto" w:w="0"/>
        <w:jc w:val="center"/>
        <w:tblLook w:firstColumn="1" w:firstRow="1" w:lastColumn="0" w:lastRow="0" w:noHBand="0" w:noVBand="1" w:val="04A0"/>
      </w:tblPr>
      <w:tblGrid>
        <w:gridCol w:w="3364"/>
        <w:gridCol w:w="3364"/>
        <w:gridCol w:w="3364"/>
      </w:tblGrid>
      <w:tr>
        <w:trPr>
          <w:tblHeader w:val="true"/>
          <w:cantSplit/>
          <w:cantSplit/>
          <w:tblHeader w:val="true"/>
        </w:trPr>
        <w:tc>
          <w:tcPr>
            <w:tcW w:type="dxa" w:w="1134"/>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Component</w:t>
            </w:r>
          </w:p>
        </w:tc>
        <w:tc>
          <w:tcPr>
            <w:tcW w:type="dxa" w:w="3969"/>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Mathematical meaning</w:t>
            </w:r>
          </w:p>
        </w:tc>
        <w:tc>
          <w:tcPr>
            <w:tcW w:type="dxa" w:w="4252"/>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Applied meaning</w:t>
            </w:r>
          </w:p>
        </w:tc>
      </w:tr>
      <w:tr>
        <w:trPr>
          <w:cantSplit/>
          <w:cantSplit/>
        </w:trPr>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R</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Established content; realised object</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Fact, measurement, record, event</w:t>
            </w:r>
          </w:p>
        </w:tc>
      </w:tr>
      <w:tr>
        <w:trPr>
          <w:cantSplit/>
          <w:cantSplit/>
        </w:trPr>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I</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Invariant, idea, direction of assembly</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Norm, function, purpose, model</w:t>
            </w:r>
          </w:p>
        </w:tc>
      </w:tr>
      <w:tr>
        <w:trPr>
          <w:cantSplit/>
          <w:cantSplit/>
        </w:trPr>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U</w:t>
            </w:r>
          </w:p>
        </w:tc>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Class of admissible possibilities</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Alternatives, variants, neighbouring states</w:t>
            </w:r>
          </w:p>
        </w:tc>
      </w:tr>
      <w:tr>
        <w:trPr>
          <w:cantSplit/>
          <w:cantSplit/>
        </w:trPr>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D</w:t>
            </w:r>
          </w:p>
        </w:tc>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Sufficient foundation</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Source, proof, act, calculation, responsibility</w:t>
            </w:r>
          </w:p>
        </w:tc>
      </w:tr>
    </w:tbl>
    <w:p>
      <w:pPr>
        <w:spacing w:after="40"/>
      </w:pPr>
    </w:p>
    <w:p>
      <w:pPr>
        <w:pStyle w:val="Heading2"/>
        <w:keepNext/>
        <w:spacing w:before="100" w:after="80"/>
      </w:pPr>
      <w:r>
        <w:rPr>
          <w:rFonts w:ascii="DejaVu Sans" w:hAnsi="DejaVu Sans" w:eastAsia="DejaVu Sans"/>
          <w:b/>
          <w:i w:val="0"/>
          <w:color w:val="1F4E78"/>
          <w:sz w:val="25"/>
        </w:rPr>
        <w:t>5.2. Reper Axioms R1–R8</w:t>
      </w:r>
    </w:p>
    <w:tbl>
      <w:tblPr>
        <w:tblW w:type="auto" w:w="0"/>
        <w:jc w:val="center"/>
        <w:tblLook w:firstColumn="1" w:firstRow="1" w:lastColumn="0" w:lastRow="0" w:noHBand="0" w:noVBand="1" w:val="04A0"/>
      </w:tblPr>
      <w:tblGrid>
        <w:gridCol w:w="5046"/>
        <w:gridCol w:w="5046"/>
      </w:tblGrid>
      <w:tr>
        <w:trPr>
          <w:tblHeader w:val="true"/>
          <w:cantSplit/>
          <w:cantSplit/>
          <w:tblHeader w:val="true"/>
        </w:trPr>
        <w:tc>
          <w:tcPr>
            <w:tcW w:type="dxa" w:w="1247"/>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Axiom</w:t>
            </w:r>
          </w:p>
        </w:tc>
        <w:tc>
          <w:tcPr>
            <w:tcW w:type="dxa" w:w="8107"/>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Statement</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R1</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Every Reper is attached to a particular C@C object.</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R2</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R, I, and U are typed in one Dom or connected by explicit morphisms.</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R3</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D contains a verifiable reference to a foundation and is not replaced by verbal confidence.</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R4</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A change of any component creates a new Reper version.</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R5</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A Reper without D has status incomplete flag or review seed.</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R6</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Two Repers are comparable only after domains and scales have been aligned.</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R7</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Composition of Reper morphisms preserves the declared invariants.</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R8</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Reper status is part of the object and is recorded in the protocol.</w:t>
            </w:r>
          </w:p>
        </w:tc>
      </w:tr>
    </w:tbl>
    <w:p>
      <w:pPr>
        <w:spacing w:after="40"/>
      </w:pPr>
    </w:p>
    <w:p>
      <w:pPr>
        <w:pStyle w:val="Heading2"/>
        <w:keepNext/>
        <w:spacing w:before="100" w:after="80"/>
      </w:pPr>
      <w:r>
        <w:rPr>
          <w:rFonts w:ascii="DejaVu Sans" w:hAnsi="DejaVu Sans" w:eastAsia="DejaVu Sans"/>
          <w:b/>
          <w:i w:val="0"/>
          <w:color w:val="1F4E78"/>
          <w:sz w:val="25"/>
        </w:rPr>
        <w:t>5.3. Normalized Legacy Layer</w:t>
      </w:r>
    </w:p>
    <w:p>
      <w:pPr>
        <w:keepLines w:val="0"/>
        <w:spacing w:after="80" w:line="269" w:lineRule="auto"/>
        <w:ind w:firstLine="312"/>
        <w:jc w:val="both"/>
      </w:pPr>
      <w:r>
        <w:rPr>
          <w:rFonts w:ascii="DejaVu Serif" w:hAnsi="DejaVu Serif" w:eastAsia="DejaVu Serif"/>
          <w:b w:val="0"/>
          <w:i w:val="0"/>
          <w:sz w:val="21"/>
        </w:rPr>
        <w:t>The archived Monograph 5.0 defined Reper as a local projective-harmonic structure retaining the relation among reality, idea, the universe of possibilities, and sufficient foundation. R records what is actually given; I specifies the internal axis and assembly idea; U specifies the field of possibilities; D supplies evidential, documentary, and causal closure. Without D the object remains an incomplete flag rather than a truth-authorized quadruple.</w:t>
      </w:r>
    </w:p>
    <w:p>
      <w:pPr>
        <w:keepLines/>
        <w:spacing w:before="60" w:after="80"/>
        <w:jc w:val="center"/>
      </w:pPr>
      <w:r>
        <w:rPr>
          <w:rFonts w:ascii="DejaVu Serif" w:hAnsi="DejaVu Serif" w:eastAsia="DejaVu Serif"/>
          <w:b w:val="0"/>
          <w:i w:val="0"/>
          <w:color w:val="173B63"/>
          <w:sz w:val="22"/>
        </w:rPr>
        <w:t>Repᵢ=(Rᵢ,Iᵢ,Uᵢ;Dᵢ),      Truth(Rep) ⇔ cr(U,I;R,D)=−1</w:t>
      </w:r>
      <w:r>
        <w:rPr>
          <w:rFonts w:ascii="DejaVu Sans" w:hAnsi="DejaVu Sans" w:eastAsia="DejaVu Sans"/>
          <w:b w:val="0"/>
          <w:i w:val="0"/>
          <w:color w:val="5E6873"/>
          <w:sz w:val="15"/>
        </w:rPr>
        <w:t xml:space="preserve">    [normalized legacy formula]</w:t>
      </w:r>
    </w:p>
    <w:p>
      <w:pPr>
        <w:pStyle w:val="Heading2"/>
        <w:keepNext/>
        <w:spacing w:before="100" w:after="80"/>
      </w:pPr>
      <w:r>
        <w:rPr>
          <w:rFonts w:ascii="DejaVu Sans" w:hAnsi="DejaVu Sans" w:eastAsia="DejaVu Sans"/>
          <w:b/>
          <w:i w:val="0"/>
          <w:color w:val="1F4E78"/>
          <w:sz w:val="25"/>
        </w:rPr>
        <w:t>5.4. Typed Reper and the Foundation-Forgetting Morphism</w:t>
      </w:r>
    </w:p>
    <w:p>
      <w:pPr>
        <w:keepLines w:val="0"/>
        <w:spacing w:after="80" w:line="269" w:lineRule="auto"/>
        <w:ind w:firstLine="312"/>
        <w:jc w:val="both"/>
      </w:pPr>
      <w:r>
        <w:rPr>
          <w:rFonts w:ascii="DejaVu Serif" w:hAnsi="DejaVu Serif" w:eastAsia="DejaVu Serif"/>
          <w:b w:val="0"/>
          <w:i w:val="0"/>
          <w:sz w:val="21"/>
        </w:rPr>
        <w:t>Let Ω be an admissible domain; let X_R(Ω), X_I(Ω), and X_U(Ω) be typed spaces of realised content, idea, and admissible possibilities; and let E(Ω) be the set of verifiable foundations. A typed Reper of x is</w:t>
      </w:r>
    </w:p>
    <w:p>
      <w:pPr>
        <w:keepLines/>
        <w:spacing w:before="60" w:after="80"/>
        <w:jc w:val="center"/>
      </w:pPr>
      <w:r>
        <w:rPr>
          <w:rFonts w:ascii="DejaVu Serif" w:hAnsi="DejaVu Serif" w:eastAsia="DejaVu Serif"/>
          <w:b w:val="0"/>
          <w:i w:val="0"/>
          <w:color w:val="173B63"/>
          <w:sz w:val="22"/>
        </w:rPr>
        <w:t>Rep_Ω(x)=(Rₓ,Iₓ,Uₓ;Dₓ),   Rₓ∈X_R(Ω), Iₓ∈X_I(Ω), Uₓ∈X_U(Ω), Dₓ∈E(Ω)</w:t>
      </w:r>
      <w:r>
        <w:rPr>
          <w:rFonts w:ascii="DejaVu Sans" w:hAnsi="DejaVu Sans" w:eastAsia="DejaVu Sans"/>
          <w:b w:val="0"/>
          <w:i w:val="0"/>
          <w:color w:val="5E6873"/>
          <w:sz w:val="15"/>
        </w:rPr>
        <w:t xml:space="preserve">    [RU p. 21]</w:t>
      </w:r>
    </w:p>
    <w:p>
      <w:pPr>
        <w:keepLines w:val="0"/>
        <w:spacing w:after="80" w:line="269" w:lineRule="auto"/>
        <w:ind w:firstLine="312"/>
        <w:jc w:val="both"/>
      </w:pPr>
      <w:r>
        <w:rPr>
          <w:rFonts w:ascii="DejaVu Serif" w:hAnsi="DejaVu Serif" w:eastAsia="DejaVu Serif"/>
          <w:b w:val="0"/>
          <w:i w:val="0"/>
          <w:sz w:val="21"/>
        </w:rPr>
        <w:t>The predicate Dom_Ω(Rep)=1 means simultaneously that all components are defined, all maps are type-correct, denominators and inverse operators exist, and the reference Dₓ resolves to a verifiable object. Dom and D are therefore not interchangeable: Dom controls mathematical definedness; D controls sufficiency of foundation.</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Proposition 5.1 — Monotonicity under Forgetting D [PROP]  </w:t>
            </w:r>
            <w:r>
              <w:rPr>
                <w:rFonts w:ascii="DejaVu Serif" w:hAnsi="DejaVu Serif" w:eastAsia="DejaVu Serif"/>
                <w:b w:val="0"/>
                <w:color w:val="111111"/>
                <w:sz w:val="18"/>
              </w:rPr>
              <w:t>Let π_D(R,I,U;D)=(R,I,U) be the foundation-forgetting morphism and let σ be an evidence status monotone under inclusion of verifiable evidence. Then σ(π_D Rep)≤σ(Rep). If the target status requires D by definition, π_D causes a strict downgrade.</w:t>
            </w:r>
          </w:p>
        </w:tc>
      </w:tr>
    </w:tbl>
    <w:p>
      <w:pPr>
        <w:spacing w:after="20"/>
      </w:pPr>
    </w:p>
    <w:p>
      <w:pPr>
        <w:spacing w:after="80" w:line="264" w:lineRule="auto"/>
        <w:ind w:firstLine="312"/>
        <w:jc w:val="both"/>
      </w:pPr>
      <w:r>
        <w:rPr>
          <w:rFonts w:ascii="DejaVu Serif" w:hAnsi="DejaVu Serif" w:eastAsia="DejaVu Serif"/>
          <w:b/>
          <w:sz w:val="20"/>
        </w:rPr>
        <w:t xml:space="preserve">Proof. </w:t>
      </w:r>
      <w:r>
        <w:rPr>
          <w:rFonts w:ascii="DejaVu Serif" w:hAnsi="DejaVu Serif" w:eastAsia="DejaVu Serif"/>
          <w:sz w:val="20"/>
        </w:rPr>
        <w:t>The morphism π_D adds no evidence and removes D. Monotonicity of σ under the evidence order prevents an increase. If D belongs to the mandatory gates of the target status, those gates fail after forgetting and the stronger status cannot be retained.</w:t>
      </w:r>
    </w:p>
    <w:tbl>
      <w:tblPr>
        <w:tblW w:type="auto" w:w="0"/>
        <w:jc w:val="center"/>
        <w:tblLook w:firstColumn="1" w:firstRow="1" w:lastColumn="0" w:lastRow="0" w:noHBand="0" w:noVBand="1" w:val="04A0"/>
      </w:tblPr>
      <w:tblGrid>
        <w:gridCol w:w="10092"/>
      </w:tblGrid>
      <w:tr>
        <w:trPr>
          <w:cantSplit/>
          <w:tblHeader w:val="true"/>
        </w:trPr>
        <w:tc>
          <w:tcPr>
            <w:tcW w:type="dxa" w:w="10092"/>
            <w:shd w:fill="F8E6E4"/>
            <w:tcMar>
              <w:top w:w="90" w:type="dxa"/>
              <w:start w:w="100" w:type="dxa"/>
              <w:bottom w:w="90" w:type="dxa"/>
              <w:end w:w="100" w:type="dxa"/>
            </w:tcMar>
            <w:vAlign w:val="center"/>
          </w:tcPr>
          <w:p>
            <w:pPr>
              <w:spacing w:after="0" w:line="252" w:lineRule="auto" w:before="0"/>
            </w:pPr>
            <w:r>
              <w:rPr>
                <w:rFonts w:ascii="DejaVu Serif" w:hAnsi="DejaVu Serif" w:eastAsia="DejaVu Serif"/>
                <w:b/>
                <w:color w:val="A32626"/>
                <w:sz w:val="18"/>
              </w:rPr>
              <w:t xml:space="preserve">EDITORIAL BOUNDARY.  </w:t>
            </w:r>
            <w:r>
              <w:rPr>
                <w:rFonts w:ascii="DejaVu Serif" w:hAnsi="DejaVu Serif" w:eastAsia="DejaVu Serif"/>
                <w:b w:val="0"/>
                <w:color w:val="111111"/>
                <w:sz w:val="18"/>
              </w:rPr>
              <w:t>Proposition 5.1 belongs to the internal KLT-RBD evidence discipline. It does not assert that one universal status ladder applies to every science; each domain specifies its own gates.</w:t>
            </w:r>
          </w:p>
        </w:tc>
      </w:tr>
    </w:tbl>
    <w:p>
      <w:pPr>
        <w:spacing w:after="20"/>
      </w:pPr>
    </w:p>
    <w:p>
      <w:pPr>
        <w:pStyle w:val="Heading2"/>
        <w:keepNext/>
        <w:spacing w:before="100" w:after="80"/>
      </w:pPr>
      <w:r>
        <w:rPr>
          <w:rFonts w:ascii="DejaVu Sans" w:hAnsi="DejaVu Sans" w:eastAsia="DejaVu Sans"/>
          <w:b/>
          <w:i w:val="0"/>
          <w:color w:val="1F4E78"/>
          <w:sz w:val="25"/>
        </w:rPr>
        <w:t>5.5. Phenomenology of Foundation and Typed Horizon</w:t>
      </w:r>
    </w:p>
    <w:tbl>
      <w:tblPr>
        <w:tblW w:type="auto" w:w="0"/>
        <w:jc w:val="center"/>
        <w:tblLook w:firstColumn="1" w:firstRow="1" w:lastColumn="0" w:lastRow="0" w:noHBand="0" w:noVBand="1" w:val="04A0"/>
      </w:tblPr>
      <w:tblGrid>
        <w:gridCol w:w="10092"/>
      </w:tblGrid>
      <w:tr>
        <w:trPr>
          <w:cantSplit/>
          <w:tblHeader w:val="true"/>
        </w:trPr>
        <w:tc>
          <w:tcPr>
            <w:tcW w:type="dxa" w:w="10092"/>
            <w:shd w:fill="F6EEDB"/>
            <w:tcMar>
              <w:top w:w="90" w:type="dxa"/>
              <w:start w:w="100" w:type="dxa"/>
              <w:bottom w:w="90" w:type="dxa"/>
              <w:end w:w="100" w:type="dxa"/>
            </w:tcMar>
            <w:vAlign w:val="center"/>
          </w:tcPr>
          <w:p>
            <w:pPr>
              <w:spacing w:after="0" w:line="252" w:lineRule="auto" w:before="0"/>
            </w:pPr>
            <w:r>
              <w:rPr>
                <w:rFonts w:ascii="DejaVu Serif" w:hAnsi="DejaVu Serif" w:eastAsia="DejaVu Serif"/>
                <w:b/>
                <w:color w:val="A87918"/>
                <w:sz w:val="18"/>
              </w:rPr>
              <w:t xml:space="preserve">PHILOSOPHICAL INSERT.  </w:t>
            </w:r>
            <w:r>
              <w:rPr>
                <w:rFonts w:ascii="DejaVu Serif" w:hAnsi="DejaVu Serif" w:eastAsia="DejaVu Serif"/>
                <w:b w:val="0"/>
                <w:color w:val="111111"/>
                <w:sz w:val="18"/>
              </w:rPr>
              <w:t>A Reper is not a label attached to an already completed object. It records that the object is given together with a horizon of admissible interpretations and a foundation that distinguishes what is asserted from what is merely conceivable. Forgetting D changes not only the record but the epistemic mode in which the object is present in reasoning.</w:t>
            </w:r>
          </w:p>
        </w:tc>
      </w:tr>
    </w:tbl>
    <w:p>
      <w:pPr>
        <w:spacing w:after="20"/>
      </w:pPr>
    </w:p>
    <w:p>
      <w:pPr>
        <w:keepLines w:val="0"/>
        <w:spacing w:after="80" w:line="269" w:lineRule="auto"/>
        <w:ind w:firstLine="312"/>
        <w:jc w:val="both"/>
      </w:pPr>
      <w:r>
        <w:rPr>
          <w:rFonts w:ascii="DejaVu Serif" w:hAnsi="DejaVu Serif" w:eastAsia="DejaVu Serif"/>
          <w:b w:val="0"/>
          <w:i w:val="0"/>
          <w:sz w:val="21"/>
        </w:rPr>
        <w:t>Example. Two packets may have identical (R,I,U) components but different foundations D₁ and D₂: the first leads to a reproducible measurement, while the second leads to an unverifiable report. After applying π_D the packets become indistinguishable at the data level although their evidential statuses differ.</w:t>
      </w:r>
    </w:p>
    <w:p>
      <w:pPr>
        <w:pStyle w:val="Heading2"/>
        <w:keepNext/>
        <w:spacing w:before="100" w:after="80"/>
      </w:pPr>
      <w:r>
        <w:rPr>
          <w:rFonts w:ascii="DejaVu Sans" w:hAnsi="DejaVu Sans" w:eastAsia="DejaVu Sans"/>
          <w:b/>
          <w:i w:val="0"/>
          <w:color w:val="1F4E78"/>
          <w:sz w:val="25"/>
        </w:rPr>
        <w:t>5.6. Typed Reper and Its Morphisms</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Definition 5.2 [DEF-A].  </w:t>
            </w:r>
            <w:r>
              <w:rPr>
                <w:rFonts w:ascii="DejaVu Serif" w:hAnsi="DejaVu Serif" w:eastAsia="DejaVu Serif"/>
                <w:b w:val="0"/>
                <w:color w:val="111111"/>
                <w:sz w:val="18"/>
              </w:rPr>
              <w:t>A typed Reper is Rep_X=(R_X,I_X,U_X;D_X,Dom_X), where R_X is realised content, I_X an invariant or selected idea, U_X a space of admissible alternatives, D_X a sufficient foundation, and Dom_X the domain on which all components and relations are defined.</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Definition 5.3 [DEF-A].  </w:t>
            </w:r>
            <w:r>
              <w:rPr>
                <w:rFonts w:ascii="DejaVu Serif" w:hAnsi="DejaVu Serif" w:eastAsia="DejaVu Serif"/>
                <w:b w:val="0"/>
                <w:color w:val="111111"/>
                <w:sz w:val="18"/>
              </w:rPr>
              <w:t>A morphism F:Rep_X→Rep_Y is a quintuple (F_R,F_I,F_U,F_D,F_Dom). F_Dom sends admissible inputs of Dom_X to Dom_Y; F_D transports foundations and preserves every verifiable dependency used for status authorization.</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Theorem 5.4 — Category of Typed Repers [THM]  </w:t>
            </w:r>
            <w:r>
              <w:rPr>
                <w:rFonts w:ascii="DejaVu Serif" w:hAnsi="DejaVu Serif" w:eastAsia="DejaVu Serif"/>
                <w:b w:val="0"/>
                <w:color w:val="111111"/>
                <w:sz w:val="18"/>
              </w:rPr>
              <w:t>Identity quintuples are morphisms. If F:Rep_X→Rep_Y and G:Rep_Y→Rep_Z are type-compatible, F_Dom(Dom_X)⊆Dom_Y, and G_Dom(Dom_Y)⊆Dom_Z, then componentwise composition G∘F is a Reper morphism. Composition is associative.</w:t>
            </w:r>
          </w:p>
        </w:tc>
      </w:tr>
    </w:tbl>
    <w:p>
      <w:pPr>
        <w:spacing w:after="20"/>
      </w:pPr>
    </w:p>
    <w:p>
      <w:pPr>
        <w:spacing w:after="80" w:line="264" w:lineRule="auto"/>
        <w:ind w:firstLine="312"/>
        <w:jc w:val="both"/>
      </w:pPr>
      <w:r>
        <w:rPr>
          <w:rFonts w:ascii="DejaVu Serif" w:hAnsi="DejaVu Serif" w:eastAsia="DejaVu Serif"/>
          <w:b/>
          <w:sz w:val="20"/>
        </w:rPr>
        <w:t xml:space="preserve">Proof. </w:t>
      </w:r>
      <w:r>
        <w:rPr>
          <w:rFonts w:ascii="DejaVu Serif" w:hAnsi="DejaVu Serif" w:eastAsia="DejaVu Serif"/>
          <w:sz w:val="20"/>
        </w:rPr>
        <w:t>Every component of the composition is defined by the domain conditions. Preservation of D-dependencies follows by successive application of F_D and G_D. Identity and associativity are inherited from the component maps.</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Corollary 5.5 [THM].  </w:t>
            </w:r>
            <w:r>
              <w:rPr>
                <w:rFonts w:ascii="DejaVu Serif" w:hAnsi="DejaVu Serif" w:eastAsia="DejaVu Serif"/>
                <w:b w:val="0"/>
                <w:color w:val="111111"/>
                <w:sz w:val="18"/>
              </w:rPr>
              <w:t>The forgetful functor Z:Reper→Pack that removes D does not reflect evidential status: an isomorphism Z(Rep_X)≅Z(Rep_Y) does not imply equivalence of foundations D_X and D_Y.</w:t>
            </w:r>
          </w:p>
        </w:tc>
      </w:tr>
    </w:tbl>
    <w:p>
      <w:pPr>
        <w:spacing w:after="20"/>
      </w:pPr>
    </w:p>
    <w:p>
      <w:pPr>
        <w:pStyle w:val="Heading2"/>
        <w:keepNext/>
        <w:spacing w:before="100" w:after="80"/>
      </w:pPr>
      <w:r>
        <w:rPr>
          <w:rFonts w:ascii="DejaVu Sans" w:hAnsi="DejaVu Sans" w:eastAsia="DejaVu Sans"/>
          <w:b/>
          <w:i w:val="0"/>
          <w:color w:val="1F4E78"/>
          <w:sz w:val="25"/>
        </w:rPr>
        <w:t>5.7. Independence of D and Dom</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Lemma 5.6 [LEM]  </w:t>
            </w:r>
            <w:r>
              <w:rPr>
                <w:rFonts w:ascii="DejaVu Serif" w:hAnsi="DejaVu Serif" w:eastAsia="DejaVu Serif"/>
                <w:b w:val="0"/>
                <w:color w:val="111111"/>
                <w:sz w:val="18"/>
              </w:rPr>
              <w:t>D and Dom are logically independent: Dom may be nonempty while D is absent, and a formal D may be specified while Dom is empty.</w:t>
            </w:r>
          </w:p>
        </w:tc>
      </w:tr>
    </w:tbl>
    <w:p>
      <w:pPr>
        <w:spacing w:after="20"/>
      </w:pPr>
    </w:p>
    <w:p>
      <w:pPr>
        <w:spacing w:after="80" w:line="264" w:lineRule="auto"/>
        <w:ind w:firstLine="312"/>
        <w:jc w:val="both"/>
      </w:pPr>
      <w:r>
        <w:rPr>
          <w:rFonts w:ascii="DejaVu Serif" w:hAnsi="DejaVu Serif" w:eastAsia="DejaVu Serif"/>
          <w:b/>
          <w:sz w:val="20"/>
        </w:rPr>
        <w:t xml:space="preserve">Proof. </w:t>
      </w:r>
      <w:r>
        <w:rPr>
          <w:rFonts w:ascii="DejaVu Serif" w:hAnsi="DejaVu Serif" w:eastAsia="DejaVu Serif"/>
          <w:sz w:val="20"/>
        </w:rPr>
        <w:t>In the first case a formula is computable on a nonempty set but lacks a foundation for the required interpretation. In the second case axioms D are written down but no object satisfies the joint domain constraints. Neither situation entails the other.</w:t>
      </w:r>
    </w:p>
    <w:tbl>
      <w:tblPr>
        <w:tblW w:type="auto" w:w="0"/>
        <w:jc w:val="center"/>
        <w:tblLook w:firstColumn="1" w:firstRow="1" w:lastColumn="0" w:lastRow="0" w:noHBand="0" w:noVBand="1" w:val="04A0"/>
      </w:tblPr>
      <w:tblGrid>
        <w:gridCol w:w="10092"/>
      </w:tblGrid>
      <w:tr>
        <w:trPr>
          <w:cantSplit/>
          <w:tblHeader w:val="true"/>
        </w:trPr>
        <w:tc>
          <w:tcPr>
            <w:tcW w:type="dxa" w:w="10092"/>
            <w:shd w:fill="F8E6E4"/>
            <w:tcMar>
              <w:top w:w="90" w:type="dxa"/>
              <w:start w:w="100" w:type="dxa"/>
              <w:bottom w:w="90" w:type="dxa"/>
              <w:end w:w="100" w:type="dxa"/>
            </w:tcMar>
            <w:vAlign w:val="center"/>
          </w:tcPr>
          <w:p>
            <w:pPr>
              <w:spacing w:after="0" w:line="252" w:lineRule="auto" w:before="0"/>
            </w:pPr>
            <w:r>
              <w:rPr>
                <w:rFonts w:ascii="DejaVu Serif" w:hAnsi="DejaVu Serif" w:eastAsia="DejaVu Serif"/>
                <w:b/>
                <w:color w:val="A32626"/>
                <w:sz w:val="18"/>
              </w:rPr>
              <w:t xml:space="preserve">Counterexample 5.7.  </w:t>
            </w:r>
            <w:r>
              <w:rPr>
                <w:rFonts w:ascii="DejaVu Serif" w:hAnsi="DejaVu Serif" w:eastAsia="DejaVu Serif"/>
                <w:b w:val="0"/>
                <w:color w:val="111111"/>
                <w:sz w:val="18"/>
              </w:rPr>
              <w:t>Let f(x)=1/x. With Dom=ℝ∖{0}, f(1) is computable; without D connecting f to an observable quantity, an empirical conclusion is unauthorized. Conversely, a physical theory may provide D for an idealized object while experimental restrictions make the selected sample domain empty.</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EAF1F7"/>
            <w:tcMar>
              <w:top w:w="90" w:type="dxa"/>
              <w:start w:w="100" w:type="dxa"/>
              <w:bottom w:w="90" w:type="dxa"/>
              <w:end w:w="100" w:type="dxa"/>
            </w:tcMar>
            <w:vAlign w:val="center"/>
          </w:tcPr>
          <w:p>
            <w:pPr>
              <w:spacing w:after="0" w:line="252" w:lineRule="auto" w:before="0"/>
            </w:pPr>
            <w:r>
              <w:rPr>
                <w:rFonts w:ascii="DejaVu Serif" w:hAnsi="DejaVu Serif" w:eastAsia="DejaVu Serif"/>
                <w:b/>
                <w:color w:val="173B63"/>
                <w:sz w:val="18"/>
              </w:rPr>
              <w:t xml:space="preserve">REPER GATE.  </w:t>
            </w:r>
            <w:r>
              <w:rPr>
                <w:rFonts w:ascii="DejaVu Serif" w:hAnsi="DejaVu Serif" w:eastAsia="DejaVu Serif"/>
                <w:b w:val="0"/>
                <w:color w:val="111111"/>
                <w:sz w:val="18"/>
              </w:rPr>
              <w:t>Status promotion is permitted only when compatible D and Dom are both present. “The formula was computed” is not equivalent to “the conclusion is justified.”</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F6EEDB"/>
            <w:tcMar>
              <w:top w:w="90" w:type="dxa"/>
              <w:start w:w="100" w:type="dxa"/>
              <w:bottom w:w="90" w:type="dxa"/>
              <w:end w:w="100" w:type="dxa"/>
            </w:tcMar>
            <w:vAlign w:val="center"/>
          </w:tcPr>
          <w:p>
            <w:pPr>
              <w:spacing w:after="0" w:line="252" w:lineRule="auto" w:before="0"/>
            </w:pPr>
            <w:r>
              <w:rPr>
                <w:rFonts w:ascii="DejaVu Serif" w:hAnsi="DejaVu Serif" w:eastAsia="DejaVu Serif"/>
                <w:b/>
                <w:color w:val="A87918"/>
                <w:sz w:val="18"/>
              </w:rPr>
              <w:t xml:space="preserve">PHENOMENOLOGICAL INSERT.  </w:t>
            </w:r>
            <w:r>
              <w:rPr>
                <w:rFonts w:ascii="DejaVu Serif" w:hAnsi="DejaVu Serif" w:eastAsia="DejaVu Serif"/>
                <w:b w:val="0"/>
                <w:color w:val="111111"/>
                <w:sz w:val="18"/>
              </w:rPr>
              <w:t>Dom answers where a thought can occur without contradicting its own conditions. D answers why that completed thought is entitled to count as a conclusion. The space of possibility and the foundation of actuality meet in Reper but do not dissolve into one another.</w:t>
            </w:r>
          </w:p>
        </w:tc>
      </w:tr>
    </w:tbl>
    <w:p>
      <w:pPr>
        <w:spacing w:after="20"/>
      </w:pPr>
    </w:p>
    <w:p>
      <w:pPr>
        <w:pStyle w:val="Heading1"/>
        <w:keepNext/>
        <w:spacing w:before="160" w:after="80"/>
      </w:pPr>
      <w:bookmarkStart w:id="1005" w:name="T1_CH_06"/>
      <w:r>
        <w:rPr>
          <w:rFonts w:ascii="DejaVu Sans" w:hAnsi="DejaVu Sans" w:eastAsia="DejaVu Sans"/>
          <w:b/>
          <w:i w:val="0"/>
          <w:color w:val="1F4E78"/>
          <w:sz w:val="32"/>
        </w:rPr>
        <w:t>Chapter 6. Projective-Harmonic Cross-Ratio</w:t>
      </w:r>
      <w:bookmarkEnd w:id="1005"/>
    </w:p>
    <w:p>
      <w:pPr>
        <w:spacing w:after="60" w:line="259" w:lineRule="auto"/>
        <w:jc w:val="left"/>
      </w:pPr>
      <w:r>
        <w:rPr>
          <w:rFonts w:ascii="DejaVu Serif" w:hAnsi="DejaVu Serif" w:eastAsia="DejaVu Serif"/>
          <w:b w:val="0"/>
          <w:i/>
          <w:color w:val="5E6873"/>
          <w:sz w:val="18"/>
        </w:rPr>
        <w:t>Russian source locator: pp. 23–26</w:t>
      </w:r>
    </w:p>
    <w:tbl>
      <w:tblPr>
        <w:tblW w:type="auto" w:w="0"/>
        <w:jc w:val="center"/>
        <w:tblLook w:firstColumn="1" w:firstRow="1" w:lastColumn="0" w:lastRow="0" w:noHBand="0" w:noVBand="1" w:val="04A0"/>
      </w:tblPr>
      <w:tblGrid>
        <w:gridCol w:w="5046"/>
        <w:gridCol w:w="5046"/>
      </w:tblGrid>
      <w:tr>
        <w:trPr>
          <w:cantSplit/>
          <w:cantSplit/>
          <w:tblHeader w:val="true"/>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PLAIN-LANGUAGE MEANING</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The chapter introduces a numerical invariant comparing four Reper components and selecting the harmonic configuration λ=−1.</w:t>
            </w:r>
          </w:p>
        </w:tc>
      </w:tr>
      <w:tr>
        <w:trPr>
          <w:cantSplit/>
          <w:cantSplit/>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MATHEMATICAL CORE</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Scalar, complex, homogeneous/projective, and matrix/operator regimes are distinguished; the admissible domain and deviation from harmonicity are recorded.</w:t>
            </w:r>
          </w:p>
        </w:tc>
      </w:tr>
      <w:tr>
        <w:trPr>
          <w:cantSplit/>
          <w:cantSplit/>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BOUNDARY OF THE CLAIM</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Projective invariance of λ does not replace Dom and D, and λ is not by itself an empirical criterion of truth.</w:t>
            </w:r>
          </w:p>
        </w:tc>
      </w:tr>
      <w:tr>
        <w:trPr>
          <w:cantSplit/>
          <w:cantSplit/>
        </w:trPr>
        <w:tc>
          <w:tcPr>
            <w:tcW w:type="dxa" w:w="1814"/>
            <w:tcMar>
              <w:top w:w="90" w:type="dxa"/>
              <w:start w:w="100" w:type="dxa"/>
              <w:bottom w:w="90" w:type="dxa"/>
              <w:end w:w="100" w:type="dxa"/>
            </w:tcMar>
            <w:vAlign w:val="center"/>
            <w:shd w:fill="A87918"/>
          </w:tcPr>
          <w:p>
            <w:pPr>
              <w:spacing w:after="0" w:before="0" w:line="252" w:lineRule="auto"/>
              <w:jc w:val="center"/>
            </w:pPr>
            <w:r>
              <w:rPr>
                <w:rFonts w:ascii="DejaVu Serif" w:hAnsi="DejaVu Serif" w:eastAsia="DejaVu Serif"/>
                <w:b/>
                <w:color w:val="FFFFFF"/>
                <w:sz w:val="18"/>
              </w:rPr>
              <w:t>STATUS</w:t>
            </w:r>
          </w:p>
        </w:tc>
        <w:tc>
          <w:tcPr>
            <w:tcW w:type="dxa" w:w="7483"/>
            <w:tcMar>
              <w:top w:w="90" w:type="dxa"/>
              <w:start w:w="100" w:type="dxa"/>
              <w:bottom w:w="90" w:type="dxa"/>
              <w:end w:w="100" w:type="dxa"/>
            </w:tcMar>
            <w:vAlign w:val="center"/>
            <w:shd w:fill="F6EEDB"/>
          </w:tcPr>
          <w:p>
            <w:pPr>
              <w:spacing w:after="0" w:before="0" w:line="252" w:lineRule="auto"/>
              <w:jc w:val="left"/>
            </w:pPr>
            <w:r>
              <w:rPr>
                <w:rFonts w:ascii="DejaVu Serif" w:hAnsi="DejaVu Serif" w:eastAsia="DejaVu Serif"/>
                <w:b w:val="0"/>
                <w:color w:val="111111"/>
                <w:sz w:val="18"/>
              </w:rPr>
              <w:t>CLASSICAL INVARIANT + AUTHORIAL INTERPRETATION</w:t>
            </w:r>
          </w:p>
        </w:tc>
      </w:tr>
    </w:tbl>
    <w:p>
      <w:pPr>
        <w:spacing w:after="20"/>
      </w:pPr>
    </w:p>
    <w:p>
      <w:pPr>
        <w:keepLines w:val="0"/>
        <w:spacing w:after="80" w:line="269" w:lineRule="auto"/>
        <w:ind w:firstLine="312"/>
        <w:jc w:val="both"/>
      </w:pPr>
      <w:r>
        <w:rPr>
          <w:rFonts w:ascii="DejaVu Serif" w:hAnsi="DejaVu Serif" w:eastAsia="DejaVu Serif"/>
          <w:b w:val="0"/>
          <w:i w:val="0"/>
          <w:sz w:val="21"/>
        </w:rPr>
        <w:t>The cross-ratio is a classical projective invariant of four collinear points. In packet Reper logic it is used as a coordinate of consistency among the four Reper roles. The authorial contribution is not the cross-ratio itself but its inclusion in a typed structure containing D/Dom, proof status, and an RBD route.</w:t>
      </w:r>
    </w:p>
    <w:p>
      <w:pPr>
        <w:keepLines/>
        <w:spacing w:before="60" w:after="80"/>
        <w:jc w:val="center"/>
      </w:pPr>
      <w:r>
        <w:rPr>
          <w:rFonts w:ascii="DejaVu Serif" w:hAnsi="DejaVu Serif" w:eastAsia="DejaVu Serif"/>
          <w:b w:val="0"/>
          <w:i w:val="0"/>
          <w:color w:val="173B63"/>
          <w:sz w:val="22"/>
        </w:rPr>
        <w:t>λ = cr(U,I;R,D) = ((U−R)(I−D))/((U−D)(I−R))</w:t>
      </w:r>
      <w:r>
        <w:rPr>
          <w:rFonts w:ascii="DejaVu Sans" w:hAnsi="DejaVu Sans" w:eastAsia="DejaVu Sans"/>
          <w:b w:val="0"/>
          <w:i w:val="0"/>
          <w:color w:val="5E6873"/>
          <w:sz w:val="15"/>
        </w:rPr>
        <w:t xml:space="preserve">    [RU p. 23]</w:t>
      </w:r>
    </w:p>
    <w:p>
      <w:pPr>
        <w:keepLines/>
        <w:spacing w:before="60" w:after="80"/>
        <w:jc w:val="center"/>
      </w:pPr>
      <w:r>
        <w:rPr>
          <w:rFonts w:ascii="DejaVu Serif" w:hAnsi="DejaVu Serif" w:eastAsia="DejaVu Serif"/>
          <w:b w:val="0"/>
          <w:i w:val="0"/>
          <w:color w:val="173B63"/>
          <w:sz w:val="22"/>
        </w:rPr>
        <w:t>δ_truth = |λ+1|</w:t>
      </w:r>
      <w:r>
        <w:rPr>
          <w:rFonts w:ascii="DejaVu Sans" w:hAnsi="DejaVu Sans" w:eastAsia="DejaVu Sans"/>
          <w:b w:val="0"/>
          <w:i w:val="0"/>
          <w:color w:val="5E6873"/>
          <w:sz w:val="15"/>
        </w:rPr>
        <w:t xml:space="preserve">    [RU p. 23]</w:t>
      </w:r>
    </w:p>
    <w:p>
      <w:pPr>
        <w:keepNext/>
        <w:jc w:val="center"/>
      </w:pPr>
      <w:r>
        <w:drawing>
          <wp:inline xmlns:a="http://schemas.openxmlformats.org/drawingml/2006/main" xmlns:pic="http://schemas.openxmlformats.org/drawingml/2006/picture">
            <wp:extent cx="5688000" cy="2587163"/>
            <wp:docPr id="9" name="Picture 9"/>
            <wp:cNvGraphicFramePr>
              <a:graphicFrameLocks noChangeAspect="1"/>
            </wp:cNvGraphicFramePr>
            <a:graphic>
              <a:graphicData uri="http://schemas.openxmlformats.org/drawingml/2006/picture">
                <pic:pic>
                  <pic:nvPicPr>
                    <pic:cNvPr id="0" name="fig_ch6_crossratio.png"/>
                    <pic:cNvPicPr/>
                  </pic:nvPicPr>
                  <pic:blipFill>
                    <a:blip r:embed="rId21"/>
                    <a:stretch>
                      <a:fillRect/>
                    </a:stretch>
                  </pic:blipFill>
                  <pic:spPr>
                    <a:xfrm>
                      <a:off x="0" y="0"/>
                      <a:ext cx="5688000" cy="2587163"/>
                    </a:xfrm>
                    <a:prstGeom prst="rect"/>
                  </pic:spPr>
                </pic:pic>
              </a:graphicData>
            </a:graphic>
          </wp:inline>
        </w:drawing>
      </w:r>
    </w:p>
    <w:p>
      <w:pPr>
        <w:keepNext w:val="0"/>
        <w:spacing w:after="100"/>
        <w:jc w:val="center"/>
      </w:pPr>
      <w:bookmarkStart w:id="1066" w:name="T1_FIG_008"/>
      <w:r>
        <w:rPr>
          <w:rFonts w:ascii="DejaVu Serif" w:hAnsi="DejaVu Serif" w:eastAsia="DejaVu Serif"/>
          <w:b w:val="0"/>
          <w:i/>
          <w:color w:val="5E6873"/>
          <w:sz w:val="18"/>
        </w:rPr>
        <w:t>Figure 6.1. Harmonic Reper quadruple and the value λ=−1.</w:t>
      </w:r>
      <w:bookmarkEnd w:id="1066"/>
    </w:p>
    <w:p>
      <w:pPr>
        <w:pStyle w:val="Heading2"/>
        <w:keepNext/>
        <w:spacing w:before="100" w:after="80"/>
      </w:pPr>
      <w:r>
        <w:rPr>
          <w:rFonts w:ascii="DejaVu Sans" w:hAnsi="DejaVu Sans" w:eastAsia="DejaVu Sans"/>
          <w:b/>
          <w:i w:val="0"/>
          <w:color w:val="1F4E78"/>
          <w:sz w:val="25"/>
        </w:rPr>
        <w:t>6.1. Harmonic Closure</w:t>
      </w:r>
    </w:p>
    <w:p>
      <w:pPr>
        <w:keepLines w:val="0"/>
        <w:spacing w:after="80" w:line="269" w:lineRule="auto"/>
        <w:ind w:firstLine="312"/>
        <w:jc w:val="both"/>
      </w:pPr>
      <w:r>
        <w:rPr>
          <w:rFonts w:ascii="DejaVu Serif" w:hAnsi="DejaVu Serif" w:eastAsia="DejaVu Serif"/>
          <w:b w:val="0"/>
          <w:i w:val="0"/>
          <w:sz w:val="21"/>
        </w:rPr>
        <w:t>The value λ=−1 corresponds to a harmonic quadruple. In the project it is interpreted as structural closure of a Reper. Structural closure is not identical to proved truth: it is one necessary but insufficient gate.</w:t>
      </w:r>
    </w:p>
    <w:p>
      <w:pPr>
        <w:pStyle w:val="Heading2"/>
        <w:keepNext/>
        <w:spacing w:before="100" w:after="80"/>
      </w:pPr>
      <w:r>
        <w:rPr>
          <w:rFonts w:ascii="DejaVu Sans" w:hAnsi="DejaVu Sans" w:eastAsia="DejaVu Sans"/>
          <w:b/>
          <w:i w:val="0"/>
          <w:color w:val="1F4E78"/>
          <w:sz w:val="25"/>
        </w:rPr>
        <w:t>6.2. Complex, Matrix, and Operator Forms</w:t>
      </w:r>
    </w:p>
    <w:p>
      <w:pPr>
        <w:keepLines w:val="0"/>
        <w:spacing w:after="80" w:line="269" w:lineRule="auto"/>
        <w:ind w:firstLine="312"/>
        <w:jc w:val="both"/>
      </w:pPr>
      <w:r>
        <w:rPr>
          <w:rFonts w:ascii="DejaVu Serif" w:hAnsi="DejaVu Serif" w:eastAsia="DejaVu Serif"/>
          <w:b w:val="0"/>
          <w:i w:val="0"/>
          <w:sz w:val="21"/>
        </w:rPr>
        <w:t>For complex coordinates the formula remains valid when all denominators are nonzero. In noncommutative, matrix, or operator regimes the order of factors must be fixed, and invariance requires a separate theorem. The scalar formula may not be copied mechanically into a matrix domain and then treated as proved.</w:t>
      </w:r>
    </w:p>
    <w:p>
      <w:pPr>
        <w:pStyle w:val="Heading2"/>
        <w:keepNext/>
        <w:spacing w:before="100" w:after="80"/>
      </w:pPr>
      <w:r>
        <w:rPr>
          <w:rFonts w:ascii="DejaVu Sans" w:hAnsi="DejaVu Sans" w:eastAsia="DejaVu Sans"/>
          <w:b/>
          <w:i w:val="0"/>
          <w:color w:val="1F4E78"/>
          <w:sz w:val="25"/>
        </w:rPr>
        <w:t>6.3. Calibration and Numerical Error</w:t>
      </w:r>
    </w:p>
    <w:p>
      <w:pPr>
        <w:keepLines w:val="0"/>
        <w:spacing w:after="80" w:line="269" w:lineRule="auto"/>
        <w:ind w:firstLine="312"/>
        <w:jc w:val="both"/>
      </w:pPr>
      <w:r>
        <w:rPr>
          <w:rFonts w:ascii="DejaVu Serif" w:hAnsi="DejaVu Serif" w:eastAsia="DejaVu Serif"/>
          <w:b w:val="0"/>
          <w:i w:val="0"/>
          <w:sz w:val="21"/>
        </w:rPr>
        <w:t>Numerical analysis requires tolerances, sensitivity to point permutations, and uncertainty intervals. A value close to −1 is labelled a harmonic-near hit, not a theorem. This is essential for KMA ratios, spectral data, and economic series.</w:t>
      </w:r>
    </w:p>
    <w:p>
      <w:pPr>
        <w:keepLines w:val="0"/>
        <w:spacing w:after="80" w:line="269" w:lineRule="auto"/>
        <w:ind w:firstLine="312"/>
        <w:jc w:val="both"/>
      </w:pPr>
      <w:r>
        <w:rPr>
          <w:rFonts w:ascii="DejaVu Serif" w:hAnsi="DejaVu Serif" w:eastAsia="DejaVu Serif"/>
          <w:b w:val="0"/>
          <w:i w:val="0"/>
          <w:sz w:val="21"/>
        </w:rPr>
        <w:t>The truth defect δ_truth measures geometric-logical proximity to the selected harmonic normalisation. It does not replace a mathematical proof, a legal document, an engineering inspection, or an empirical null-model analysis. Every RPD/RBD formula or computational output therefore receives both a numerical coordinate and a Reper/evidence map.</w:t>
      </w:r>
    </w:p>
    <w:p>
      <w:pPr>
        <w:pStyle w:val="Heading2"/>
        <w:keepNext/>
        <w:spacing w:before="100" w:after="80"/>
      </w:pPr>
      <w:r>
        <w:rPr>
          <w:rFonts w:ascii="DejaVu Sans" w:hAnsi="DejaVu Sans" w:eastAsia="DejaVu Sans"/>
          <w:b/>
          <w:i w:val="0"/>
          <w:color w:val="1F4E78"/>
          <w:sz w:val="25"/>
        </w:rPr>
        <w:t>6.4. Unique Finite Harmonic Complement</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Theorem 6.1 — Reconstruction of D [THM]  </w:t>
            </w:r>
            <w:r>
              <w:rPr>
                <w:rFonts w:ascii="DejaVu Serif" w:hAnsi="DejaVu Serif" w:eastAsia="DejaVu Serif"/>
                <w:b w:val="0"/>
                <w:color w:val="111111"/>
                <w:sz w:val="18"/>
              </w:rPr>
              <w:t>Let K be a field of characteristic not equal to 2, and let R,I,U∈K be pairwise distinct. For λ=((U−R)(I−D))/((U−D)(I−R)), if I+U−2R≠0 there exists a unique finite D such that λ=−1: D=[2UI−R(I+U)]/[I+U−2R].</w:t>
            </w:r>
          </w:p>
        </w:tc>
      </w:tr>
    </w:tbl>
    <w:p>
      <w:pPr>
        <w:spacing w:after="20"/>
      </w:pPr>
    </w:p>
    <w:p>
      <w:pPr>
        <w:spacing w:after="80" w:line="264" w:lineRule="auto"/>
        <w:ind w:firstLine="312"/>
        <w:jc w:val="both"/>
      </w:pPr>
      <w:r>
        <w:rPr>
          <w:rFonts w:ascii="DejaVu Serif" w:hAnsi="DejaVu Serif" w:eastAsia="DejaVu Serif"/>
          <w:b/>
          <w:sz w:val="20"/>
        </w:rPr>
        <w:t xml:space="preserve">Proof. </w:t>
      </w:r>
      <w:r>
        <w:rPr>
          <w:rFonts w:ascii="DejaVu Serif" w:hAnsi="DejaVu Serif" w:eastAsia="DejaVu Serif"/>
          <w:sz w:val="20"/>
        </w:rPr>
        <w:t>The equation λ=−1 is equivalent to (U−R)(I−D)=−(U−D)(I−R). Collecting the terms containing D gives D[(U−R)+(I−R)]=(U−R)I+U(I−R). Division by I+U−2R yields the formula. Linearity in D gives uniqueness. Pairwise distinctness ensures the resulting D is not U, so the original denominator remains nonzero.</w:t>
      </w:r>
    </w:p>
    <w:p>
      <w:pPr>
        <w:keepLines w:val="0"/>
        <w:spacing w:after="80" w:line="269" w:lineRule="auto"/>
        <w:ind w:firstLine="312"/>
        <w:jc w:val="both"/>
      </w:pPr>
      <w:r>
        <w:rPr>
          <w:rFonts w:ascii="DejaVu Serif" w:hAnsi="DejaVu Serif" w:eastAsia="DejaVu Serif"/>
          <w:b w:val="0"/>
          <w:i w:val="0"/>
          <w:sz w:val="21"/>
        </w:rPr>
        <w:t>If I+U−2R=0, there is no finite solution in that affine chart; in the projective completion the degenerate case is D=∞. For R=0, I=1, U=2 the formula gives D=4/3 and exactly λ=−1.</w:t>
      </w:r>
    </w:p>
    <w:p>
      <w:pPr>
        <w:pStyle w:val="Heading2"/>
        <w:keepNext/>
        <w:spacing w:before="100" w:after="80"/>
      </w:pPr>
      <w:r>
        <w:rPr>
          <w:rFonts w:ascii="DejaVu Sans" w:hAnsi="DejaVu Sans" w:eastAsia="DejaVu Sans"/>
          <w:b/>
          <w:i w:val="0"/>
          <w:color w:val="1F4E78"/>
          <w:sz w:val="25"/>
        </w:rPr>
        <w:t>6.5. Sensitivity of the Harmonic Complement</w:t>
      </w:r>
    </w:p>
    <w:p>
      <w:pPr>
        <w:keepLines w:val="0"/>
        <w:spacing w:after="80" w:line="269" w:lineRule="auto"/>
        <w:ind w:firstLine="312"/>
        <w:jc w:val="both"/>
      </w:pPr>
      <w:r>
        <w:rPr>
          <w:rFonts w:ascii="DejaVu Serif" w:hAnsi="DejaVu Serif" w:eastAsia="DejaVu Serif"/>
          <w:b w:val="0"/>
          <w:i w:val="0"/>
          <w:sz w:val="21"/>
        </w:rPr>
        <w:t>Put Q=I+U−2R. On the region Q≠0, D(R,I,U) is differentiable and</w:t>
      </w:r>
    </w:p>
    <w:p>
      <w:pPr>
        <w:keepLines/>
        <w:spacing w:before="60" w:after="80"/>
        <w:jc w:val="center"/>
      </w:pPr>
      <w:r>
        <w:rPr>
          <w:rFonts w:ascii="DejaVu Serif" w:hAnsi="DejaVu Serif" w:eastAsia="DejaVu Serif"/>
          <w:b w:val="0"/>
          <w:i w:val="0"/>
          <w:color w:val="173B63"/>
          <w:sz w:val="22"/>
        </w:rPr>
        <w:t>∂D/∂R = −(I−U)²/Q²,     ∂D/∂I = 2(U−R)²/Q²,     ∂D/∂U = 2(I−R)²/Q²</w:t>
      </w:r>
      <w:r>
        <w:rPr>
          <w:rFonts w:ascii="DejaVu Sans" w:hAnsi="DejaVu Sans" w:eastAsia="DejaVu Sans"/>
          <w:b w:val="0"/>
          <w:i w:val="0"/>
          <w:color w:val="5E6873"/>
          <w:sz w:val="15"/>
        </w:rPr>
        <w:t xml:space="preserve">    [RU p. 26]</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Corollary 6.2 [THM].  </w:t>
            </w:r>
            <w:r>
              <w:rPr>
                <w:rFonts w:ascii="DejaVu Serif" w:hAnsi="DejaVu Serif" w:eastAsia="DejaVu Serif"/>
                <w:b w:val="0"/>
                <w:color w:val="111111"/>
                <w:sz w:val="18"/>
              </w:rPr>
              <w:t>For small perturbations δR,δI,δU, |δD| is bounded by (|I−U|²|δR|+2|U−R|²|δI|+2|I−R|²|δU|)/|Q|² + o(‖δ‖). Thus Q→0 is a poorly conditioned region and must be recorded as a blocker rather than as increased predictive strength.</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EAF1F7"/>
            <w:tcMar>
              <w:top w:w="90" w:type="dxa"/>
              <w:start w:w="100" w:type="dxa"/>
              <w:bottom w:w="90" w:type="dxa"/>
              <w:end w:w="100" w:type="dxa"/>
            </w:tcMar>
            <w:vAlign w:val="center"/>
          </w:tcPr>
          <w:p>
            <w:pPr>
              <w:spacing w:after="0" w:line="252" w:lineRule="auto" w:before="0"/>
            </w:pPr>
            <w:r>
              <w:rPr>
                <w:rFonts w:ascii="DejaVu Serif" w:hAnsi="DejaVu Serif" w:eastAsia="DejaVu Serif"/>
                <w:b/>
                <w:color w:val="173B63"/>
                <w:sz w:val="18"/>
              </w:rPr>
              <w:t xml:space="preserve">KLT-RBD CONSEQUENCE.  </w:t>
            </w:r>
            <w:r>
              <w:rPr>
                <w:rFonts w:ascii="DejaVu Serif" w:hAnsi="DejaVu Serif" w:eastAsia="DejaVu Serif"/>
                <w:b w:val="0"/>
                <w:color w:val="111111"/>
                <w:sz w:val="18"/>
              </w:rPr>
              <w:t>A computational certificate stores Q, a sensitivity estimate, and the precision of all inputs. Nearness of λ to −1 without conditioning control does not promote truth status.</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F6EEDB"/>
            <w:tcMar>
              <w:top w:w="90" w:type="dxa"/>
              <w:start w:w="100" w:type="dxa"/>
              <w:bottom w:w="90" w:type="dxa"/>
              <w:end w:w="100" w:type="dxa"/>
            </w:tcMar>
            <w:vAlign w:val="center"/>
          </w:tcPr>
          <w:p>
            <w:pPr>
              <w:spacing w:after="0" w:line="252" w:lineRule="auto" w:before="0"/>
            </w:pPr>
            <w:r>
              <w:rPr>
                <w:rFonts w:ascii="DejaVu Serif" w:hAnsi="DejaVu Serif" w:eastAsia="DejaVu Serif"/>
                <w:b/>
                <w:color w:val="A87918"/>
                <w:sz w:val="18"/>
              </w:rPr>
              <w:t xml:space="preserve">PHENOMENOLOGICAL INSERT.  </w:t>
            </w:r>
            <w:r>
              <w:rPr>
                <w:rFonts w:ascii="DejaVu Serif" w:hAnsi="DejaVu Serif" w:eastAsia="DejaVu Serif"/>
                <w:b w:val="0"/>
                <w:color w:val="111111"/>
                <w:sz w:val="18"/>
              </w:rPr>
              <w:t>Near Q=0, the formula may return one apparently precise D while tiny changes in the input cause a large displacement. This is the phenomenon of a “precise answer without a stable object.” Experienced clarity is not mathematical conditioning.</w:t>
            </w:r>
          </w:p>
        </w:tc>
      </w:tr>
    </w:tbl>
    <w:p>
      <w:pPr>
        <w:spacing w:after="20"/>
      </w:pPr>
    </w:p>
    <w:p>
      <w:pPr>
        <w:pStyle w:val="Heading2"/>
        <w:keepNext/>
        <w:spacing w:before="100" w:after="80"/>
      </w:pPr>
      <w:r>
        <w:rPr>
          <w:rFonts w:ascii="DejaVu Sans" w:hAnsi="DejaVu Sans" w:eastAsia="DejaVu Sans"/>
          <w:b/>
          <w:i w:val="0"/>
          <w:color w:val="1F4E78"/>
          <w:sz w:val="25"/>
        </w:rPr>
        <w:t>6.6. Homogeneous Formula and Projective Invariance</w:t>
      </w:r>
    </w:p>
    <w:p>
      <w:pPr>
        <w:keepLines w:val="0"/>
        <w:spacing w:after="80" w:line="269" w:lineRule="auto"/>
        <w:ind w:firstLine="312"/>
        <w:jc w:val="both"/>
      </w:pPr>
      <w:r>
        <w:rPr>
          <w:rFonts w:ascii="DejaVu Serif" w:hAnsi="DejaVu Serif" w:eastAsia="DejaVu Serif"/>
          <w:b w:val="0"/>
          <w:i w:val="0"/>
          <w:sz w:val="21"/>
        </w:rPr>
        <w:t>Let K be a field of characteristic not equal to 2 and let P¹(K) be the projective line. For homogeneous representatives x,y∈K² write [x,y]=det(x,y). For pairwise distinct U,I,R,D and nonzero denominators define</w:t>
      </w:r>
    </w:p>
    <w:p>
      <w:pPr>
        <w:keepLines/>
        <w:spacing w:before="60" w:after="80"/>
        <w:jc w:val="center"/>
      </w:pPr>
      <w:r>
        <w:rPr>
          <w:rFonts w:ascii="DejaVu Serif" w:hAnsi="DejaVu Serif" w:eastAsia="DejaVu Serif"/>
          <w:b w:val="0"/>
          <w:i w:val="0"/>
          <w:color w:val="173B63"/>
          <w:sz w:val="22"/>
        </w:rPr>
        <w:t>cr(U,I;R,D) = [U,R][I,D] / ([U,D][I,R])</w:t>
      </w:r>
      <w:r>
        <w:rPr>
          <w:rFonts w:ascii="DejaVu Sans" w:hAnsi="DejaVu Sans" w:eastAsia="DejaVu Sans"/>
          <w:b w:val="0"/>
          <w:i w:val="0"/>
          <w:color w:val="5E6873"/>
          <w:sz w:val="15"/>
        </w:rPr>
        <w:t xml:space="preserve">    [RU p. 26]</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Theorem 6.3 — Cross-Ratio Invariance [THM]  </w:t>
            </w:r>
            <w:r>
              <w:rPr>
                <w:rFonts w:ascii="DejaVu Serif" w:hAnsi="DejaVu Serif" w:eastAsia="DejaVu Serif"/>
                <w:b w:val="0"/>
                <w:color w:val="111111"/>
                <w:sz w:val="18"/>
              </w:rPr>
              <w:t>For every A∈GL₂(K), cr(AU,AI;AR,AD)=cr(U,I;R,D). Hence the cross-ratio is well defined with respect to the action of PGL₂(K).</w:t>
            </w:r>
          </w:p>
        </w:tc>
      </w:tr>
    </w:tbl>
    <w:p>
      <w:pPr>
        <w:spacing w:after="20"/>
      </w:pPr>
    </w:p>
    <w:p>
      <w:pPr>
        <w:spacing w:after="80" w:line="264" w:lineRule="auto"/>
        <w:ind w:firstLine="312"/>
        <w:jc w:val="both"/>
      </w:pPr>
      <w:r>
        <w:rPr>
          <w:rFonts w:ascii="DejaVu Serif" w:hAnsi="DejaVu Serif" w:eastAsia="DejaVu Serif"/>
          <w:b/>
          <w:sz w:val="20"/>
        </w:rPr>
        <w:t xml:space="preserve">Proof. </w:t>
      </w:r>
      <w:r>
        <w:rPr>
          <w:rFonts w:ascii="DejaVu Serif" w:hAnsi="DejaVu Serif" w:eastAsia="DejaVu Serif"/>
          <w:sz w:val="20"/>
        </w:rPr>
        <w:t>For any x,y, [Ax,Ay]=det(A)[x,y]. The numerator and denominator each acquire two equal factors det(A), which cancel. Independent scaling of homogeneous representatives also cancels pairwise.</w:t>
      </w:r>
    </w:p>
    <w:p>
      <w:pPr>
        <w:pStyle w:val="Heading2"/>
        <w:keepNext/>
        <w:spacing w:before="100" w:after="80"/>
      </w:pPr>
      <w:r>
        <w:rPr>
          <w:rFonts w:ascii="DejaVu Sans" w:hAnsi="DejaVu Sans" w:eastAsia="DejaVu Sans"/>
          <w:b/>
          <w:i w:val="0"/>
          <w:color w:val="1F4E78"/>
          <w:sz w:val="25"/>
        </w:rPr>
        <w:t>6.7. Complete Projective Harmonic Complement</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Theorem 6.4 — Existence and Uniqueness [THM]  </w:t>
            </w:r>
            <w:r>
              <w:rPr>
                <w:rFonts w:ascii="DejaVu Serif" w:hAnsi="DejaVu Serif" w:eastAsia="DejaVu Serif"/>
                <w:b w:val="0"/>
                <w:color w:val="111111"/>
                <w:sz w:val="18"/>
              </w:rPr>
              <w:t>Let U,I,R∈P¹(K) be pairwise distinct. There exists a unique D∈P¹(K) such that cr(U,I;R,D)=−1.</w:t>
            </w:r>
          </w:p>
        </w:tc>
      </w:tr>
    </w:tbl>
    <w:p>
      <w:pPr>
        <w:spacing w:after="20"/>
      </w:pPr>
    </w:p>
    <w:p>
      <w:pPr>
        <w:spacing w:after="80" w:line="264" w:lineRule="auto"/>
        <w:ind w:firstLine="312"/>
        <w:jc w:val="both"/>
      </w:pPr>
      <w:r>
        <w:rPr>
          <w:rFonts w:ascii="DejaVu Serif" w:hAnsi="DejaVu Serif" w:eastAsia="DejaVu Serif"/>
          <w:b/>
          <w:sz w:val="20"/>
        </w:rPr>
        <w:t xml:space="preserve">Proof. </w:t>
      </w:r>
      <w:r>
        <w:rPr>
          <w:rFonts w:ascii="DejaVu Serif" w:hAnsi="DejaVu Serif" w:eastAsia="DejaVu Serif"/>
          <w:sz w:val="20"/>
        </w:rPr>
        <w:t>A projective transformation sends U,I,R to 0,∞,1. The equation cr=−1 determines the image of D uniquely; the inverse transformation returns one point of the original line. In an affine chart, D*=[2UI−R(I+U)]/[U+I−2R] when the denominator is nonzero; otherwise D is the point at infinity of that chart.</w:t>
      </w:r>
    </w:p>
    <w:tbl>
      <w:tblPr>
        <w:tblW w:type="auto" w:w="0"/>
        <w:jc w:val="center"/>
        <w:tblLook w:firstColumn="1" w:firstRow="1" w:lastColumn="0" w:lastRow="0" w:noHBand="0" w:noVBand="1" w:val="04A0"/>
      </w:tblPr>
      <w:tblGrid>
        <w:gridCol w:w="10092"/>
      </w:tblGrid>
      <w:tr>
        <w:trPr>
          <w:cantSplit/>
          <w:tblHeader w:val="true"/>
        </w:trPr>
        <w:tc>
          <w:tcPr>
            <w:tcW w:type="dxa" w:w="10092"/>
            <w:shd w:fill="F8E6E4"/>
            <w:tcMar>
              <w:top w:w="90" w:type="dxa"/>
              <w:start w:w="100" w:type="dxa"/>
              <w:bottom w:w="90" w:type="dxa"/>
              <w:end w:w="100" w:type="dxa"/>
            </w:tcMar>
            <w:vAlign w:val="center"/>
          </w:tcPr>
          <w:p>
            <w:pPr>
              <w:spacing w:after="0" w:line="252" w:lineRule="auto" w:before="0"/>
            </w:pPr>
            <w:r>
              <w:rPr>
                <w:rFonts w:ascii="DejaVu Serif" w:hAnsi="DejaVu Serif" w:eastAsia="DejaVu Serif"/>
                <w:b/>
                <w:color w:val="A32626"/>
                <w:sz w:val="18"/>
              </w:rPr>
              <w:t xml:space="preserve">SINGULARITY NOTE.  </w:t>
            </w:r>
            <w:r>
              <w:rPr>
                <w:rFonts w:ascii="DejaVu Serif" w:hAnsi="DejaVu Serif" w:eastAsia="DejaVu Serif"/>
                <w:b w:val="0"/>
                <w:color w:val="111111"/>
                <w:sz w:val="18"/>
              </w:rPr>
              <w:t>A zero affine denominator does not mean that the harmonic complement is absent from P¹(K). It means that the complement lies at infinity in the chosen chart. A numerical implementation must return projective-infinity rather than an arbitrary large number.</w:t>
            </w:r>
          </w:p>
        </w:tc>
      </w:tr>
    </w:tbl>
    <w:p>
      <w:pPr>
        <w:spacing w:after="20"/>
      </w:pPr>
    </w:p>
    <w:p>
      <w:pPr>
        <w:pStyle w:val="Heading2"/>
        <w:keepNext/>
        <w:spacing w:before="100" w:after="80"/>
      </w:pPr>
      <w:r>
        <w:rPr>
          <w:rFonts w:ascii="DejaVu Sans" w:hAnsi="DejaVu Sans" w:eastAsia="DejaVu Sans"/>
          <w:b/>
          <w:i w:val="0"/>
          <w:color w:val="1F4E78"/>
          <w:sz w:val="25"/>
        </w:rPr>
        <w:t>6.8. Conditioning of D* and the HARM-CERT Passport</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Proposition 6.5 [PROP]  </w:t>
            </w:r>
            <w:r>
              <w:rPr>
                <w:rFonts w:ascii="DejaVu Serif" w:hAnsi="DejaVu Serif" w:eastAsia="DejaVu Serif"/>
                <w:b w:val="0"/>
                <w:color w:val="111111"/>
                <w:sz w:val="18"/>
              </w:rPr>
              <w:t>In an affine chart with Q=U+I−2R≠0, ∂D*/∂R=−(U−I)²/Q².</w:t>
            </w:r>
          </w:p>
        </w:tc>
      </w:tr>
    </w:tbl>
    <w:p>
      <w:pPr>
        <w:spacing w:after="20"/>
      </w:pPr>
    </w:p>
    <w:p>
      <w:pPr>
        <w:spacing w:after="80" w:line="264" w:lineRule="auto"/>
        <w:ind w:firstLine="312"/>
        <w:jc w:val="both"/>
      </w:pPr>
      <w:r>
        <w:rPr>
          <w:rFonts w:ascii="DejaVu Serif" w:hAnsi="DejaVu Serif" w:eastAsia="DejaVu Serif"/>
          <w:b/>
          <w:sz w:val="20"/>
        </w:rPr>
        <w:t xml:space="preserve">Proof. </w:t>
      </w:r>
      <w:r>
        <w:rPr>
          <w:rFonts w:ascii="DejaVu Serif" w:hAnsi="DejaVu Serif" w:eastAsia="DejaVu Serif"/>
          <w:sz w:val="20"/>
        </w:rPr>
        <w:t>Differentiate N/Q with N=2UI−R(I+U), Q=U+I−2R. The numerator simplifies to 4UI−(U+I)²=−(U−I)².</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Corollary 6.6 [PROP].  </w:t>
            </w:r>
            <w:r>
              <w:rPr>
                <w:rFonts w:ascii="DejaVu Serif" w:hAnsi="DejaVu Serif" w:eastAsia="DejaVu Serif"/>
                <w:b w:val="0"/>
                <w:color w:val="111111"/>
                <w:sz w:val="18"/>
              </w:rPr>
              <w:t>As Q→0, sensitivity grows as |Q|⁻². Proximity to the singular chart must therefore be stored as a conditioning number and blocker. Even λ=−1 with small δ does not establish stability of the reconstructed D*.</w:t>
            </w:r>
          </w:p>
        </w:tc>
      </w:tr>
    </w:tbl>
    <w:p>
      <w:pPr>
        <w:spacing w:after="20"/>
      </w:pPr>
    </w:p>
    <w:tbl>
      <w:tblPr>
        <w:tblW w:type="auto" w:w="0"/>
        <w:jc w:val="center"/>
        <w:tblLook w:firstColumn="1" w:firstRow="1" w:lastColumn="0" w:lastRow="0" w:noHBand="0" w:noVBand="1" w:val="04A0"/>
      </w:tblPr>
      <w:tblGrid>
        <w:gridCol w:w="5046"/>
        <w:gridCol w:w="5046"/>
      </w:tblGrid>
      <w:tr>
        <w:trPr>
          <w:tblHeader w:val="true"/>
          <w:cantSplit/>
          <w:cantSplit/>
          <w:tblHeader w:val="true"/>
        </w:trPr>
        <w:tc>
          <w:tcPr>
            <w:tcW w:type="dxa" w:w="2948"/>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Mandatory HARM-CERT field</w:t>
            </w:r>
          </w:p>
        </w:tc>
        <w:tc>
          <w:tcPr>
            <w:tcW w:type="dxa" w:w="6406"/>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Content</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Field K and characteristic</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algebraic base and the condition char(K)≠2</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Homogeneous coordinates</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representatives of U,I,R,D</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Affine chart</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selected chart and projective-infinity policy</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Determinants / denominators</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all four determinants and nonzero-domain checks</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λ and δ</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cross-ratio and harmonic defect</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Q and conditioning</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Q=U+I−2R and sensitivity estimate</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Dom and D</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admissible domain and sufficient foundation</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Precision and status</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input precision; singular/projective/finite status</w:t>
            </w:r>
          </w:p>
        </w:tc>
      </w:tr>
    </w:tbl>
    <w:p>
      <w:pPr>
        <w:spacing w:after="40"/>
      </w:pPr>
    </w:p>
    <w:p>
      <w:pPr>
        <w:pStyle w:val="Heading1"/>
        <w:keepNext/>
        <w:spacing w:before="160" w:after="80"/>
      </w:pPr>
      <w:bookmarkStart w:id="1006" w:name="T1_CH_07"/>
      <w:r>
        <w:rPr>
          <w:rFonts w:ascii="DejaVu Sans" w:hAnsi="DejaVu Sans" w:eastAsia="DejaVu Sans"/>
          <w:b/>
          <w:i w:val="0"/>
          <w:color w:val="1F4E78"/>
          <w:sz w:val="32"/>
        </w:rPr>
        <w:t>Chapter 7. D/Dom and Sufficient Foundation</w:t>
      </w:r>
      <w:bookmarkEnd w:id="1006"/>
    </w:p>
    <w:p>
      <w:pPr>
        <w:spacing w:after="60" w:line="259" w:lineRule="auto"/>
        <w:jc w:val="left"/>
      </w:pPr>
      <w:r>
        <w:rPr>
          <w:rFonts w:ascii="DejaVu Serif" w:hAnsi="DejaVu Serif" w:eastAsia="DejaVu Serif"/>
          <w:b w:val="0"/>
          <w:i/>
          <w:color w:val="5E6873"/>
          <w:sz w:val="18"/>
        </w:rPr>
        <w:t>Russian source locator: pp. 27–30</w:t>
      </w:r>
    </w:p>
    <w:tbl>
      <w:tblPr>
        <w:tblW w:type="auto" w:w="0"/>
        <w:jc w:val="center"/>
        <w:tblLook w:firstColumn="1" w:firstRow="1" w:lastColumn="0" w:lastRow="0" w:noHBand="0" w:noVBand="1" w:val="04A0"/>
      </w:tblPr>
      <w:tblGrid>
        <w:gridCol w:w="5046"/>
        <w:gridCol w:w="5046"/>
      </w:tblGrid>
      <w:tr>
        <w:trPr>
          <w:cantSplit/>
          <w:cantSplit/>
          <w:tblHeader w:val="true"/>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PLAIN-LANGUAGE MEANING</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The chapter separates the question “is the expression defined?” from the question “is there sufficient foundation for the claim?”.</w:t>
            </w:r>
          </w:p>
        </w:tc>
      </w:tr>
      <w:tr>
        <w:trPr>
          <w:cantSplit/>
          <w:cantSplit/>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MATHEMATICAL CORE</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Types of D, domain predicates Dom, and evidence-status ladders from a candidate to a verified result are distinguished.</w:t>
            </w:r>
          </w:p>
        </w:tc>
      </w:tr>
      <w:tr>
        <w:trPr>
          <w:cantSplit/>
          <w:cantSplit/>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BOUNDARY OF THE CLAIM</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Neither Dom nor D may be reconstructed from an elegant formula or numerical coincidence without separate evidence.</w:t>
            </w:r>
          </w:p>
        </w:tc>
      </w:tr>
      <w:tr>
        <w:trPr>
          <w:cantSplit/>
          <w:cantSplit/>
        </w:trPr>
        <w:tc>
          <w:tcPr>
            <w:tcW w:type="dxa" w:w="1814"/>
            <w:tcMar>
              <w:top w:w="90" w:type="dxa"/>
              <w:start w:w="100" w:type="dxa"/>
              <w:bottom w:w="90" w:type="dxa"/>
              <w:end w:w="100" w:type="dxa"/>
            </w:tcMar>
            <w:vAlign w:val="center"/>
            <w:shd w:fill="A87918"/>
          </w:tcPr>
          <w:p>
            <w:pPr>
              <w:spacing w:after="0" w:before="0" w:line="252" w:lineRule="auto"/>
              <w:jc w:val="center"/>
            </w:pPr>
            <w:r>
              <w:rPr>
                <w:rFonts w:ascii="DejaVu Serif" w:hAnsi="DejaVu Serif" w:eastAsia="DejaVu Serif"/>
                <w:b/>
                <w:color w:val="FFFFFF"/>
                <w:sz w:val="18"/>
              </w:rPr>
              <w:t>STATUS</w:t>
            </w:r>
          </w:p>
        </w:tc>
        <w:tc>
          <w:tcPr>
            <w:tcW w:type="dxa" w:w="7483"/>
            <w:tcMar>
              <w:top w:w="90" w:type="dxa"/>
              <w:start w:w="100" w:type="dxa"/>
              <w:bottom w:w="90" w:type="dxa"/>
              <w:end w:w="100" w:type="dxa"/>
            </w:tcMar>
            <w:vAlign w:val="center"/>
            <w:shd w:fill="F6EEDB"/>
          </w:tcPr>
          <w:p>
            <w:pPr>
              <w:spacing w:after="0" w:before="0" w:line="252" w:lineRule="auto"/>
              <w:jc w:val="left"/>
            </w:pPr>
            <w:r>
              <w:rPr>
                <w:rFonts w:ascii="DejaVu Serif" w:hAnsi="DejaVu Serif" w:eastAsia="DejaVu Serif"/>
                <w:b w:val="0"/>
                <w:color w:val="111111"/>
                <w:sz w:val="18"/>
              </w:rPr>
              <w:t>EVIDENCE DISCIPLINE</w:t>
            </w:r>
          </w:p>
        </w:tc>
      </w:tr>
    </w:tbl>
    <w:p>
      <w:pPr>
        <w:spacing w:after="20"/>
      </w:pPr>
    </w:p>
    <w:p>
      <w:pPr>
        <w:keepLines w:val="0"/>
        <w:spacing w:after="80" w:line="269" w:lineRule="auto"/>
        <w:ind w:firstLine="312"/>
        <w:jc w:val="both"/>
      </w:pPr>
      <w:r>
        <w:rPr>
          <w:rFonts w:ascii="DejaVu Serif" w:hAnsi="DejaVu Serif" w:eastAsia="DejaVu Serif"/>
          <w:b w:val="0"/>
          <w:i w:val="0"/>
          <w:sz w:val="21"/>
        </w:rPr>
        <w:t>D answers “what supports the claim?”; Dom answers “where is it applicable?”. Confusing or omitting them is a major source of false status promotion. In KLT-RBD, an attractive numerical coincidence without D/Dom becomes a gap node, not a discovery.</w:t>
      </w:r>
    </w:p>
    <w:p>
      <w:pPr>
        <w:keepLines/>
        <w:spacing w:before="60" w:after="80"/>
        <w:jc w:val="center"/>
      </w:pPr>
      <w:r>
        <w:rPr>
          <w:rFonts w:ascii="DejaVu Serif" w:hAnsi="DejaVu Serif" w:eastAsia="DejaVu Serif"/>
          <w:b w:val="0"/>
          <w:i w:val="0"/>
          <w:color w:val="173B63"/>
          <w:sz w:val="22"/>
        </w:rPr>
        <w:t>Authorization(x) requires D(x) complete and Dom(x) admissible</w:t>
      </w:r>
      <w:r>
        <w:rPr>
          <w:rFonts w:ascii="DejaVu Sans" w:hAnsi="DejaVu Sans" w:eastAsia="DejaVu Sans"/>
          <w:b w:val="0"/>
          <w:i w:val="0"/>
          <w:color w:val="5E6873"/>
          <w:sz w:val="15"/>
        </w:rPr>
        <w:t xml:space="preserve">    [RU p. 27]</w:t>
      </w:r>
    </w:p>
    <w:p>
      <w:pPr>
        <w:pStyle w:val="Heading2"/>
        <w:keepNext/>
        <w:spacing w:before="100" w:after="80"/>
      </w:pPr>
      <w:r>
        <w:rPr>
          <w:rFonts w:ascii="DejaVu Sans" w:hAnsi="DejaVu Sans" w:eastAsia="DejaVu Sans"/>
          <w:b/>
          <w:i w:val="0"/>
          <w:color w:val="1F4E78"/>
          <w:sz w:val="25"/>
        </w:rPr>
        <w:t>7.1. Types of D</w:t>
      </w:r>
    </w:p>
    <w:tbl>
      <w:tblPr>
        <w:tblW w:type="auto" w:w="0"/>
        <w:jc w:val="center"/>
        <w:tblLook w:firstColumn="1" w:firstRow="1" w:lastColumn="0" w:lastRow="0" w:noHBand="0" w:noVBand="1" w:val="04A0"/>
      </w:tblPr>
      <w:tblGrid>
        <w:gridCol w:w="5046"/>
        <w:gridCol w:w="5046"/>
      </w:tblGrid>
      <w:tr>
        <w:trPr>
          <w:tblHeader w:val="true"/>
          <w:cantSplit/>
          <w:cantSplit/>
          <w:tblHeader w:val="true"/>
        </w:trPr>
        <w:tc>
          <w:tcPr>
            <w:tcW w:type="dxa" w:w="2494"/>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Type of D</w:t>
            </w:r>
          </w:p>
        </w:tc>
        <w:tc>
          <w:tcPr>
            <w:tcW w:type="dxa" w:w="6860"/>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Examples</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Axiomatic</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Axiom system, definitions, inference rules</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Proof-theoretic</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Lemmas, proof object, formal verification</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Experimental</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Protocol, instrument, units, uncertainty, raw data</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Documentary</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Contract, project, act, norm, registration record</w:t>
            </w:r>
          </w:p>
        </w:tc>
      </w:tr>
      <w:tr>
        <w:trPr>
          <w:cantSplit/>
          <w:cantSplit/>
        </w:trPr>
        <w:tc>
          <w:tcPr>
            <w:tcW w:type="dxa" w:w="5046"/>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Computational</w:t>
            </w:r>
          </w:p>
        </w:tc>
        <w:tc>
          <w:tcPr>
            <w:tcW w:type="dxa" w:w="5046"/>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Code, version, hash, configuration, reproducible run</w:t>
            </w:r>
          </w:p>
        </w:tc>
      </w:tr>
      <w:tr>
        <w:trPr>
          <w:cantSplit/>
          <w:cantSplit/>
        </w:trPr>
        <w:tc>
          <w:tcPr>
            <w:tcW w:type="dxa" w:w="5046"/>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Historical-philosophical</w:t>
            </w:r>
          </w:p>
        </w:tc>
        <w:tc>
          <w:tcPr>
            <w:tcW w:type="dxa" w:w="5046"/>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Exact source, context, and limits of interpretation</w:t>
            </w:r>
          </w:p>
        </w:tc>
      </w:tr>
    </w:tbl>
    <w:p>
      <w:pPr>
        <w:spacing w:after="40"/>
      </w:pPr>
    </w:p>
    <w:p>
      <w:pPr>
        <w:pStyle w:val="Heading2"/>
        <w:keepNext/>
        <w:spacing w:before="100" w:after="80"/>
      </w:pPr>
      <w:r>
        <w:rPr>
          <w:rFonts w:ascii="DejaVu Sans" w:hAnsi="DejaVu Sans" w:eastAsia="DejaVu Sans"/>
          <w:b/>
          <w:i w:val="0"/>
          <w:color w:val="1F4E78"/>
          <w:sz w:val="25"/>
        </w:rPr>
        <w:t>7.2. Status Ladder and Forbidden Jumps</w:t>
      </w:r>
    </w:p>
    <w:p>
      <w:pPr>
        <w:keepNext/>
        <w:jc w:val="center"/>
      </w:pPr>
      <w:r>
        <w:drawing>
          <wp:inline xmlns:a="http://schemas.openxmlformats.org/drawingml/2006/main" xmlns:pic="http://schemas.openxmlformats.org/drawingml/2006/picture">
            <wp:extent cx="5688000" cy="3150952"/>
            <wp:docPr id="10" name="Picture 10"/>
            <wp:cNvGraphicFramePr>
              <a:graphicFrameLocks noChangeAspect="1"/>
            </wp:cNvGraphicFramePr>
            <a:graphic>
              <a:graphicData uri="http://schemas.openxmlformats.org/drawingml/2006/picture">
                <pic:pic>
                  <pic:nvPicPr>
                    <pic:cNvPr id="0" name="fig_ch7_gates.png"/>
                    <pic:cNvPicPr/>
                  </pic:nvPicPr>
                  <pic:blipFill>
                    <a:blip r:embed="rId22"/>
                    <a:stretch>
                      <a:fillRect/>
                    </a:stretch>
                  </pic:blipFill>
                  <pic:spPr>
                    <a:xfrm>
                      <a:off x="0" y="0"/>
                      <a:ext cx="5688000" cy="3150952"/>
                    </a:xfrm>
                    <a:prstGeom prst="rect"/>
                  </pic:spPr>
                </pic:pic>
              </a:graphicData>
            </a:graphic>
          </wp:inline>
        </w:drawing>
      </w:r>
    </w:p>
    <w:p>
      <w:pPr>
        <w:keepNext w:val="0"/>
        <w:spacing w:after="100"/>
        <w:jc w:val="center"/>
      </w:pPr>
      <w:bookmarkStart w:id="1067" w:name="T1_FIG_009"/>
      <w:r>
        <w:rPr>
          <w:rFonts w:ascii="DejaVu Serif" w:hAnsi="DejaVu Serif" w:eastAsia="DejaVu Serif"/>
          <w:b w:val="0"/>
          <w:i/>
          <w:color w:val="5E6873"/>
          <w:sz w:val="18"/>
        </w:rPr>
        <w:t>Figure 7.1. Evidence-status ladder and the mandatory gates between levels.</w:t>
      </w:r>
      <w:bookmarkEnd w:id="1067"/>
    </w:p>
    <w:p>
      <w:pPr>
        <w:keepLines w:val="0"/>
        <w:spacing w:after="80" w:line="269" w:lineRule="auto"/>
        <w:ind w:firstLine="312"/>
        <w:jc w:val="both"/>
      </w:pPr>
      <w:r>
        <w:rPr>
          <w:rFonts w:ascii="DejaVu Serif" w:hAnsi="DejaVu Serif" w:eastAsia="DejaVu Serif"/>
          <w:b w:val="0"/>
          <w:i w:val="0"/>
          <w:sz w:val="21"/>
        </w:rPr>
        <w:t>The working ladder distinguishes source fact, definition, lemma candidate, theorem candidate, formal theorem under axioms, empirical review signal, and publication-verified status. Transitions occur only through specified gates. A user interface has no authority to promote a status by itself.</w:t>
      </w:r>
    </w:p>
    <w:p>
      <w:pPr>
        <w:pStyle w:val="Heading2"/>
        <w:keepNext/>
        <w:spacing w:before="100" w:after="80"/>
      </w:pPr>
      <w:r>
        <w:rPr>
          <w:rFonts w:ascii="DejaVu Sans" w:hAnsi="DejaVu Sans" w:eastAsia="DejaVu Sans"/>
          <w:b/>
          <w:i w:val="0"/>
          <w:color w:val="1F4E78"/>
          <w:sz w:val="25"/>
        </w:rPr>
        <w:t>7.2.A. Normalized Documentary Layer: PILOT-01</w:t>
      </w:r>
    </w:p>
    <w:p>
      <w:pPr>
        <w:keepLines w:val="0"/>
        <w:spacing w:after="80" w:line="269" w:lineRule="auto"/>
        <w:ind w:firstLine="312"/>
        <w:jc w:val="both"/>
      </w:pPr>
      <w:r>
        <w:rPr>
          <w:rFonts w:ascii="DejaVu Serif" w:hAnsi="DejaVu Serif" w:eastAsia="DejaVu Serif"/>
          <w:b w:val="0"/>
          <w:i w:val="0"/>
          <w:sz w:val="21"/>
        </w:rPr>
        <w:t>PILOT-01 is a narrow-domain test of the Reper-Projective Database. A mathematical text is modelled as a graph of sources, formulas, assumptions, Reper nodes, gap nodes, obstruction carriers, and theorem candidates. Projective-harmonic geometry, packet incidence, OB notation, and Fano-type carriers are used as mathematical objects; novelty of the cross-ratio, projectivisation, projective spaces, or the Fano plane is not claimed.</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Definition [DEF-A].  </w:t>
            </w:r>
            <w:r>
              <w:rPr>
                <w:rFonts w:ascii="DejaVu Serif" w:hAnsi="DejaVu Serif" w:eastAsia="DejaVu Serif"/>
                <w:b w:val="0"/>
                <w:color w:val="111111"/>
                <w:sz w:val="18"/>
              </w:rPr>
              <w:t>A formula-chain step is a typed transition s=(Fᵢ,Fⱼ,τ,A,Dom,D), where τ is the transition type, A the support set, Dom the admissible domain, and D the sufficient foundation. Reper is written Rep=(R,I,U;D).</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Formula-Chain Gap Theorem [THM]  </w:t>
            </w:r>
            <w:r>
              <w:rPr>
                <w:rFonts w:ascii="DejaVu Serif" w:hAnsi="DejaVu Serif" w:eastAsia="DejaVu Serif"/>
                <w:b w:val="0"/>
                <w:color w:val="111111"/>
                <w:sz w:val="18"/>
              </w:rPr>
              <w:t>If a step authorizes truth status through cr(U,I;R,D)=−1 but lacks an admissible Dom or a sufficient D, the RPD audit creates GAP-DOMAIN-MISSING or GAP-ASSUMP-MISSING.</w:t>
            </w:r>
          </w:p>
        </w:tc>
      </w:tr>
    </w:tbl>
    <w:p>
      <w:pPr>
        <w:spacing w:after="20"/>
      </w:pPr>
    </w:p>
    <w:p>
      <w:pPr>
        <w:spacing w:after="80" w:line="264" w:lineRule="auto"/>
        <w:ind w:firstLine="312"/>
        <w:jc w:val="both"/>
      </w:pPr>
      <w:r>
        <w:rPr>
          <w:rFonts w:ascii="DejaVu Serif" w:hAnsi="DejaVu Serif" w:eastAsia="DejaVu Serif"/>
          <w:b/>
          <w:sz w:val="20"/>
        </w:rPr>
        <w:t xml:space="preserve">Proof. </w:t>
      </w:r>
      <w:r>
        <w:rPr>
          <w:rFonts w:ascii="DejaVu Serif" w:hAnsi="DejaVu Serif" w:eastAsia="DejaVu Serif"/>
          <w:sz w:val="20"/>
        </w:rPr>
        <w:t>This follows directly from the independent rules AUDIT-DOMAIN and AUDIT-FOUNDATION.</w:t>
      </w:r>
    </w:p>
    <w:tbl>
      <w:tblPr>
        <w:tblW w:type="auto" w:w="0"/>
        <w:jc w:val="center"/>
        <w:tblLook w:firstColumn="1" w:firstRow="1" w:lastColumn="0" w:lastRow="0" w:noHBand="0" w:noVBand="1" w:val="04A0"/>
      </w:tblPr>
      <w:tblGrid>
        <w:gridCol w:w="3364"/>
        <w:gridCol w:w="3364"/>
        <w:gridCol w:w="3364"/>
      </w:tblGrid>
      <w:tr>
        <w:trPr>
          <w:tblHeader w:val="true"/>
          <w:cantSplit/>
          <w:cantSplit/>
          <w:tblHeader w:val="true"/>
        </w:trPr>
        <w:tc>
          <w:tcPr>
            <w:tcW w:type="dxa" w:w="1361"/>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ID</w:t>
            </w:r>
          </w:p>
        </w:tc>
        <w:tc>
          <w:tcPr>
            <w:tcW w:type="dxa" w:w="4535"/>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Object</w:t>
            </w:r>
          </w:p>
        </w:tc>
        <w:tc>
          <w:tcPr>
            <w:tcW w:type="dxa" w:w="3458"/>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Status</w:t>
            </w:r>
          </w:p>
        </w:tc>
      </w:tr>
      <w:tr>
        <w:trPr>
          <w:cantSplit/>
          <w:cantSplit/>
        </w:trPr>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T-PH-001</w:t>
            </w:r>
          </w:p>
        </w:tc>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Formula-chain gap theorem</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proved inside the RPD method</w:t>
            </w:r>
          </w:p>
        </w:tc>
      </w:tr>
      <w:tr>
        <w:trPr>
          <w:cantSplit/>
          <w:cantSplit/>
        </w:trPr>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T-PH-002</w:t>
            </w:r>
          </w:p>
        </w:tc>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Projectivisation dimension lemma</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classical fact / prior art</w:t>
            </w:r>
          </w:p>
        </w:tc>
      </w:tr>
      <w:tr>
        <w:trPr>
          <w:cantSplit/>
          <w:cantSplit/>
        </w:trPr>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T-PH-003</w:t>
            </w:r>
          </w:p>
        </w:tc>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Fano / RP² consequences</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conditional on field and dimension</w:t>
            </w:r>
          </w:p>
        </w:tc>
      </w:tr>
      <w:tr>
        <w:trPr>
          <w:cantSplit/>
          <w:cantSplit/>
        </w:trPr>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T-PH-004</w:t>
            </w:r>
          </w:p>
        </w:tc>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FCOC carrier theorem</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proved in the internal model</w:t>
            </w:r>
          </w:p>
        </w:tc>
      </w:tr>
      <w:tr>
        <w:trPr>
          <w:cantSplit/>
          <w:cantSplit/>
        </w:trPr>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T-PH-005</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Nontrivial packet-obstruction theorem</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proved in the internal model</w:t>
            </w:r>
          </w:p>
        </w:tc>
      </w:tr>
      <w:tr>
        <w:trPr>
          <w:cantSplit/>
          <w:cantSplit/>
        </w:trPr>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T-PH-006</w:t>
            </w:r>
          </w:p>
        </w:tc>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Fano local line extension</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proved in the internal model</w:t>
            </w:r>
          </w:p>
        </w:tc>
      </w:tr>
      <w:tr>
        <w:trPr>
          <w:cantSplit/>
          <w:cantSplit/>
        </w:trPr>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T-PH-007</w:t>
            </w:r>
          </w:p>
        </w:tc>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Fano direct-sum carrier</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proved in the internal model</w:t>
            </w:r>
          </w:p>
        </w:tc>
      </w:tr>
      <w:tr>
        <w:trPr>
          <w:cantSplit/>
          <w:cantSplit/>
        </w:trPr>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T-PH-008</w:t>
            </w:r>
          </w:p>
        </w:tc>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Conditional Fano carrier</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conditional on the identification axiom</w:t>
            </w:r>
          </w:p>
        </w:tc>
      </w:tr>
      <w:tr>
        <w:trPr>
          <w:cantSplit/>
          <w:cantSplit/>
        </w:trPr>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T-PH-009</w:t>
            </w:r>
          </w:p>
        </w:tc>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Reper harmonic method lemma</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method lemma; not classical novelty</w:t>
            </w:r>
          </w:p>
        </w:tc>
      </w:tr>
    </w:tbl>
    <w:p>
      <w:pPr>
        <w:spacing w:after="40"/>
      </w:pPr>
    </w:p>
    <w:tbl>
      <w:tblPr>
        <w:tblW w:type="auto" w:w="0"/>
        <w:jc w:val="center"/>
        <w:tblLook w:firstColumn="1" w:firstRow="1" w:lastColumn="0" w:lastRow="0" w:noHBand="0" w:noVBand="1" w:val="04A0"/>
      </w:tblPr>
      <w:tblGrid>
        <w:gridCol w:w="10092"/>
      </w:tblGrid>
      <w:tr>
        <w:trPr>
          <w:cantSplit/>
          <w:tblHeader w:val="true"/>
        </w:trPr>
        <w:tc>
          <w:tcPr>
            <w:tcW w:type="dxa" w:w="10092"/>
            <w:shd w:fill="F8E6E4"/>
            <w:tcMar>
              <w:top w:w="90" w:type="dxa"/>
              <w:start w:w="100" w:type="dxa"/>
              <w:bottom w:w="90" w:type="dxa"/>
              <w:end w:w="100" w:type="dxa"/>
            </w:tcMar>
            <w:vAlign w:val="center"/>
          </w:tcPr>
          <w:p>
            <w:pPr>
              <w:spacing w:after="0" w:line="252" w:lineRule="auto" w:before="0"/>
            </w:pPr>
            <w:r>
              <w:rPr>
                <w:rFonts w:ascii="DejaVu Serif" w:hAnsi="DejaVu Serif" w:eastAsia="DejaVu Serif"/>
                <w:b/>
                <w:color w:val="A32626"/>
                <w:sz w:val="18"/>
              </w:rPr>
              <w:t xml:space="preserve">FANO BOUNDARY.  </w:t>
            </w:r>
            <w:r>
              <w:rPr>
                <w:rFonts w:ascii="DejaVu Serif" w:hAnsi="DejaVu Serif" w:eastAsia="DejaVu Serif"/>
                <w:b w:val="0"/>
                <w:color w:val="111111"/>
                <w:sz w:val="18"/>
              </w:rPr>
              <w:t>The Fano plane is an ontological barrier only inside the declared RPD model. Local obstruction carriers do not globalise automatically to P²(𝔽₂). A carrier transition requires explicit compatibility maps; an external open obstruction result is not inherited without a separate morphism.</w:t>
            </w:r>
          </w:p>
        </w:tc>
      </w:tr>
    </w:tbl>
    <w:p>
      <w:pPr>
        <w:spacing w:after="20"/>
      </w:pPr>
    </w:p>
    <w:p>
      <w:pPr>
        <w:pStyle w:val="Heading2"/>
        <w:keepNext/>
        <w:spacing w:before="100" w:after="80"/>
      </w:pPr>
      <w:r>
        <w:rPr>
          <w:rFonts w:ascii="DejaVu Sans" w:hAnsi="DejaVu Sans" w:eastAsia="DejaVu Sans"/>
          <w:b/>
          <w:i w:val="0"/>
          <w:color w:val="1F4E78"/>
          <w:sz w:val="25"/>
        </w:rPr>
        <w:t>7.3. Algebra of Evidence Gates</w:t>
      </w:r>
    </w:p>
    <w:p>
      <w:pPr>
        <w:keepLines w:val="0"/>
        <w:spacing w:after="80" w:line="269" w:lineRule="auto"/>
        <w:ind w:firstLine="312"/>
        <w:jc w:val="both"/>
      </w:pPr>
      <w:r>
        <w:rPr>
          <w:rFonts w:ascii="DejaVu Serif" w:hAnsi="DejaVu Serif" w:eastAsia="DejaVu Serif"/>
          <w:b w:val="0"/>
          <w:i w:val="0"/>
          <w:sz w:val="21"/>
        </w:rPr>
        <w:t>For a branch of inquiry define a binary evidence vector e=(d_Dom,d_D,d_prf,d_null,d_ind), recording domain admissibility, sufficient foundation, proof object, matched null, and independent evidence. A formal theorem branch uses Dom, D, and the proof object; an empirical-predictive branch additionally uses the matched null, CGI&lt;1, and independent verification.</w:t>
      </w:r>
    </w:p>
    <w:p>
      <w:pPr>
        <w:keepLines/>
        <w:spacing w:before="60" w:after="80"/>
        <w:jc w:val="center"/>
      </w:pPr>
      <w:r>
        <w:rPr>
          <w:rFonts w:ascii="DejaVu Serif" w:hAnsi="DejaVu Serif" w:eastAsia="DejaVu Serif"/>
          <w:b w:val="0"/>
          <w:i w:val="0"/>
          <w:color w:val="173B63"/>
          <w:sz w:val="22"/>
        </w:rPr>
        <w:t>Gate_form(e)=d_Dom·d_D·d_prf</w:t>
      </w:r>
      <w:r>
        <w:rPr>
          <w:rFonts w:ascii="DejaVu Sans" w:hAnsi="DejaVu Sans" w:eastAsia="DejaVu Sans"/>
          <w:b w:val="0"/>
          <w:i w:val="0"/>
          <w:color w:val="5E6873"/>
          <w:sz w:val="15"/>
        </w:rPr>
        <w:t xml:space="preserve">    [RU p. 30]</w:t>
      </w:r>
    </w:p>
    <w:p>
      <w:pPr>
        <w:keepLines/>
        <w:spacing w:before="60" w:after="80"/>
        <w:jc w:val="center"/>
      </w:pPr>
      <w:r>
        <w:rPr>
          <w:rFonts w:ascii="DejaVu Serif" w:hAnsi="DejaVu Serif" w:eastAsia="DejaVu Serif"/>
          <w:b w:val="0"/>
          <w:i w:val="0"/>
          <w:color w:val="173B63"/>
          <w:sz w:val="22"/>
        </w:rPr>
        <w:t>Gate_pred(e)=d_Dom·d_D·d_prf·d_null·d_ind·1[CGI&lt;1]</w:t>
      </w:r>
      <w:r>
        <w:rPr>
          <w:rFonts w:ascii="DejaVu Sans" w:hAnsi="DejaVu Sans" w:eastAsia="DejaVu Sans"/>
          <w:b w:val="0"/>
          <w:i w:val="0"/>
          <w:color w:val="5E6873"/>
          <w:sz w:val="15"/>
        </w:rPr>
        <w:t xml:space="preserve">    [RU p. 30]</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Proposition 7.1 — No Status Jump [PROP]  </w:t>
            </w:r>
            <w:r>
              <w:rPr>
                <w:rFonts w:ascii="DejaVu Serif" w:hAnsi="DejaVu Serif" w:eastAsia="DejaVu Serif"/>
                <w:b w:val="0"/>
                <w:color w:val="111111"/>
                <w:sz w:val="18"/>
              </w:rPr>
              <w:t>If Gate(e)=0, the authorization operator must return status≤candidate. Adding evidence may preserve or increase an admissible status; removing evidence cannot increase it.</w:t>
            </w:r>
          </w:p>
        </w:tc>
      </w:tr>
    </w:tbl>
    <w:p>
      <w:pPr>
        <w:spacing w:after="20"/>
      </w:pPr>
    </w:p>
    <w:p>
      <w:pPr>
        <w:spacing w:after="80" w:line="264" w:lineRule="auto"/>
        <w:ind w:firstLine="312"/>
        <w:jc w:val="both"/>
      </w:pPr>
      <w:r>
        <w:rPr>
          <w:rFonts w:ascii="DejaVu Serif" w:hAnsi="DejaVu Serif" w:eastAsia="DejaVu Serif"/>
          <w:b/>
          <w:sz w:val="20"/>
        </w:rPr>
        <w:t xml:space="preserve">Proof. </w:t>
      </w:r>
      <w:r>
        <w:rPr>
          <w:rFonts w:ascii="DejaVu Serif" w:hAnsi="DejaVu Serif" w:eastAsia="DejaVu Serif"/>
          <w:sz w:val="20"/>
        </w:rPr>
        <w:t>The functions Gate_form and Gate_pred are monotone in the componentwise order on {0,1}⁵. A zero mandatory gate makes the product zero, prohibiting authorization of a stronger status.</w:t>
      </w:r>
    </w:p>
    <w:p>
      <w:pPr>
        <w:pStyle w:val="Heading2"/>
        <w:keepNext/>
        <w:spacing w:before="100" w:after="80"/>
      </w:pPr>
      <w:r>
        <w:rPr>
          <w:rFonts w:ascii="DejaVu Sans" w:hAnsi="DejaVu Sans" w:eastAsia="DejaVu Sans"/>
          <w:b/>
          <w:i w:val="0"/>
          <w:color w:val="1F4E78"/>
          <w:sz w:val="25"/>
        </w:rPr>
        <w:t>7.4. ABSTAIN as a Positive Operator Result</w:t>
      </w:r>
    </w:p>
    <w:tbl>
      <w:tblPr>
        <w:tblW w:type="auto" w:w="0"/>
        <w:jc w:val="center"/>
        <w:tblLook w:firstColumn="1" w:firstRow="1" w:lastColumn="0" w:lastRow="0" w:noHBand="0" w:noVBand="1" w:val="04A0"/>
      </w:tblPr>
      <w:tblGrid>
        <w:gridCol w:w="10092"/>
      </w:tblGrid>
      <w:tr>
        <w:trPr>
          <w:cantSplit/>
          <w:tblHeader w:val="true"/>
        </w:trPr>
        <w:tc>
          <w:tcPr>
            <w:tcW w:type="dxa" w:w="10092"/>
            <w:shd w:fill="F6EEDB"/>
            <w:tcMar>
              <w:top w:w="90" w:type="dxa"/>
              <w:start w:w="100" w:type="dxa"/>
              <w:bottom w:w="90" w:type="dxa"/>
              <w:end w:w="100" w:type="dxa"/>
            </w:tcMar>
            <w:vAlign w:val="center"/>
          </w:tcPr>
          <w:p>
            <w:pPr>
              <w:spacing w:after="0" w:line="252" w:lineRule="auto" w:before="0"/>
            </w:pPr>
            <w:r>
              <w:rPr>
                <w:rFonts w:ascii="DejaVu Serif" w:hAnsi="DejaVu Serif" w:eastAsia="DejaVu Serif"/>
                <w:b/>
                <w:color w:val="A87918"/>
                <w:sz w:val="18"/>
              </w:rPr>
              <w:t xml:space="preserve">PHILOSOPHICAL INSERT.  </w:t>
            </w:r>
            <w:r>
              <w:rPr>
                <w:rFonts w:ascii="DejaVu Serif" w:hAnsi="DejaVu Serif" w:eastAsia="DejaVu Serif"/>
                <w:b w:val="0"/>
                <w:color w:val="111111"/>
                <w:sz w:val="18"/>
              </w:rPr>
              <w:t>ABSTAIN is not an empty computation. It states positively that no candidate in the current evidence horizon has passed all mandatory gates. It preserves the distinction among possibility, plausibility, and an authorized claim.</w:t>
            </w:r>
          </w:p>
        </w:tc>
      </w:tr>
    </w:tbl>
    <w:p>
      <w:pPr>
        <w:spacing w:after="20"/>
      </w:pPr>
    </w:p>
    <w:p>
      <w:pPr>
        <w:keepLines w:val="0"/>
        <w:spacing w:after="80" w:line="269" w:lineRule="auto"/>
        <w:ind w:firstLine="312"/>
        <w:jc w:val="both"/>
      </w:pPr>
      <w:r>
        <w:rPr>
          <w:rFonts w:ascii="DejaVu Serif" w:hAnsi="DejaVu Serif" w:eastAsia="DejaVu Serif"/>
          <w:b w:val="0"/>
          <w:i w:val="0"/>
          <w:sz w:val="21"/>
        </w:rPr>
        <w:t>When Gate_pred(e)=0, the result contains ABSTAIN together with the set of unfulfilled gates. This trace turns abstention into a diagnostic message: it identifies which new evidence could change the status without promising that the evidence will necessarily promote the claim.</w:t>
      </w:r>
    </w:p>
    <w:p>
      <w:pPr>
        <w:pStyle w:val="Heading2"/>
        <w:keepNext/>
        <w:spacing w:before="100" w:after="80"/>
      </w:pPr>
      <w:r>
        <w:rPr>
          <w:rFonts w:ascii="DejaVu Sans" w:hAnsi="DejaVu Sans" w:eastAsia="DejaVu Sans"/>
          <w:b/>
          <w:i w:val="0"/>
          <w:color w:val="1F4E78"/>
          <w:sz w:val="25"/>
        </w:rPr>
        <w:t>7.5. Lattice of Evidence Gates</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Definition 7.2 [DEF-A].  </w:t>
            </w:r>
            <w:r>
              <w:rPr>
                <w:rFonts w:ascii="DejaVu Serif" w:hAnsi="DejaVu Serif" w:eastAsia="DejaVu Serif"/>
                <w:b w:val="0"/>
                <w:color w:val="111111"/>
                <w:sz w:val="18"/>
              </w:rPr>
              <w:t>The gate vector of a claim c is G(c)=(s,dom,d,p,n,k,i)∈{0,1}⁷, where s is a traceable source, dom a satisfied Dom, d a sufficient D, p a proof object, n a null-model check, k calibration, and i independent verification. The componentwise order defines evidence inclusion.</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Theorem 7.3 — Status Monotonicity [THM]  </w:t>
            </w:r>
            <w:r>
              <w:rPr>
                <w:rFonts w:ascii="DejaVu Serif" w:hAnsi="DejaVu Serif" w:eastAsia="DejaVu Serif"/>
                <w:b w:val="0"/>
                <w:color w:val="111111"/>
                <w:sz w:val="18"/>
              </w:rPr>
              <w:t>Let status σ(G) be monotone in the componentwise order, and let every level require a fixed set of gates. A transformation that adds no newly verified gate cannot increase σ.</w:t>
            </w:r>
          </w:p>
        </w:tc>
      </w:tr>
    </w:tbl>
    <w:p>
      <w:pPr>
        <w:spacing w:after="20"/>
      </w:pPr>
    </w:p>
    <w:p>
      <w:pPr>
        <w:spacing w:after="80" w:line="264" w:lineRule="auto"/>
        <w:ind w:firstLine="312"/>
        <w:jc w:val="both"/>
      </w:pPr>
      <w:r>
        <w:rPr>
          <w:rFonts w:ascii="DejaVu Serif" w:hAnsi="DejaVu Serif" w:eastAsia="DejaVu Serif"/>
          <w:b/>
          <w:sz w:val="20"/>
        </w:rPr>
        <w:t xml:space="preserve">Proof. </w:t>
      </w:r>
      <w:r>
        <w:rPr>
          <w:rFonts w:ascii="DejaVu Serif" w:hAnsi="DejaVu Serif" w:eastAsia="DejaVu Serif"/>
          <w:sz w:val="20"/>
        </w:rPr>
        <w:t>If the transformation leaves G unchanged or produces G′≤G, monotonicity gives σ(G′)≤σ(G). Strict promotion requires at least one new coordinate 0→1 and satisfaction of all gates of the new level.</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Corollary 7.4 [THM].  </w:t>
            </w:r>
            <w:r>
              <w:rPr>
                <w:rFonts w:ascii="DejaVu Serif" w:hAnsi="DejaVu Serif" w:eastAsia="DejaVu Serif"/>
                <w:b w:val="0"/>
                <w:color w:val="111111"/>
                <w:sz w:val="18"/>
              </w:rPr>
              <w:t>Projective normalization, editorial renaming, visualization, or export to another domain does not promote a status without new D, an enlarged Dom, a proof object, null-model verification, calibration, or independent evidence.</w:t>
            </w:r>
          </w:p>
        </w:tc>
      </w:tr>
    </w:tbl>
    <w:p>
      <w:pPr>
        <w:spacing w:after="20"/>
      </w:pPr>
    </w:p>
    <w:p>
      <w:pPr>
        <w:pStyle w:val="Heading2"/>
        <w:keepNext/>
        <w:spacing w:before="100" w:after="80"/>
      </w:pPr>
      <w:r>
        <w:rPr>
          <w:rFonts w:ascii="DejaVu Sans" w:hAnsi="DejaVu Sans" w:eastAsia="DejaVu Sans"/>
          <w:b/>
          <w:i w:val="0"/>
          <w:color w:val="1F4E78"/>
          <w:sz w:val="25"/>
        </w:rPr>
        <w:t>7.6. Conjunctive Authorization and the ABSTAIN Principle</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Definition 7.5 [DEF-A].  </w:t>
            </w:r>
            <w:r>
              <w:rPr>
                <w:rFonts w:ascii="DejaVu Serif" w:hAnsi="DejaVu Serif" w:eastAsia="DejaVu Serif"/>
                <w:b w:val="0"/>
                <w:color w:val="111111"/>
                <w:sz w:val="18"/>
              </w:rPr>
              <w:t>Authorization of level L is Auth_L(c)=∧ⱼ∈J_L Gⱼ(c), where J_L is the set of mandatory gates. If any mandatory value is zero or unknown, the result is ABSTAIN rather than negation of c.</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Theorem 7.6 — Safety of Abstention [THM]  </w:t>
            </w:r>
            <w:r>
              <w:rPr>
                <w:rFonts w:ascii="DejaVu Serif" w:hAnsi="DejaVu Serif" w:eastAsia="DejaVu Serif"/>
                <w:b w:val="0"/>
                <w:color w:val="111111"/>
                <w:sz w:val="18"/>
              </w:rPr>
              <w:t>If Auth_L(c)=0 because a gate is missing, assigning status L without new evidence violates the level specification. Retaining the prior status or returning ABSTAIN does not violate it.</w:t>
            </w:r>
          </w:p>
        </w:tc>
      </w:tr>
    </w:tbl>
    <w:p>
      <w:pPr>
        <w:spacing w:after="20"/>
      </w:pPr>
    </w:p>
    <w:p>
      <w:pPr>
        <w:spacing w:after="80" w:line="264" w:lineRule="auto"/>
        <w:ind w:firstLine="312"/>
        <w:jc w:val="both"/>
      </w:pPr>
      <w:r>
        <w:rPr>
          <w:rFonts w:ascii="DejaVu Serif" w:hAnsi="DejaVu Serif" w:eastAsia="DejaVu Serif"/>
          <w:b/>
          <w:sz w:val="20"/>
        </w:rPr>
        <w:t xml:space="preserve">Proof. </w:t>
      </w:r>
      <w:r>
        <w:rPr>
          <w:rFonts w:ascii="DejaVu Serif" w:hAnsi="DejaVu Serif" w:eastAsia="DejaVu Serif"/>
          <w:sz w:val="20"/>
        </w:rPr>
        <w:t>The level is defined conjunctively. Replacing a missing factor 0 with a declarative 1 without evidence creates a false positive. Abstention preserves the actual gate vector.</w:t>
      </w:r>
    </w:p>
    <w:p>
      <w:pPr>
        <w:pStyle w:val="Heading2"/>
        <w:keepNext/>
        <w:spacing w:before="100" w:after="80"/>
      </w:pPr>
      <w:r>
        <w:rPr>
          <w:rFonts w:ascii="DejaVu Sans" w:hAnsi="DejaVu Sans" w:eastAsia="DejaVu Sans"/>
          <w:b/>
          <w:i w:val="0"/>
          <w:color w:val="1F4E78"/>
          <w:sz w:val="25"/>
        </w:rPr>
        <w:t>7.7. Mathematical, Computational, and Empirical Ladders</w:t>
      </w:r>
    </w:p>
    <w:p>
      <w:pPr>
        <w:keepLines w:val="0"/>
        <w:spacing w:after="80" w:line="269" w:lineRule="auto"/>
        <w:ind w:firstLine="312"/>
        <w:jc w:val="both"/>
      </w:pPr>
      <w:r>
        <w:rPr>
          <w:rFonts w:ascii="DejaVu Serif" w:hAnsi="DejaVu Serif" w:eastAsia="DejaVu Serif"/>
          <w:b w:val="0"/>
          <w:i w:val="0"/>
          <w:sz w:val="21"/>
        </w:rPr>
        <w:t>The mathematical ladder uses definitions, axioms, theorems, and counterexamples. The computational ladder adds code, test vectors, precision, and reproducibility. The empirical ladder additionally requires data, a matched null, calibration, CGI&lt;1, and independent verification. Movement between these ladders is not automatic.</w:t>
      </w:r>
    </w:p>
    <w:tbl>
      <w:tblPr>
        <w:tblW w:type="auto" w:w="0"/>
        <w:jc w:val="center"/>
        <w:tblLook w:firstColumn="1" w:firstRow="1" w:lastColumn="0" w:lastRow="0" w:noHBand="0" w:noVBand="1" w:val="04A0"/>
      </w:tblPr>
      <w:tblGrid>
        <w:gridCol w:w="10092"/>
      </w:tblGrid>
      <w:tr>
        <w:trPr>
          <w:cantSplit/>
          <w:tblHeader w:val="true"/>
        </w:trPr>
        <w:tc>
          <w:tcPr>
            <w:tcW w:type="dxa" w:w="10092"/>
            <w:shd w:fill="EAF1F7"/>
            <w:tcMar>
              <w:top w:w="90" w:type="dxa"/>
              <w:start w:w="100" w:type="dxa"/>
              <w:bottom w:w="90" w:type="dxa"/>
              <w:end w:w="100" w:type="dxa"/>
            </w:tcMar>
            <w:vAlign w:val="center"/>
          </w:tcPr>
          <w:p>
            <w:pPr>
              <w:spacing w:after="0" w:line="252" w:lineRule="auto" w:before="0"/>
            </w:pPr>
            <w:r>
              <w:rPr>
                <w:rFonts w:ascii="DejaVu Serif" w:hAnsi="DejaVu Serif" w:eastAsia="DejaVu Serif"/>
                <w:b/>
                <w:color w:val="173B63"/>
                <w:sz w:val="18"/>
              </w:rPr>
              <w:t xml:space="preserve">CHAPTER 7 PASSPORT.  </w:t>
            </w:r>
            <w:r>
              <w:rPr>
                <w:rFonts w:ascii="DejaVu Serif" w:hAnsi="DejaVu Serif" w:eastAsia="DejaVu Serif"/>
                <w:b w:val="0"/>
                <w:color w:val="111111"/>
                <w:sz w:val="18"/>
              </w:rPr>
              <w:t>D and Dom occupy different gate coordinates. λ and δ are computable invariants, not independent-evidence coordinates. KMA values remain search labels and do not alter G(c).</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F6EEDB"/>
            <w:tcMar>
              <w:top w:w="90" w:type="dxa"/>
              <w:start w:w="100" w:type="dxa"/>
              <w:bottom w:w="90" w:type="dxa"/>
              <w:end w:w="100" w:type="dxa"/>
            </w:tcMar>
            <w:vAlign w:val="center"/>
          </w:tcPr>
          <w:p>
            <w:pPr>
              <w:spacing w:after="0" w:line="252" w:lineRule="auto" w:before="0"/>
            </w:pPr>
            <w:r>
              <w:rPr>
                <w:rFonts w:ascii="DejaVu Serif" w:hAnsi="DejaVu Serif" w:eastAsia="DejaVu Serif"/>
                <w:b/>
                <w:color w:val="A87918"/>
                <w:sz w:val="18"/>
              </w:rPr>
              <w:t xml:space="preserve">PHILOSOPHICAL INSERT.  </w:t>
            </w:r>
            <w:r>
              <w:rPr>
                <w:rFonts w:ascii="DejaVu Serif" w:hAnsi="DejaVu Serif" w:eastAsia="DejaVu Serif"/>
                <w:b w:val="0"/>
                <w:color w:val="111111"/>
                <w:sz w:val="18"/>
              </w:rPr>
              <w:t>The status ladder measures not the greatness of an idea but the length of the verified path to it. ABSTAIN keeps that path visible: it does not deny possible truth but forbids presenting possibility as an already completed foundation.</w:t>
            </w:r>
          </w:p>
        </w:tc>
      </w:tr>
    </w:tbl>
    <w:p>
      <w:pPr>
        <w:spacing w:after="20"/>
      </w:pPr>
    </w:p>
    <w:p>
      <w:pPr>
        <w:pStyle w:val="Heading1"/>
        <w:keepNext/>
        <w:spacing w:before="160" w:after="80"/>
      </w:pPr>
      <w:bookmarkStart w:id="1007" w:name="T1_CH_08"/>
      <w:r>
        <w:rPr>
          <w:rFonts w:ascii="DejaVu Sans" w:hAnsi="DejaVu Sans" w:eastAsia="DejaVu Sans"/>
          <w:b/>
          <w:i w:val="0"/>
          <w:color w:val="1F4E78"/>
          <w:sz w:val="32"/>
        </w:rPr>
        <w:t>Chapter 8. Packet Laws of Logic and Rules of Inference</w:t>
      </w:r>
      <w:bookmarkEnd w:id="1007"/>
    </w:p>
    <w:p>
      <w:pPr>
        <w:spacing w:after="60" w:line="259" w:lineRule="auto"/>
        <w:jc w:val="left"/>
      </w:pPr>
      <w:r>
        <w:rPr>
          <w:rFonts w:ascii="DejaVu Serif" w:hAnsi="DejaVu Serif" w:eastAsia="DejaVu Serif"/>
          <w:b w:val="0"/>
          <w:i/>
          <w:color w:val="5E6873"/>
          <w:sz w:val="18"/>
        </w:rPr>
        <w:t>Russian source locator: pp. 31–34</w:t>
      </w:r>
    </w:p>
    <w:tbl>
      <w:tblPr>
        <w:tblW w:type="auto" w:w="0"/>
        <w:jc w:val="center"/>
        <w:tblLook w:firstColumn="1" w:firstRow="1" w:lastColumn="0" w:lastRow="0" w:noHBand="0" w:noVBand="1" w:val="04A0"/>
      </w:tblPr>
      <w:tblGrid>
        <w:gridCol w:w="5046"/>
        <w:gridCol w:w="5046"/>
      </w:tblGrid>
      <w:tr>
        <w:trPr>
          <w:cantSplit/>
          <w:cantSplit/>
          <w:tblHeader w:val="true"/>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PLAIN-LANGUAGE MEANING</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The classical laws of logic are translated into packet language, where state, possibility, domain, and sufficient foundation are explicit.</w:t>
            </w:r>
          </w:p>
        </w:tc>
      </w:tr>
      <w:tr>
        <w:trPr>
          <w:cantSplit/>
          <w:cantSplit/>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MATHEMATICAL CORE</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Packet forms of identity, non-contradiction, excluded middle, sufficient reason, and syllogism are formulated, together with a three-valued D/Dom semantics.</w:t>
            </w:r>
          </w:p>
        </w:tc>
      </w:tr>
      <w:tr>
        <w:trPr>
          <w:cantSplit/>
          <w:cantSplit/>
        </w:trPr>
        <w:tc>
          <w:tcPr>
            <w:tcW w:type="dxa" w:w="1814"/>
            <w:tcMar>
              <w:top w:w="90" w:type="dxa"/>
              <w:start w:w="100" w:type="dxa"/>
              <w:bottom w:w="90" w:type="dxa"/>
              <w:end w:w="100" w:type="dxa"/>
            </w:tcMar>
            <w:vAlign w:val="center"/>
            <w:shd w:fill="173B63"/>
          </w:tcPr>
          <w:p>
            <w:pPr>
              <w:spacing w:after="0" w:before="0" w:line="252" w:lineRule="auto"/>
              <w:jc w:val="center"/>
            </w:pPr>
            <w:r>
              <w:rPr>
                <w:rFonts w:ascii="DejaVu Serif" w:hAnsi="DejaVu Serif" w:eastAsia="DejaVu Serif"/>
                <w:b/>
                <w:color w:val="FFFFFF"/>
                <w:sz w:val="18"/>
              </w:rPr>
              <w:t>BOUNDARY OF THE CLAIM</w:t>
            </w:r>
          </w:p>
        </w:tc>
        <w:tc>
          <w:tcPr>
            <w:tcW w:type="dxa" w:w="7483"/>
            <w:tcMar>
              <w:top w:w="90" w:type="dxa"/>
              <w:start w:w="100" w:type="dxa"/>
              <w:bottom w:w="90" w:type="dxa"/>
              <w:end w:w="100" w:type="dxa"/>
            </w:tcMar>
            <w:vAlign w:val="center"/>
            <w:shd w:fill="EAF1F7"/>
          </w:tcPr>
          <w:p>
            <w:pPr>
              <w:spacing w:after="0" w:before="0" w:line="252" w:lineRule="auto"/>
              <w:jc w:val="left"/>
            </w:pPr>
            <w:r>
              <w:rPr>
                <w:rFonts w:ascii="DejaVu Serif" w:hAnsi="DejaVu Serif" w:eastAsia="DejaVu Serif"/>
                <w:b w:val="0"/>
                <w:color w:val="111111"/>
                <w:sz w:val="18"/>
              </w:rPr>
              <w:t>Formal validity of inference does not prove the truth of its premises; truth status requires a separate Reper and domain check.</w:t>
            </w:r>
          </w:p>
        </w:tc>
      </w:tr>
      <w:tr>
        <w:trPr>
          <w:cantSplit/>
          <w:cantSplit/>
        </w:trPr>
        <w:tc>
          <w:tcPr>
            <w:tcW w:type="dxa" w:w="1814"/>
            <w:tcMar>
              <w:top w:w="90" w:type="dxa"/>
              <w:start w:w="100" w:type="dxa"/>
              <w:bottom w:w="90" w:type="dxa"/>
              <w:end w:w="100" w:type="dxa"/>
            </w:tcMar>
            <w:vAlign w:val="center"/>
            <w:shd w:fill="A87918"/>
          </w:tcPr>
          <w:p>
            <w:pPr>
              <w:spacing w:after="0" w:before="0" w:line="252" w:lineRule="auto"/>
              <w:jc w:val="center"/>
            </w:pPr>
            <w:r>
              <w:rPr>
                <w:rFonts w:ascii="DejaVu Serif" w:hAnsi="DejaVu Serif" w:eastAsia="DejaVu Serif"/>
                <w:b/>
                <w:color w:val="FFFFFF"/>
                <w:sz w:val="18"/>
              </w:rPr>
              <w:t>STATUS</w:t>
            </w:r>
          </w:p>
        </w:tc>
        <w:tc>
          <w:tcPr>
            <w:tcW w:type="dxa" w:w="7483"/>
            <w:tcMar>
              <w:top w:w="90" w:type="dxa"/>
              <w:start w:w="100" w:type="dxa"/>
              <w:bottom w:w="90" w:type="dxa"/>
              <w:end w:w="100" w:type="dxa"/>
            </w:tcMar>
            <w:vAlign w:val="center"/>
            <w:shd w:fill="F6EEDB"/>
          </w:tcPr>
          <w:p>
            <w:pPr>
              <w:spacing w:after="0" w:before="0" w:line="252" w:lineRule="auto"/>
              <w:jc w:val="left"/>
            </w:pPr>
            <w:r>
              <w:rPr>
                <w:rFonts w:ascii="DejaVu Serif" w:hAnsi="DejaVu Serif" w:eastAsia="DejaVu Serif"/>
                <w:b w:val="0"/>
                <w:color w:val="111111"/>
                <w:sz w:val="18"/>
              </w:rPr>
              <w:t>FORMAL SYSTEM</w:t>
            </w:r>
          </w:p>
        </w:tc>
      </w:tr>
    </w:tbl>
    <w:p>
      <w:pPr>
        <w:spacing w:after="20"/>
      </w:pPr>
    </w:p>
    <w:p>
      <w:pPr>
        <w:keepLines w:val="0"/>
        <w:spacing w:after="80" w:line="269" w:lineRule="auto"/>
        <w:ind w:firstLine="312"/>
        <w:jc w:val="both"/>
      </w:pPr>
      <w:r>
        <w:rPr>
          <w:rFonts w:ascii="DejaVu Serif" w:hAnsi="DejaVu Serif" w:eastAsia="DejaVu Serif"/>
          <w:b w:val="0"/>
          <w:i w:val="0"/>
          <w:sz w:val="21"/>
        </w:rPr>
        <w:t>The classical laws of logic receive a packet-Reper interpretation. Identity retains the invariant axis I; non-contradiction controls realised content R; excluded middle constrains the field U within Dom; sufficient reason introduces D. In this sense the first three laws form a flag, while the fourth completes the Reper.</w:t>
      </w:r>
    </w:p>
    <w:p>
      <w:pPr>
        <w:keepNext/>
        <w:jc w:val="center"/>
      </w:pPr>
      <w:r>
        <w:drawing>
          <wp:inline xmlns:a="http://schemas.openxmlformats.org/drawingml/2006/main" xmlns:pic="http://schemas.openxmlformats.org/drawingml/2006/picture">
            <wp:extent cx="5688000" cy="2922304"/>
            <wp:docPr id="11" name="Picture 11"/>
            <wp:cNvGraphicFramePr>
              <a:graphicFrameLocks noChangeAspect="1"/>
            </wp:cNvGraphicFramePr>
            <a:graphic>
              <a:graphicData uri="http://schemas.openxmlformats.org/drawingml/2006/picture">
                <pic:pic>
                  <pic:nvPicPr>
                    <pic:cNvPr id="0" name="fig_ch8_logic.png"/>
                    <pic:cNvPicPr/>
                  </pic:nvPicPr>
                  <pic:blipFill>
                    <a:blip r:embed="rId23"/>
                    <a:stretch>
                      <a:fillRect/>
                    </a:stretch>
                  </pic:blipFill>
                  <pic:spPr>
                    <a:xfrm>
                      <a:off x="0" y="0"/>
                      <a:ext cx="5688000" cy="2922304"/>
                    </a:xfrm>
                    <a:prstGeom prst="rect"/>
                  </pic:spPr>
                </pic:pic>
              </a:graphicData>
            </a:graphic>
          </wp:inline>
        </w:drawing>
      </w:r>
    </w:p>
    <w:p>
      <w:pPr>
        <w:keepNext w:val="0"/>
        <w:spacing w:after="100"/>
        <w:jc w:val="center"/>
      </w:pPr>
      <w:bookmarkStart w:id="1068" w:name="T1_FIG_010"/>
      <w:r>
        <w:rPr>
          <w:rFonts w:ascii="DejaVu Serif" w:hAnsi="DejaVu Serif" w:eastAsia="DejaVu Serif"/>
          <w:b w:val="0"/>
          <w:i/>
          <w:color w:val="5E6873"/>
          <w:sz w:val="18"/>
        </w:rPr>
        <w:t>Figure 8.1. Packet correspondence of the logical laws to Reper components and the packet syllogism.</w:t>
      </w:r>
      <w:bookmarkEnd w:id="1068"/>
    </w:p>
    <w:p>
      <w:pPr>
        <w:pStyle w:val="Heading2"/>
        <w:keepNext/>
        <w:spacing w:before="100" w:after="80"/>
      </w:pPr>
      <w:r>
        <w:rPr>
          <w:rFonts w:ascii="DejaVu Sans" w:hAnsi="DejaVu Sans" w:eastAsia="DejaVu Sans"/>
          <w:b/>
          <w:i w:val="0"/>
          <w:color w:val="1F4E78"/>
          <w:sz w:val="25"/>
        </w:rPr>
        <w:t>8.1. Law of Identity</w:t>
      </w:r>
    </w:p>
    <w:p>
      <w:pPr>
        <w:keepLines w:val="0"/>
        <w:spacing w:after="80" w:line="269" w:lineRule="auto"/>
        <w:ind w:firstLine="312"/>
        <w:jc w:val="both"/>
      </w:pPr>
      <w:r>
        <w:rPr>
          <w:rFonts w:ascii="DejaVu Serif" w:hAnsi="DejaVu Serif" w:eastAsia="DejaVu Serif"/>
          <w:b w:val="0"/>
          <w:i w:val="0"/>
          <w:sz w:val="21"/>
        </w:rPr>
        <w:t>An object preserves identity relative to the declared invariant set and version. When the source version, unit of measurement, or domain changes, identity requires a new object card.</w:t>
      </w:r>
    </w:p>
    <w:p>
      <w:pPr>
        <w:pStyle w:val="Heading2"/>
        <w:keepNext/>
        <w:spacing w:before="100" w:after="80"/>
      </w:pPr>
      <w:r>
        <w:rPr>
          <w:rFonts w:ascii="DejaVu Sans" w:hAnsi="DejaVu Sans" w:eastAsia="DejaVu Sans"/>
          <w:b/>
          <w:i w:val="0"/>
          <w:color w:val="1F4E78"/>
          <w:sz w:val="25"/>
        </w:rPr>
        <w:t>8.2. Law of Non-Contradiction</w:t>
      </w:r>
    </w:p>
    <w:p>
      <w:pPr>
        <w:keepLines w:val="0"/>
        <w:spacing w:after="80" w:line="269" w:lineRule="auto"/>
        <w:ind w:firstLine="312"/>
        <w:jc w:val="both"/>
      </w:pPr>
      <w:r>
        <w:rPr>
          <w:rFonts w:ascii="DejaVu Serif" w:hAnsi="DejaVu Serif" w:eastAsia="DejaVu Serif"/>
          <w:b w:val="0"/>
          <w:i w:val="0"/>
          <w:sz w:val="21"/>
        </w:rPr>
        <w:t>A contradiction is recorded as a typed conflict between claims belonging to the same Dom and the same version. A difference of domains is not a logical contradiction; it requires a comparison morphism.</w:t>
      </w:r>
    </w:p>
    <w:p>
      <w:pPr>
        <w:pStyle w:val="Heading2"/>
        <w:keepNext/>
        <w:spacing w:before="100" w:after="80"/>
      </w:pPr>
      <w:r>
        <w:rPr>
          <w:rFonts w:ascii="DejaVu Sans" w:hAnsi="DejaVu Sans" w:eastAsia="DejaVu Sans"/>
          <w:b/>
          <w:i w:val="0"/>
          <w:color w:val="1F4E78"/>
          <w:sz w:val="25"/>
        </w:rPr>
        <w:t>8.3. Excluded Middle and the Field U</w:t>
      </w:r>
    </w:p>
    <w:p>
      <w:pPr>
        <w:keepLines w:val="0"/>
        <w:spacing w:after="80" w:line="269" w:lineRule="auto"/>
        <w:ind w:firstLine="312"/>
        <w:jc w:val="both"/>
      </w:pPr>
      <w:r>
        <w:rPr>
          <w:rFonts w:ascii="DejaVu Serif" w:hAnsi="DejaVu Serif" w:eastAsia="DejaVu Serif"/>
          <w:b w:val="0"/>
          <w:i w:val="0"/>
          <w:sz w:val="21"/>
        </w:rPr>
        <w:t>The field of possibilities U is not arbitrarily infinite; it is determined by the problem type, constraints, and boundary conditions. Packet logic may allow many alternatives at the U level but requires binary authorization of a concrete claim relative to D and Dom.</w:t>
      </w:r>
    </w:p>
    <w:p>
      <w:pPr>
        <w:pStyle w:val="Heading2"/>
        <w:keepNext/>
        <w:spacing w:before="100" w:after="80"/>
      </w:pPr>
      <w:r>
        <w:rPr>
          <w:rFonts w:ascii="DejaVu Sans" w:hAnsi="DejaVu Sans" w:eastAsia="DejaVu Sans"/>
          <w:b/>
          <w:i w:val="0"/>
          <w:color w:val="1F4E78"/>
          <w:sz w:val="25"/>
        </w:rPr>
        <w:t>8.4. Sufficient Reason</w:t>
      </w:r>
    </w:p>
    <w:p>
      <w:pPr>
        <w:keepLines w:val="0"/>
        <w:spacing w:after="80" w:line="269" w:lineRule="auto"/>
        <w:ind w:firstLine="312"/>
        <w:jc w:val="both"/>
      </w:pPr>
      <w:r>
        <w:rPr>
          <w:rFonts w:ascii="DejaVu Serif" w:hAnsi="DejaVu Serif" w:eastAsia="DejaVu Serif"/>
          <w:b w:val="0"/>
          <w:i w:val="0"/>
          <w:sz w:val="21"/>
        </w:rPr>
        <w:t>D is not reducible to a citation. The foundation must be relevant, verifiable, connected to the claim, and sufficient for the declared status.</w:t>
      </w:r>
    </w:p>
    <w:p>
      <w:pPr>
        <w:pStyle w:val="Heading2"/>
        <w:keepNext/>
        <w:spacing w:before="100" w:after="80"/>
      </w:pPr>
      <w:r>
        <w:rPr>
          <w:rFonts w:ascii="DejaVu Sans" w:hAnsi="DejaVu Sans" w:eastAsia="DejaVu Sans"/>
          <w:b/>
          <w:i w:val="0"/>
          <w:color w:val="1F4E78"/>
          <w:sz w:val="25"/>
        </w:rPr>
        <w:t>8.5. Packet Syllogism</w:t>
      </w:r>
    </w:p>
    <w:p>
      <w:pPr>
        <w:keepLines w:val="0"/>
        <w:spacing w:after="80" w:line="269" w:lineRule="auto"/>
        <w:ind w:firstLine="312"/>
        <w:jc w:val="both"/>
      </w:pPr>
      <w:r>
        <w:rPr>
          <w:rFonts w:ascii="DejaVu Serif" w:hAnsi="DejaVu Serif" w:eastAsia="DejaVu Serif"/>
          <w:b w:val="0"/>
          <w:i w:val="0"/>
          <w:sz w:val="21"/>
        </w:rPr>
        <w:t>A syllogism is admissible when the premises are typed, the middle term is preserved by the morphisms, the domains are compatible, and the conclusion receives no status higher than the weakest premise permits.</w:t>
      </w:r>
    </w:p>
    <w:p>
      <w:pPr>
        <w:pStyle w:val="Heading2"/>
        <w:keepNext/>
        <w:spacing w:before="100" w:after="80"/>
      </w:pPr>
      <w:r>
        <w:rPr>
          <w:rFonts w:ascii="DejaVu Sans" w:hAnsi="DejaVu Sans" w:eastAsia="DejaVu Sans"/>
          <w:b/>
          <w:i w:val="0"/>
          <w:color w:val="1F4E78"/>
          <w:sz w:val="25"/>
        </w:rPr>
        <w:t>8.5.A. Normalized Archival Logic Layer</w:t>
      </w:r>
    </w:p>
    <w:p>
      <w:pPr>
        <w:keepLines w:val="0"/>
        <w:spacing w:after="80" w:line="269" w:lineRule="auto"/>
        <w:ind w:firstLine="312"/>
        <w:jc w:val="both"/>
      </w:pPr>
      <w:r>
        <w:rPr>
          <w:rFonts w:ascii="DejaVu Serif" w:hAnsi="DejaVu Serif" w:eastAsia="DejaVu Serif"/>
          <w:b w:val="0"/>
          <w:i w:val="0"/>
          <w:sz w:val="21"/>
        </w:rPr>
        <w:t>The preserved FOS article mapped the four logical laws to the Reper roles as follows: non-contradiction selects one realised event-state and therefore fixes R; excluded middle couples the state with its admissible complement and therefore structures U; identity preserves the event invariant and therefore fixes I; sufficient reason closes cause, domain, and support and therefore supplies D. The first three laws form a flag; the fourth supplies the harmonic point that completes a Reper.</w:t>
      </w:r>
    </w:p>
    <w:tbl>
      <w:tblPr>
        <w:tblW w:type="auto" w:w="0"/>
        <w:jc w:val="center"/>
        <w:tblLook w:firstColumn="1" w:firstRow="1" w:lastColumn="0" w:lastRow="0" w:noHBand="0" w:noVBand="1" w:val="04A0"/>
      </w:tblPr>
      <w:tblGrid>
        <w:gridCol w:w="3364"/>
        <w:gridCol w:w="3364"/>
        <w:gridCol w:w="3364"/>
      </w:tblGrid>
      <w:tr>
        <w:trPr>
          <w:tblHeader w:val="true"/>
          <w:cantSplit/>
          <w:cantSplit/>
          <w:tblHeader w:val="true"/>
        </w:trPr>
        <w:tc>
          <w:tcPr>
            <w:tcW w:type="dxa" w:w="2438"/>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Law</w:t>
            </w:r>
          </w:p>
        </w:tc>
        <w:tc>
          <w:tcPr>
            <w:tcW w:type="dxa" w:w="4592"/>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Packet function</w:t>
            </w:r>
          </w:p>
        </w:tc>
        <w:tc>
          <w:tcPr>
            <w:tcW w:type="dxa" w:w="2324"/>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Reper role</w:t>
            </w:r>
          </w:p>
        </w:tc>
      </w:tr>
      <w:tr>
        <w:trPr>
          <w:cantSplit/>
          <w:cantSplit/>
        </w:trPr>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Non-contradiction</w:t>
            </w:r>
          </w:p>
        </w:tc>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selection of one event-state</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R</w:t>
            </w:r>
          </w:p>
        </w:tc>
      </w:tr>
      <w:tr>
        <w:trPr>
          <w:cantSplit/>
          <w:cantSplit/>
        </w:trPr>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Excluded middle</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coupling with admissible complement</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U</w:t>
            </w:r>
          </w:p>
        </w:tc>
      </w:tr>
      <w:tr>
        <w:trPr>
          <w:cantSplit/>
          <w:cantSplit/>
        </w:trPr>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Identity</w:t>
            </w:r>
          </w:p>
        </w:tc>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preservation of event invariant</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I</w:t>
            </w:r>
          </w:p>
        </w:tc>
      </w:tr>
      <w:tr>
        <w:trPr>
          <w:cantSplit/>
          <w:cantSplit/>
        </w:trPr>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Sufficient reason</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closure of cause, domain, and support</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D</w:t>
            </w:r>
          </w:p>
        </w:tc>
      </w:tr>
    </w:tbl>
    <w:p>
      <w:pPr>
        <w:spacing w:after="40"/>
      </w:pPr>
    </w:p>
    <w:tbl>
      <w:tblPr>
        <w:tblW w:type="auto" w:w="0"/>
        <w:jc w:val="center"/>
        <w:tblLook w:firstColumn="1" w:firstRow="1" w:lastColumn="0" w:lastRow="0" w:noHBand="0" w:noVBand="1" w:val="04A0"/>
      </w:tblPr>
      <w:tblGrid>
        <w:gridCol w:w="10092"/>
      </w:tblGrid>
      <w:tr>
        <w:trPr>
          <w:cantSplit/>
          <w:tblHeader w:val="true"/>
        </w:trPr>
        <w:tc>
          <w:tcPr>
            <w:tcW w:type="dxa" w:w="10092"/>
            <w:shd w:fill="F8E6E4"/>
            <w:tcMar>
              <w:top w:w="90" w:type="dxa"/>
              <w:start w:w="100" w:type="dxa"/>
              <w:bottom w:w="90" w:type="dxa"/>
              <w:end w:w="100" w:type="dxa"/>
            </w:tcMar>
            <w:vAlign w:val="center"/>
          </w:tcPr>
          <w:p>
            <w:pPr>
              <w:spacing w:after="0" w:line="252" w:lineRule="auto" w:before="0"/>
            </w:pPr>
            <w:r>
              <w:rPr>
                <w:rFonts w:ascii="DejaVu Serif" w:hAnsi="DejaVu Serif" w:eastAsia="DejaVu Serif"/>
                <w:b/>
                <w:color w:val="A32626"/>
                <w:sz w:val="18"/>
              </w:rPr>
              <w:t xml:space="preserve">CROSS-DOMAIN BOUNDARY.  </w:t>
            </w:r>
            <w:r>
              <w:rPr>
                <w:rFonts w:ascii="DejaVu Serif" w:hAnsi="DejaVu Serif" w:eastAsia="DejaVu Serif"/>
                <w:b w:val="0"/>
                <w:color w:val="111111"/>
                <w:sz w:val="18"/>
              </w:rPr>
              <w:t>A chemical world cannot be inferred from a financial world, nor a cultural world from a physical world, without an explicit functor and sufficient foundation. FOS permits typed reductions; it prohibits hidden reductions.</w:t>
            </w:r>
          </w:p>
        </w:tc>
      </w:tr>
    </w:tbl>
    <w:p>
      <w:pPr>
        <w:spacing w:after="20"/>
      </w:pPr>
    </w:p>
    <w:p>
      <w:pPr>
        <w:pStyle w:val="Heading2"/>
        <w:keepNext/>
        <w:spacing w:before="100" w:after="80"/>
      </w:pPr>
      <w:r>
        <w:rPr>
          <w:rFonts w:ascii="DejaVu Sans" w:hAnsi="DejaVu Sans" w:eastAsia="DejaVu Sans"/>
          <w:b/>
          <w:i w:val="0"/>
          <w:color w:val="1F4E78"/>
          <w:sz w:val="25"/>
        </w:rPr>
        <w:t>8.6. Three-Valued D/Dom Semantics</w:t>
      </w:r>
    </w:p>
    <w:p>
      <w:pPr>
        <w:keepLines w:val="0"/>
        <w:spacing w:after="80" w:line="269" w:lineRule="auto"/>
        <w:ind w:firstLine="312"/>
        <w:jc w:val="both"/>
      </w:pPr>
      <w:r>
        <w:rPr>
          <w:rFonts w:ascii="DejaVu Serif" w:hAnsi="DejaVu Serif" w:eastAsia="DejaVu Serif"/>
          <w:b w:val="0"/>
          <w:i w:val="0"/>
          <w:sz w:val="21"/>
        </w:rPr>
        <w:t>Let V₃={1,0,⊥}, where ⊥ means not falsity but non-authorization because Dom is not satisfied or D is absent.</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Definition 8.1 [DEF-A].  </w:t>
            </w:r>
            <w:r>
              <w:rPr>
                <w:rFonts w:ascii="DejaVu Serif" w:hAnsi="DejaVu Serif" w:eastAsia="DejaVu Serif"/>
                <w:b w:val="0"/>
                <w:color w:val="111111"/>
                <w:sz w:val="18"/>
              </w:rPr>
              <w:t>For a formula φ, set v(φ)=⊥ when φ is undefined in the current Dom or its truth status requires a missing D. Values 1 and 0 are permitted only after both gates have been passed.</w:t>
            </w:r>
          </w:p>
        </w:tc>
      </w:tr>
    </w:tbl>
    <w:p>
      <w:pPr>
        <w:spacing w:after="20"/>
      </w:pPr>
    </w:p>
    <w:p>
      <w:pPr>
        <w:keepLines w:val="0"/>
        <w:spacing w:after="80" w:line="269" w:lineRule="auto"/>
        <w:ind w:firstLine="312"/>
        <w:jc w:val="both"/>
      </w:pPr>
      <w:r>
        <w:rPr>
          <w:rFonts w:ascii="DejaVu Serif" w:hAnsi="DejaVu Serif" w:eastAsia="DejaVu Serif"/>
          <w:b w:val="0"/>
          <w:i w:val="0"/>
          <w:sz w:val="21"/>
        </w:rPr>
        <w:t>Implication is evaluated classically on {0,1}. If evaluation requires a non-authorized operand, the result is ⊥. This separates negation from the absence of entitlement to infer.</w:t>
      </w:r>
    </w:p>
    <w:p>
      <w:pPr>
        <w:pStyle w:val="Heading2"/>
        <w:keepNext/>
        <w:spacing w:before="100" w:after="80"/>
      </w:pPr>
      <w:r>
        <w:rPr>
          <w:rFonts w:ascii="DejaVu Sans" w:hAnsi="DejaVu Sans" w:eastAsia="DejaVu Sans"/>
          <w:b/>
          <w:i w:val="0"/>
          <w:color w:val="1F4E78"/>
          <w:sz w:val="25"/>
        </w:rPr>
        <w:t>8.7. Soundness of Packet Modus Ponens</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Theorem 8.2 [THM]  </w:t>
            </w:r>
            <w:r>
              <w:rPr>
                <w:rFonts w:ascii="DejaVu Serif" w:hAnsi="DejaVu Serif" w:eastAsia="DejaVu Serif"/>
                <w:b w:val="0"/>
                <w:color w:val="111111"/>
                <w:sz w:val="18"/>
              </w:rPr>
              <w:t>If v(φ)=1, v(φ→ψ)=1, and both premises are evaluated in one Dom with compatible D, then v(ψ)=1.</w:t>
            </w:r>
          </w:p>
        </w:tc>
      </w:tr>
    </w:tbl>
    <w:p>
      <w:pPr>
        <w:spacing w:after="20"/>
      </w:pPr>
    </w:p>
    <w:p>
      <w:pPr>
        <w:spacing w:after="80" w:line="264" w:lineRule="auto"/>
        <w:ind w:firstLine="312"/>
        <w:jc w:val="both"/>
      </w:pPr>
      <w:r>
        <w:rPr>
          <w:rFonts w:ascii="DejaVu Serif" w:hAnsi="DejaVu Serif" w:eastAsia="DejaVu Serif"/>
          <w:b/>
          <w:sz w:val="20"/>
        </w:rPr>
        <w:t xml:space="preserve">Proof. </w:t>
      </w:r>
      <w:r>
        <w:rPr>
          <w:rFonts w:ascii="DejaVu Serif" w:hAnsi="DejaVu Serif" w:eastAsia="DejaVu Serif"/>
          <w:sz w:val="20"/>
        </w:rPr>
        <w:t>Within a satisfied Dom the premise values belong to {0,1}. The classical truth table for implication excludes v(ψ)=0 when v(φ)=v(φ→ψ)=1. Compatibility of D authorizes transfer of the status to the conclusion.</w:t>
      </w: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Corollary 8.3 [THM].  </w:t>
            </w:r>
            <w:r>
              <w:rPr>
                <w:rFonts w:ascii="DejaVu Serif" w:hAnsi="DejaVu Serif" w:eastAsia="DejaVu Serif"/>
                <w:b w:val="0"/>
                <w:color w:val="111111"/>
                <w:sz w:val="18"/>
              </w:rPr>
              <w:t>If either premise has value ⊥, the rule returns ABSTAIN together with the list of unclosed gates.</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F6EEDB"/>
            <w:tcMar>
              <w:top w:w="90" w:type="dxa"/>
              <w:start w:w="100" w:type="dxa"/>
              <w:bottom w:w="90" w:type="dxa"/>
              <w:end w:w="100" w:type="dxa"/>
            </w:tcMar>
            <w:vAlign w:val="center"/>
          </w:tcPr>
          <w:p>
            <w:pPr>
              <w:spacing w:after="0" w:line="252" w:lineRule="auto" w:before="0"/>
            </w:pPr>
            <w:r>
              <w:rPr>
                <w:rFonts w:ascii="DejaVu Serif" w:hAnsi="DejaVu Serif" w:eastAsia="DejaVu Serif"/>
                <w:b/>
                <w:color w:val="A87918"/>
                <w:sz w:val="18"/>
              </w:rPr>
              <w:t xml:space="preserve">PHENOMENOLOGICAL INSERT.  </w:t>
            </w:r>
            <w:r>
              <w:rPr>
                <w:rFonts w:ascii="DejaVu Serif" w:hAnsi="DejaVu Serif" w:eastAsia="DejaVu Serif"/>
                <w:b w:val="0"/>
                <w:color w:val="111111"/>
                <w:sz w:val="18"/>
              </w:rPr>
              <w:t>The third value is not a vague midpoint between truth and falsity. It is an exact pointer to a missing condition without which the judgment has not yet become a completed act of proof.</w:t>
            </w:r>
          </w:p>
        </w:tc>
      </w:tr>
    </w:tbl>
    <w:p>
      <w:pPr>
        <w:spacing w:after="20"/>
      </w:pPr>
    </w:p>
    <w:p>
      <w:pPr>
        <w:pStyle w:val="Heading1"/>
        <w:keepNext/>
        <w:spacing w:before="160" w:after="80"/>
      </w:pPr>
      <w:r>
        <w:rPr>
          <w:rFonts w:ascii="DejaVu Sans" w:hAnsi="DejaVu Sans" w:eastAsia="DejaVu Sans"/>
          <w:b/>
          <w:i w:val="0"/>
          <w:color w:val="1F4E78"/>
          <w:sz w:val="32"/>
        </w:rPr>
        <w:t>Foundations Checkpoint: Result and Next Route</w:t>
      </w:r>
    </w:p>
    <w:tbl>
      <w:tblPr>
        <w:tblW w:type="auto" w:w="0"/>
        <w:jc w:val="center"/>
        <w:tblLook w:firstColumn="1" w:firstRow="1" w:lastColumn="0" w:lastRow="0" w:noHBand="0" w:noVBand="1" w:val="04A0"/>
      </w:tblPr>
      <w:tblGrid>
        <w:gridCol w:w="3364"/>
        <w:gridCol w:w="3364"/>
        <w:gridCol w:w="3364"/>
      </w:tblGrid>
      <w:tr>
        <w:trPr>
          <w:tblHeader w:val="true"/>
          <w:cantSplit/>
          <w:cantSplit/>
          <w:tblHeader w:val="true"/>
        </w:trPr>
        <w:tc>
          <w:tcPr>
            <w:tcW w:type="dxa" w:w="1928"/>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Obligation</w:t>
            </w:r>
          </w:p>
        </w:tc>
        <w:tc>
          <w:tcPr>
            <w:tcW w:type="dxa" w:w="6066"/>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Result / requirement</w:t>
            </w:r>
          </w:p>
        </w:tc>
        <w:tc>
          <w:tcPr>
            <w:tcW w:type="dxa" w:w="1587"/>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8"/>
              </w:rPr>
              <w:t>Status</w:t>
            </w:r>
          </w:p>
        </w:tc>
      </w:tr>
      <w:tr>
        <w:trPr>
          <w:cantSplit/>
          <w:cantSplit/>
        </w:trPr>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T1-EN-PO-011</w:t>
            </w:r>
          </w:p>
        </w:tc>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Full translation of Chapters 1–8</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CLOSED-v0.2</w:t>
            </w:r>
          </w:p>
        </w:tc>
      </w:tr>
      <w:tr>
        <w:trPr>
          <w:cantSplit/>
          <w:cantSplit/>
        </w:trPr>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T1-EN-PO-013</w:t>
            </w:r>
          </w:p>
        </w:tc>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Axioms C1–C6 and R1–R8 preserved</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CLOSED-PARITY</w:t>
            </w:r>
          </w:p>
        </w:tc>
      </w:tr>
      <w:tr>
        <w:trPr>
          <w:cantSplit/>
          <w:cantSplit/>
        </w:trPr>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T1-EN-PO-014</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Pack and typed-Reper categorical statements preserved</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CLOSED-PARITY</w:t>
            </w:r>
          </w:p>
        </w:tc>
      </w:tr>
      <w:tr>
        <w:trPr>
          <w:cantSplit/>
          <w:cantSplit/>
        </w:trPr>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T1-EN-PO-015</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Harmonic-complement theorems and conditioning results preserved</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CLOSED-PARITY</w:t>
            </w:r>
          </w:p>
        </w:tc>
      </w:tr>
      <w:tr>
        <w:trPr>
          <w:cantSplit/>
          <w:cantSplit/>
        </w:trPr>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T1-EN-PO-016</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D/Dom gate algebra and ABSTAIN theorems preserved</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CLOSED-PARITY</w:t>
            </w:r>
          </w:p>
        </w:tc>
      </w:tr>
      <w:tr>
        <w:trPr>
          <w:cantSplit/>
          <w:cantSplit/>
        </w:trPr>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T1-EN-PO-017</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Packet-logic semantics and modus ponens preserved</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CLOSED-PARITY</w:t>
            </w:r>
          </w:p>
        </w:tc>
      </w:tr>
      <w:tr>
        <w:trPr>
          <w:cantSplit/>
          <w:cantSplit/>
        </w:trPr>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T1-EN-PO-018</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Independent bilingual mathematical audit</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OPEN NON-VETO</w:t>
            </w:r>
          </w:p>
        </w:tc>
      </w:tr>
      <w:tr>
        <w:trPr>
          <w:cantSplit/>
          <w:cantSplit/>
        </w:trPr>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T1-EN-PO-019</w:t>
            </w:r>
          </w:p>
        </w:tc>
        <w:tc>
          <w:tcPr>
            <w:tcW w:type="dxa" w:w="3364"/>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8"/>
              </w:rPr>
              <w:t>Translation of Chapters 9–16</w:t>
            </w:r>
          </w:p>
        </w:tc>
        <w:tc>
          <w:tcPr>
            <w:tcW w:type="dxa" w:w="3364"/>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8"/>
              </w:rPr>
              <w:t>NEXT</w:t>
            </w:r>
          </w:p>
        </w:tc>
      </w:tr>
      <w:tr>
        <w:trPr>
          <w:cantSplit/>
          <w:cantSplit/>
        </w:trPr>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T1-EN-PO-020</w:t>
            </w:r>
          </w:p>
        </w:tc>
        <w:tc>
          <w:tcPr>
            <w:tcW w:type="dxa" w:w="3364"/>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8"/>
              </w:rPr>
              <w:t>Frozen English release</w:t>
            </w:r>
          </w:p>
        </w:tc>
        <w:tc>
          <w:tcPr>
            <w:tcW w:type="dxa" w:w="3364"/>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8"/>
              </w:rPr>
              <w:t>FUTURE</w:t>
            </w:r>
          </w:p>
        </w:tc>
      </w:tr>
    </w:tbl>
    <w:p>
      <w:pPr>
        <w:spacing w:after="40"/>
      </w:pPr>
    </w:p>
    <w:tbl>
      <w:tblPr>
        <w:tblW w:type="auto" w:w="0"/>
        <w:jc w:val="center"/>
        <w:tblLook w:firstColumn="1" w:firstRow="1" w:lastColumn="0" w:lastRow="0" w:noHBand="0" w:noVBand="1" w:val="04A0"/>
      </w:tblPr>
      <w:tblGrid>
        <w:gridCol w:w="2523"/>
        <w:gridCol w:w="2523"/>
        <w:gridCol w:w="2523"/>
        <w:gridCol w:w="2523"/>
      </w:tblGrid>
      <w:tr>
        <w:trPr>
          <w:tblHeader w:val="true"/>
          <w:cantSplit/>
          <w:cantSplit/>
          <w:tblHeader w:val="true"/>
        </w:trPr>
        <w:tc>
          <w:tcPr>
            <w:tcW w:type="dxa" w:w="1474"/>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7"/>
              </w:rPr>
              <w:t>Blocker</w:t>
            </w:r>
          </w:p>
        </w:tc>
        <w:tc>
          <w:tcPr>
            <w:tcW w:type="dxa" w:w="3969"/>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7"/>
              </w:rPr>
              <w:t>Description</w:t>
            </w:r>
          </w:p>
        </w:tc>
        <w:tc>
          <w:tcPr>
            <w:tcW w:type="dxa" w:w="1587"/>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7"/>
              </w:rPr>
              <w:t>Status</w:t>
            </w:r>
          </w:p>
        </w:tc>
        <w:tc>
          <w:tcPr>
            <w:tcW w:type="dxa" w:w="2551"/>
            <w:shd w:fill="173B63"/>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color w:val="FFFFFF"/>
                <w:sz w:val="17"/>
              </w:rPr>
              <w:t>Handling</w:t>
            </w:r>
          </w:p>
        </w:tc>
      </w:tr>
      <w:tr>
        <w:trPr>
          <w:cantSplit/>
          <w:cantSplit/>
        </w:trPr>
        <w:tc>
          <w:tcPr>
            <w:tcW w:type="dxa" w:w="2523"/>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7"/>
              </w:rPr>
              <w:t>T1-EN-BLK-001</w:t>
            </w:r>
          </w:p>
        </w:tc>
        <w:tc>
          <w:tcPr>
            <w:tcW w:type="dxa" w:w="2523"/>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7"/>
              </w:rPr>
              <w:t>The editable Russian Word master is not available in the active package.</w:t>
            </w:r>
          </w:p>
        </w:tc>
        <w:tc>
          <w:tcPr>
            <w:tcW w:type="dxa" w:w="2523"/>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7"/>
              </w:rPr>
              <w:t>OPEN NON-VETO</w:t>
            </w:r>
          </w:p>
        </w:tc>
        <w:tc>
          <w:tcPr>
            <w:tcW w:type="dxa" w:w="2523"/>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7"/>
              </w:rPr>
              <w:t>The Russian PDF and source-page locators remain authoritative.</w:t>
            </w:r>
          </w:p>
        </w:tc>
      </w:tr>
      <w:tr>
        <w:trPr>
          <w:cantSplit/>
          <w:cantSplit/>
        </w:trPr>
        <w:tc>
          <w:tcPr>
            <w:tcW w:type="dxa" w:w="2523"/>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7"/>
              </w:rPr>
              <w:t>T1-EN-BLK-002</w:t>
            </w:r>
          </w:p>
        </w:tc>
        <w:tc>
          <w:tcPr>
            <w:tcW w:type="dxa" w:w="2523"/>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7"/>
              </w:rPr>
              <w:t>Legacy uses of * remain polysemous.</w:t>
            </w:r>
          </w:p>
        </w:tc>
        <w:tc>
          <w:tcPr>
            <w:tcW w:type="dxa" w:w="2523"/>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7"/>
              </w:rPr>
              <w:t>OPEN</w:t>
            </w:r>
          </w:p>
        </w:tc>
        <w:tc>
          <w:tcPr>
            <w:tcW w:type="dxa" w:w="2523"/>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7"/>
              </w:rPr>
              <w:t>Every live occurrence is governed by the local symbol ledger.</w:t>
            </w:r>
          </w:p>
        </w:tc>
      </w:tr>
      <w:tr>
        <w:trPr>
          <w:cantSplit/>
          <w:cantSplit/>
        </w:trPr>
        <w:tc>
          <w:tcPr>
            <w:tcW w:type="dxa" w:w="2523"/>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7"/>
              </w:rPr>
              <w:t>T1-EN-BLK-003</w:t>
            </w:r>
          </w:p>
        </w:tc>
        <w:tc>
          <w:tcPr>
            <w:tcW w:type="dxa" w:w="2523"/>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7"/>
              </w:rPr>
              <w:t>No external signed bilingual mathematical audit has been performed.</w:t>
            </w:r>
          </w:p>
        </w:tc>
        <w:tc>
          <w:tcPr>
            <w:tcW w:type="dxa" w:w="2523"/>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7"/>
              </w:rPr>
              <w:t>OPEN NON-VETO</w:t>
            </w:r>
          </w:p>
        </w:tc>
        <w:tc>
          <w:tcPr>
            <w:tcW w:type="dxa" w:w="2523"/>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7"/>
              </w:rPr>
              <w:t>Required before an external certification claim.</w:t>
            </w:r>
          </w:p>
        </w:tc>
      </w:tr>
      <w:tr>
        <w:trPr>
          <w:cantSplit/>
          <w:cantSplit/>
        </w:trPr>
        <w:tc>
          <w:tcPr>
            <w:tcW w:type="dxa" w:w="2523"/>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7"/>
              </w:rPr>
              <w:t>T1-EN-BLK-006</w:t>
            </w:r>
          </w:p>
        </w:tc>
        <w:tc>
          <w:tcPr>
            <w:tcW w:type="dxa" w:w="2523"/>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7"/>
              </w:rPr>
              <w:t>The English page map is provisional until unified assembly.</w:t>
            </w:r>
          </w:p>
        </w:tc>
        <w:tc>
          <w:tcPr>
            <w:tcW w:type="dxa" w:w="2523"/>
            <w:tcMar>
              <w:top w:w="90" w:type="dxa"/>
              <w:start w:w="100" w:type="dxa"/>
              <w:bottom w:w="90" w:type="dxa"/>
              <w:end w:w="100" w:type="dxa"/>
            </w:tcMar>
            <w:vAlign w:val="center"/>
            <w:shd w:fill="F2F4F6"/>
          </w:tcPr>
          <w:p>
            <w:pPr>
              <w:spacing w:after="0" w:before="0" w:line="252" w:lineRule="auto"/>
              <w:jc w:val="center"/>
            </w:pPr>
            <w:r>
              <w:rPr>
                <w:rFonts w:ascii="DejaVu Serif" w:hAnsi="DejaVu Serif" w:eastAsia="DejaVu Serif"/>
                <w:b w:val="0"/>
                <w:color w:val="111111"/>
                <w:sz w:val="17"/>
              </w:rPr>
              <w:t>OPEN NON-VETO</w:t>
            </w:r>
          </w:p>
        </w:tc>
        <w:tc>
          <w:tcPr>
            <w:tcW w:type="dxa" w:w="2523"/>
            <w:tcMar>
              <w:top w:w="90" w:type="dxa"/>
              <w:start w:w="100" w:type="dxa"/>
              <w:bottom w:w="90" w:type="dxa"/>
              <w:end w:w="100" w:type="dxa"/>
            </w:tcMar>
            <w:vAlign w:val="center"/>
            <w:shd w:fill="F2F4F6"/>
          </w:tcPr>
          <w:p>
            <w:pPr>
              <w:spacing w:after="0" w:before="0" w:line="252" w:lineRule="auto"/>
              <w:jc w:val="left"/>
            </w:pPr>
            <w:r>
              <w:rPr>
                <w:rFonts w:ascii="DejaVu Serif" w:hAnsi="DejaVu Serif" w:eastAsia="DejaVu Serif"/>
                <w:b w:val="0"/>
                <w:color w:val="111111"/>
                <w:sz w:val="17"/>
              </w:rPr>
              <w:t>RU source pages remain the stable locators.</w:t>
            </w:r>
          </w:p>
        </w:tc>
      </w:tr>
      <w:tr>
        <w:trPr>
          <w:cantSplit/>
          <w:cantSplit/>
        </w:trPr>
        <w:tc>
          <w:tcPr>
            <w:tcW w:type="dxa" w:w="2523"/>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7"/>
              </w:rPr>
              <w:t>T1-EN-BLK-007</w:t>
            </w:r>
          </w:p>
        </w:tc>
        <w:tc>
          <w:tcPr>
            <w:tcW w:type="dxa" w:w="2523"/>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7"/>
              </w:rPr>
              <w:t>Chapters 9–52 and Appendices A–G remain untranslated.</w:t>
            </w:r>
          </w:p>
        </w:tc>
        <w:tc>
          <w:tcPr>
            <w:tcW w:type="dxa" w:w="2523"/>
            <w:tcMar>
              <w:top w:w="90" w:type="dxa"/>
              <w:start w:w="100" w:type="dxa"/>
              <w:bottom w:w="90" w:type="dxa"/>
              <w:end w:w="100" w:type="dxa"/>
            </w:tcMar>
            <w:vAlign w:val="center"/>
            <w:shd w:fill="FFFFFF"/>
          </w:tcPr>
          <w:p>
            <w:pPr>
              <w:spacing w:after="0" w:before="0" w:line="252" w:lineRule="auto"/>
              <w:jc w:val="center"/>
            </w:pPr>
            <w:r>
              <w:rPr>
                <w:rFonts w:ascii="DejaVu Serif" w:hAnsi="DejaVu Serif" w:eastAsia="DejaVu Serif"/>
                <w:b w:val="0"/>
                <w:color w:val="111111"/>
                <w:sz w:val="17"/>
              </w:rPr>
              <w:t>OPEN</w:t>
            </w:r>
          </w:p>
        </w:tc>
        <w:tc>
          <w:tcPr>
            <w:tcW w:type="dxa" w:w="2523"/>
            <w:tcMar>
              <w:top w:w="90" w:type="dxa"/>
              <w:start w:w="100" w:type="dxa"/>
              <w:bottom w:w="90" w:type="dxa"/>
              <w:end w:w="100" w:type="dxa"/>
            </w:tcMar>
            <w:vAlign w:val="center"/>
            <w:shd w:fill="FFFFFF"/>
          </w:tcPr>
          <w:p>
            <w:pPr>
              <w:spacing w:after="0" w:before="0" w:line="252" w:lineRule="auto"/>
              <w:jc w:val="left"/>
            </w:pPr>
            <w:r>
              <w:rPr>
                <w:rFonts w:ascii="DejaVu Serif" w:hAnsi="DejaVu Serif" w:eastAsia="DejaVu Serif"/>
                <w:b w:val="0"/>
                <w:color w:val="111111"/>
                <w:sz w:val="17"/>
              </w:rPr>
              <w:t>Proceed by the approved checkpoint route.</w:t>
            </w:r>
          </w:p>
        </w:tc>
      </w:tr>
    </w:tbl>
    <w:p>
      <w:pPr>
        <w:spacing w:after="40"/>
      </w:pPr>
    </w:p>
    <w:tbl>
      <w:tblPr>
        <w:tblW w:type="auto" w:w="0"/>
        <w:jc w:val="center"/>
        <w:tblLook w:firstColumn="1" w:firstRow="1" w:lastColumn="0" w:lastRow="0" w:noHBand="0" w:noVBand="1" w:val="04A0"/>
      </w:tblPr>
      <w:tblGrid>
        <w:gridCol w:w="10092"/>
      </w:tblGrid>
      <w:tr>
        <w:trPr>
          <w:cantSplit/>
          <w:tblHeader w:val="true"/>
        </w:trPr>
        <w:tc>
          <w:tcPr>
            <w:tcW w:type="dxa" w:w="10092"/>
            <w:shd w:fill="E7F3EB"/>
            <w:tcMar>
              <w:top w:w="90" w:type="dxa"/>
              <w:start w:w="100" w:type="dxa"/>
              <w:bottom w:w="90" w:type="dxa"/>
              <w:end w:w="100" w:type="dxa"/>
            </w:tcMar>
            <w:vAlign w:val="center"/>
          </w:tcPr>
          <w:p>
            <w:pPr>
              <w:spacing w:after="0" w:line="252" w:lineRule="auto" w:before="0"/>
            </w:pPr>
            <w:r>
              <w:rPr>
                <w:rFonts w:ascii="DejaVu Serif" w:hAnsi="DejaVu Serif" w:eastAsia="DejaVu Serif"/>
                <w:b/>
                <w:color w:val="2F6B48"/>
                <w:sz w:val="18"/>
              </w:rPr>
              <w:t xml:space="preserve">CURRENT VERDICT.  </w:t>
            </w:r>
            <w:r>
              <w:rPr>
                <w:rFonts w:ascii="DejaVu Serif" w:hAnsi="DejaVu Serif" w:eastAsia="DejaVu Serif"/>
                <w:b w:val="0"/>
                <w:color w:val="111111"/>
                <w:sz w:val="18"/>
              </w:rPr>
              <w:t>CONTROLLED ENGLISH FOUNDATIONS COMPLETE FOR CHAPTERS 1–8. Mathematical statements retain their Russian source statuses. Physical interpretation remains conditional or open; independent EXT-RUN and EMP-OBS are absent.</w:t>
            </w:r>
          </w:p>
        </w:tc>
      </w:tr>
    </w:tbl>
    <w:p>
      <w:pPr>
        <w:spacing w:after="20"/>
      </w:pPr>
    </w:p>
    <w:tbl>
      <w:tblPr>
        <w:tblW w:type="auto" w:w="0"/>
        <w:jc w:val="center"/>
        <w:tblLook w:firstColumn="1" w:firstRow="1" w:lastColumn="0" w:lastRow="0" w:noHBand="0" w:noVBand="1" w:val="04A0"/>
      </w:tblPr>
      <w:tblGrid>
        <w:gridCol w:w="10092"/>
      </w:tblGrid>
      <w:tr>
        <w:trPr>
          <w:cantSplit/>
          <w:tblHeader w:val="true"/>
        </w:trPr>
        <w:tc>
          <w:tcPr>
            <w:tcW w:type="dxa" w:w="10092"/>
            <w:shd w:fill="F6EEDB"/>
            <w:tcMar>
              <w:top w:w="90" w:type="dxa"/>
              <w:start w:w="100" w:type="dxa"/>
              <w:bottom w:w="90" w:type="dxa"/>
              <w:end w:w="100" w:type="dxa"/>
            </w:tcMar>
            <w:vAlign w:val="center"/>
          </w:tcPr>
          <w:p>
            <w:pPr>
              <w:spacing w:after="0" w:line="252" w:lineRule="auto" w:before="0"/>
            </w:pPr>
            <w:r>
              <w:rPr>
                <w:rFonts w:ascii="DejaVu Serif" w:hAnsi="DejaVu Serif" w:eastAsia="DejaVu Serif"/>
                <w:b/>
                <w:color w:val="A87918"/>
                <w:sz w:val="18"/>
              </w:rPr>
              <w:t xml:space="preserve">NEXT CHECKPOINT.  </w:t>
            </w:r>
            <w:r>
              <w:rPr>
                <w:rFonts w:ascii="DejaVu Serif" w:hAnsi="DejaVu Serif" w:eastAsia="DejaVu Serif"/>
                <w:b w:val="0"/>
                <w:color w:val="111111"/>
                <w:sz w:val="18"/>
              </w:rPr>
              <w:t>T1-EN-GEOMETRY-v0.3: full controlled translation of Chapters 9–16, including the Desargues–Kurpishev theorem, Kurpishev FOS, seven Size@Dimensions, early PN.2 interfaces, NAPG, PILOT-01, the Fano barrier, RBD/RPD, examples, evidence passports, glossary material, and the prior-art boundary.</w:t>
            </w:r>
          </w:p>
        </w:tc>
      </w:tr>
    </w:tbl>
    <w:p>
      <w:pPr>
        <w:spacing w:after="20"/>
      </w:pPr>
    </w:p>
    <w:p>
      <w:r>
        <w:br w:type="page"/>
      </w:r>
    </w:p>
    <w:p>
      <w:pPr>
        <w:pStyle w:val="Heading1"/>
        <w:keepNext/>
        <w:keepLines w:val="0"/>
        <w:spacing w:before="200" w:after="80" w:line="240" w:lineRule="auto"/>
      </w:pPr>
      <w:r>
        <w:rPr>
          <w:rFonts w:ascii="DejaVu Sans" w:hAnsi="DejaVu Sans" w:eastAsia="DejaVu Sans"/>
          <w:b/>
          <w:i w:val="0"/>
          <w:color w:val="1F4E78"/>
          <w:sz w:val="32"/>
        </w:rPr>
        <w:t>T1-EN-GEOMETRY-v0.3</w:t>
      </w:r>
    </w:p>
    <w:p>
      <w:pPr>
        <w:keepNext w:val="0"/>
        <w:keepLines w:val="0"/>
        <w:spacing w:before="0" w:after="160" w:line="259" w:lineRule="auto"/>
        <w:jc w:val="center"/>
      </w:pPr>
      <w:r>
        <w:rPr>
          <w:rFonts w:ascii="DejaVu Serif" w:hAnsi="DejaVu Serif" w:eastAsia="DejaVu Serif"/>
          <w:b w:val="0"/>
          <w:i w:val="0"/>
          <w:sz w:val="23"/>
        </w:rPr>
        <w:t>CONTROLLED ENGLISH TRANSLATION OF CHAPTERS 9–16</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A61C1C"/>
                <w:sz w:val="18"/>
              </w:rPr>
              <w:t xml:space="preserve">DERIVATIVE BOUNDARY. </w:t>
            </w:r>
            <w:r>
              <w:rPr>
                <w:rFonts w:ascii="DejaVu Serif" w:hAnsi="DejaVu Serif" w:eastAsia="DejaVu Serif"/>
                <w:b w:val="0"/>
                <w:i w:val="0"/>
                <w:sz w:val="18"/>
              </w:rPr>
              <w:t>The following chapters are a controlled translation of the frozen Russian source pages 35–72. Archival duplicates are normalized, but every normative definition, theorem, counterexample, formula, status restriction, and source role is preserved. No Russian source text is amended by this derivative.</w:t>
            </w:r>
          </w:p>
        </w:tc>
      </w:tr>
    </w:tbl>
    <w:p>
      <w:pPr>
        <w:spacing w:after="20"/>
      </w:pPr>
    </w:p>
    <w:p>
      <w:pPr>
        <w:keepNext w:val="0"/>
        <w:keepLines w:val="0"/>
        <w:spacing w:before="80" w:after="60" w:line="259" w:lineRule="auto"/>
      </w:pPr>
      <w:r>
        <w:rPr>
          <w:rFonts w:ascii="DejaVu Serif" w:hAnsi="DejaVu Serif" w:eastAsia="DejaVu Serif"/>
          <w:b/>
          <w:i w:val="0"/>
          <w:sz w:val="18"/>
        </w:rPr>
        <w:t>Chapter parity map for the v0.3 checkpoint</w:t>
      </w:r>
    </w:p>
    <w:tbl>
      <w:tblPr>
        <w:tblW w:type="auto" w:w="0"/>
        <w:jc w:val="center"/>
        <w:tblLayout w:type="fixed"/>
        <w:tblLook w:firstColumn="1" w:firstRow="1" w:lastColumn="0" w:lastRow="0" w:noHBand="0" w:noVBand="1" w:val="04A0"/>
      </w:tblPr>
      <w:tblGrid>
        <w:gridCol w:w="2517"/>
        <w:gridCol w:w="2517"/>
        <w:gridCol w:w="2517"/>
        <w:gridCol w:w="2517"/>
      </w:tblGrid>
      <w:tr>
        <w:trPr>
          <w:tblHeader w:val="true"/>
        </w:trPr>
        <w:tc>
          <w:tcPr>
            <w:tcW w:type="dxa" w:w="680"/>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Chapter</w:t>
            </w:r>
          </w:p>
        </w:tc>
        <w:tc>
          <w:tcPr>
            <w:tcW w:type="dxa" w:w="1134"/>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Russian locator</w:t>
            </w:r>
          </w:p>
        </w:tc>
        <w:tc>
          <w:tcPr>
            <w:tcW w:type="dxa" w:w="5386"/>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English title</w:t>
            </w:r>
          </w:p>
        </w:tc>
        <w:tc>
          <w:tcPr>
            <w:tcW w:type="dxa" w:w="1701"/>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Dominant status</w:t>
            </w:r>
          </w:p>
        </w:tc>
      </w:tr>
      <w:tr>
        <w:trPr>
          <w:cantSplit/>
        </w:trPr>
        <w:tc>
          <w:tcPr>
            <w:tcW w:type="dxa" w:w="680"/>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9</w:t>
            </w:r>
          </w:p>
        </w:tc>
        <w:tc>
          <w:tcPr>
            <w:tcW w:type="dxa" w:w="113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35–38</w:t>
            </w:r>
          </w:p>
        </w:tc>
        <w:tc>
          <w:tcPr>
            <w:tcW w:type="dxa" w:w="538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The Desargues–Kurpishev Theorem</w:t>
            </w:r>
          </w:p>
        </w:tc>
        <w:tc>
          <w:tcPr>
            <w:tcW w:type="dxa" w:w="170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CL / COND</w:t>
            </w:r>
          </w:p>
        </w:tc>
      </w:tr>
      <w:tr>
        <w:trPr>
          <w:cantSplit/>
        </w:trPr>
        <w:tc>
          <w:tcPr>
            <w:tcW w:type="dxa" w:w="680"/>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10</w:t>
            </w:r>
          </w:p>
        </w:tc>
        <w:tc>
          <w:tcPr>
            <w:tcW w:type="dxa" w:w="113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39–42</w:t>
            </w:r>
          </w:p>
        </w:tc>
        <w:tc>
          <w:tcPr>
            <w:tcW w:type="dxa" w:w="538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FOS, Seven Size@Dimensions, and PN.2</w:t>
            </w:r>
          </w:p>
        </w:tc>
        <w:tc>
          <w:tcPr>
            <w:tcW w:type="dxa" w:w="170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MODEL / DEF-A</w:t>
            </w:r>
          </w:p>
        </w:tc>
      </w:tr>
      <w:tr>
        <w:trPr>
          <w:cantSplit/>
        </w:trPr>
        <w:tc>
          <w:tcPr>
            <w:tcW w:type="dxa" w:w="680"/>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11</w:t>
            </w:r>
          </w:p>
        </w:tc>
        <w:tc>
          <w:tcPr>
            <w:tcW w:type="dxa" w:w="113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43–46</w:t>
            </w:r>
          </w:p>
        </w:tc>
        <w:tc>
          <w:tcPr>
            <w:tcW w:type="dxa" w:w="538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NAPG: Nonassociative Packet Geometry</w:t>
            </w:r>
          </w:p>
        </w:tc>
        <w:tc>
          <w:tcPr>
            <w:tcW w:type="dxa" w:w="170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DEF-A / PROP / MODEL</w:t>
            </w:r>
          </w:p>
        </w:tc>
      </w:tr>
      <w:tr>
        <w:trPr>
          <w:cantSplit/>
        </w:trPr>
        <w:tc>
          <w:tcPr>
            <w:tcW w:type="dxa" w:w="680"/>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12</w:t>
            </w:r>
          </w:p>
        </w:tc>
        <w:tc>
          <w:tcPr>
            <w:tcW w:type="dxa" w:w="113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47–50</w:t>
            </w:r>
          </w:p>
        </w:tc>
        <w:tc>
          <w:tcPr>
            <w:tcW w:type="dxa" w:w="538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PILOT-01, Formula Chains, and the Fano Barrier</w:t>
            </w:r>
          </w:p>
        </w:tc>
        <w:tc>
          <w:tcPr>
            <w:tcW w:type="dxa" w:w="170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THM / COND / OPEN</w:t>
            </w:r>
          </w:p>
        </w:tc>
      </w:tr>
      <w:tr>
        <w:trPr>
          <w:cantSplit/>
        </w:trPr>
        <w:tc>
          <w:tcPr>
            <w:tcW w:type="dxa" w:w="680"/>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13</w:t>
            </w:r>
          </w:p>
        </w:tc>
        <w:tc>
          <w:tcPr>
            <w:tcW w:type="dxa" w:w="113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51–57</w:t>
            </w:r>
          </w:p>
        </w:tc>
        <w:tc>
          <w:tcPr>
            <w:tcW w:type="dxa" w:w="538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RBD/RPD and KLT-RBD as a Computational Architecture</w:t>
            </w:r>
          </w:p>
        </w:tc>
        <w:tc>
          <w:tcPr>
            <w:tcW w:type="dxa" w:w="170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DEF-A / NUM / EMP-PLAN</w:t>
            </w:r>
          </w:p>
        </w:tc>
      </w:tr>
      <w:tr>
        <w:trPr>
          <w:cantSplit/>
        </w:trPr>
        <w:tc>
          <w:tcPr>
            <w:tcW w:type="dxa" w:w="680"/>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14</w:t>
            </w:r>
          </w:p>
        </w:tc>
        <w:tc>
          <w:tcPr>
            <w:tcW w:type="dxa" w:w="113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58–61</w:t>
            </w:r>
          </w:p>
        </w:tc>
        <w:tc>
          <w:tcPr>
            <w:tcW w:type="dxa" w:w="538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Examples, Counterexamples, and Evidence Passports</w:t>
            </w:r>
          </w:p>
        </w:tc>
        <w:tc>
          <w:tcPr>
            <w:tcW w:type="dxa" w:w="170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PROP / TEST</w:t>
            </w:r>
          </w:p>
        </w:tc>
      </w:tr>
      <w:tr>
        <w:trPr>
          <w:cantSplit/>
        </w:trPr>
        <w:tc>
          <w:tcPr>
            <w:tcW w:type="dxa" w:w="680"/>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15</w:t>
            </w:r>
          </w:p>
        </w:tc>
        <w:tc>
          <w:tcPr>
            <w:tcW w:type="dxa" w:w="113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62–64</w:t>
            </w:r>
          </w:p>
        </w:tc>
        <w:tc>
          <w:tcPr>
            <w:tcW w:type="dxa" w:w="538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Glossary, Notation, Formulae, and Bibliography</w:t>
            </w:r>
          </w:p>
        </w:tc>
        <w:tc>
          <w:tcPr>
            <w:tcW w:type="dxa" w:w="170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DOC / AUDIT</w:t>
            </w:r>
          </w:p>
        </w:tc>
      </w:tr>
      <w:tr>
        <w:trPr>
          <w:cantSplit/>
        </w:trPr>
        <w:tc>
          <w:tcPr>
            <w:tcW w:type="dxa" w:w="680"/>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16</w:t>
            </w:r>
          </w:p>
        </w:tc>
        <w:tc>
          <w:tcPr>
            <w:tcW w:type="dxa" w:w="113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65–72</w:t>
            </w:r>
          </w:p>
        </w:tc>
        <w:tc>
          <w:tcPr>
            <w:tcW w:type="dxa" w:w="538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Historical-Mathematical Prior Art and the Boundary of Authorial Contribution</w:t>
            </w:r>
          </w:p>
        </w:tc>
        <w:tc>
          <w:tcPr>
            <w:tcW w:type="dxa" w:w="170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CL / AD / AUDIT</w:t>
            </w:r>
          </w:p>
        </w:tc>
      </w:tr>
    </w:tbl>
    <w:p>
      <w:pPr>
        <w:spacing w:after="40"/>
      </w:pPr>
    </w:p>
    <w:p>
      <w:r>
        <w:br w:type="page"/>
      </w:r>
    </w:p>
    <w:p>
      <w:pPr>
        <w:pStyle w:val="Heading1"/>
        <w:keepNext/>
        <w:keepLines w:val="0"/>
        <w:spacing w:before="200" w:after="80" w:line="240" w:lineRule="auto"/>
      </w:pPr>
      <w:bookmarkStart w:id="1008" w:name="T1_CH_09"/>
      <w:r>
        <w:rPr>
          <w:rFonts w:ascii="DejaVu Sans" w:hAnsi="DejaVu Sans" w:eastAsia="DejaVu Sans"/>
          <w:b/>
          <w:i w:val="0"/>
          <w:color w:val="1F4E78"/>
          <w:sz w:val="32"/>
        </w:rPr>
        <w:t>Chapter 9. The Desargues–Kurpishev Theorem</w:t>
      </w:r>
      <w:bookmarkEnd w:id="1008"/>
    </w:p>
    <w:p>
      <w:pPr>
        <w:keepNext w:val="0"/>
        <w:keepLines w:val="0"/>
        <w:spacing w:before="0" w:after="120" w:line="259" w:lineRule="auto"/>
      </w:pPr>
      <w:r>
        <w:rPr>
          <w:rFonts w:ascii="DejaVu Serif" w:hAnsi="DejaVu Serif" w:eastAsia="DejaVu Serif"/>
          <w:b w:val="0"/>
          <w:i/>
          <w:sz w:val="18"/>
        </w:rPr>
        <w:t>Russian source locator: pp. 35–38</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The chapter asks when three constructions may legitimately identify one and the same projective point: a polar trace, the trace of a Desargues axis, and a harmonic complement. Classical projective geometry supplies each construction separately. The Kurpishev bridge is conditional because their coincidence requires explicit compatibility hypotheses.</w:t>
            </w:r>
          </w:p>
        </w:tc>
      </w:tr>
    </w:tbl>
    <w:p>
      <w:pPr>
        <w:spacing w:after="20"/>
      </w:pP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A61C1C"/>
                <w:sz w:val="18"/>
              </w:rPr>
              <w:t xml:space="preserve">CLAIM BOUNDARY. </w:t>
            </w:r>
            <w:r>
              <w:rPr>
                <w:rFonts w:ascii="DejaVu Serif" w:hAnsi="DejaVu Serif" w:eastAsia="DejaVu Serif"/>
                <w:b w:val="0"/>
                <w:i w:val="0"/>
                <w:sz w:val="18"/>
              </w:rPr>
              <w:t>The classical Desargues theorem is prior art. The authorial construction lies in the typed Reper interpretation, the polar/Desargues/harmonic bridge, and the DK-CERT evidence passport. The bridge is not derived from two conics alone.</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989320" cy="3225018"/>
            <wp:docPr id="12" name="Picture 12"/>
            <wp:cNvGraphicFramePr>
              <a:graphicFrameLocks noChangeAspect="1"/>
            </wp:cNvGraphicFramePr>
            <a:graphic>
              <a:graphicData uri="http://schemas.openxmlformats.org/drawingml/2006/picture">
                <pic:pic>
                  <pic:nvPicPr>
                    <pic:cNvPr id="0" name="fig9_bridge.png"/>
                    <pic:cNvPicPr/>
                  </pic:nvPicPr>
                  <pic:blipFill>
                    <a:blip r:embed="rId24"/>
                    <a:stretch>
                      <a:fillRect/>
                    </a:stretch>
                  </pic:blipFill>
                  <pic:spPr>
                    <a:xfrm>
                      <a:off x="0" y="0"/>
                      <a:ext cx="5989320" cy="3225018"/>
                    </a:xfrm>
                    <a:prstGeom prst="rect"/>
                  </pic:spPr>
                </pic:pic>
              </a:graphicData>
            </a:graphic>
          </wp:inline>
        </w:drawing>
      </w:r>
    </w:p>
    <w:p>
      <w:pPr>
        <w:keepNext w:val="0"/>
        <w:keepLines/>
        <w:spacing w:before="0" w:after="140" w:line="240" w:lineRule="auto"/>
        <w:jc w:val="center"/>
      </w:pPr>
      <w:bookmarkStart w:id="1069" w:name="T1_FIG_011"/>
      <w:r>
        <w:rPr>
          <w:rFonts w:ascii="DejaVu Serif" w:hAnsi="DejaVu Serif" w:eastAsia="DejaVu Serif"/>
          <w:b w:val="0"/>
          <w:i/>
          <w:color w:val="666666"/>
          <w:sz w:val="17"/>
        </w:rPr>
        <w:t>Figure 9.1. Three independently justified projective roles and the two bridge obligations.</w:t>
      </w:r>
      <w:bookmarkEnd w:id="1069"/>
    </w:p>
    <w:p>
      <w:pPr>
        <w:pStyle w:val="Heading2"/>
        <w:keepNext/>
        <w:keepLines w:val="0"/>
        <w:spacing w:before="160" w:after="80" w:line="240" w:lineRule="auto"/>
      </w:pPr>
      <w:r>
        <w:rPr>
          <w:rFonts w:ascii="DejaVu Sans" w:hAnsi="DejaVu Sans" w:eastAsia="DejaVu Sans"/>
          <w:b/>
          <w:i w:val="0"/>
          <w:color w:val="1F4E78"/>
          <w:sz w:val="25"/>
        </w:rPr>
        <w:t>9.1. Configuration Data</w:t>
      </w:r>
    </w:p>
    <w:p>
      <w:pPr>
        <w:keepNext w:val="0"/>
        <w:keepLines w:val="0"/>
        <w:spacing w:before="0" w:after="100" w:line="259" w:lineRule="auto"/>
      </w:pPr>
      <w:r>
        <w:rPr>
          <w:rFonts w:ascii="DejaVu Serif" w:hAnsi="DejaVu Serif" w:eastAsia="DejaVu Serif"/>
          <w:b w:val="0"/>
          <w:i w:val="0"/>
          <w:sz w:val="21"/>
        </w:rPr>
        <w:t>Work over a projective plane Π=P²(K) over a field K of characteristic different from 2. Let Φ₁ and Φ₂ be nondegenerate conics represented by invertible symmetric matrices Q₁ and Q₂. Let the support line p be represented by a nonzero covector ℓ. The poles of p are Oᵢ=[Qᵢ⁻¹ℓ]. A pair of triangles is specified separately, together with a point of perspectivity and the intersections of corresponding sides.</w:t>
      </w:r>
    </w:p>
    <w:p>
      <w:pPr>
        <w:keepNext w:val="0"/>
        <w:keepLines w:val="0"/>
        <w:spacing w:before="0" w:after="100" w:line="259" w:lineRule="auto"/>
      </w:pPr>
      <w:r>
        <w:rPr>
          <w:rFonts w:ascii="DejaVu Serif" w:hAnsi="DejaVu Serif" w:eastAsia="DejaVu Serif"/>
          <w:b w:val="0"/>
          <w:i w:val="0"/>
          <w:sz w:val="21"/>
        </w:rPr>
        <w:t>The three constructions must remain distinguishable: the polar line c=O₁O₂, the Desargues axis d_Des of the triangle pair, and the harmonic point D_harm on p. Their equality is a conclusion only after the required bridge hypotheses have been verified.</w:t>
      </w:r>
    </w:p>
    <w:p>
      <w:pPr>
        <w:pStyle w:val="Heading2"/>
        <w:keepNext/>
        <w:keepLines w:val="0"/>
        <w:spacing w:before="160" w:after="80" w:line="240" w:lineRule="auto"/>
      </w:pPr>
      <w:r>
        <w:rPr>
          <w:rFonts w:ascii="DejaVu Sans" w:hAnsi="DejaVu Sans" w:eastAsia="DejaVu Sans"/>
          <w:b/>
          <w:i w:val="0"/>
          <w:color w:val="1F4E78"/>
          <w:sz w:val="25"/>
        </w:rPr>
        <w:t>9.2. Working Formulation and Proof Architecture</w:t>
      </w:r>
    </w:p>
    <w:p>
      <w:pPr>
        <w:keepNext w:val="0"/>
        <w:keepLines w:val="0"/>
        <w:spacing w:before="0" w:after="100" w:line="259" w:lineRule="auto"/>
      </w:pPr>
      <w:r>
        <w:rPr>
          <w:rFonts w:ascii="DejaVu Serif" w:hAnsi="DejaVu Serif" w:eastAsia="DejaVu Serif"/>
          <w:b w:val="0"/>
          <w:i w:val="0"/>
          <w:sz w:val="21"/>
        </w:rPr>
        <w:t>Under nondegeneracy, compatibility of the polar correspondences, and perspectivity of the triangle pair, the central axis and the Desargues axis form projectively invariant data. A harmonic complement can complete a Reper quadruple, but its identification with the polar trace is a separate theorem obligation.</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567"/>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Stage</w:t>
            </w:r>
          </w:p>
        </w:tc>
        <w:tc>
          <w:tcPr>
            <w:tcW w:type="dxa" w:w="5102"/>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Required operation</w:t>
            </w:r>
          </w:p>
        </w:tc>
        <w:tc>
          <w:tcPr>
            <w:tcW w:type="dxa" w:w="3402"/>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Evidence object</w:t>
            </w:r>
          </w:p>
        </w:tc>
      </w:tr>
      <w:tr>
        <w:trPr>
          <w:cantSplit/>
        </w:trPr>
        <w:tc>
          <w:tcPr>
            <w:tcW w:type="dxa" w:w="567"/>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1</w:t>
            </w:r>
          </w:p>
        </w:tc>
        <w:tc>
          <w:tcPr>
            <w:tcW w:type="dxa" w:w="510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Specify Q₁,Q₂ and the field/characteristic.</w:t>
            </w:r>
          </w:p>
        </w:tc>
        <w:tc>
          <w:tcPr>
            <w:tcW w:type="dxa" w:w="340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Matrix and field record</w:t>
            </w:r>
          </w:p>
        </w:tc>
      </w:tr>
      <w:tr>
        <w:trPr>
          <w:cantSplit/>
        </w:trPr>
        <w:tc>
          <w:tcPr>
            <w:tcW w:type="dxa" w:w="567"/>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2</w:t>
            </w:r>
          </w:p>
        </w:tc>
        <w:tc>
          <w:tcPr>
            <w:tcW w:type="dxa" w:w="510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Construct poles and polars from the bilinear forms.</w:t>
            </w:r>
          </w:p>
        </w:tc>
        <w:tc>
          <w:tcPr>
            <w:tcW w:type="dxa" w:w="340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Polar computation</w:t>
            </w:r>
          </w:p>
        </w:tc>
      </w:tr>
      <w:tr>
        <w:trPr>
          <w:cantSplit/>
        </w:trPr>
        <w:tc>
          <w:tcPr>
            <w:tcW w:type="dxa" w:w="567"/>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3</w:t>
            </w:r>
          </w:p>
        </w:tc>
        <w:tc>
          <w:tcPr>
            <w:tcW w:type="dxa" w:w="510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Verify perspectivity of the two triangles.</w:t>
            </w:r>
          </w:p>
        </w:tc>
        <w:tc>
          <w:tcPr>
            <w:tcW w:type="dxa" w:w="340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Incidence proof</w:t>
            </w:r>
          </w:p>
        </w:tc>
      </w:tr>
      <w:tr>
        <w:trPr>
          <w:cantSplit/>
        </w:trPr>
        <w:tc>
          <w:tcPr>
            <w:tcW w:type="dxa" w:w="567"/>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4</w:t>
            </w:r>
          </w:p>
        </w:tc>
        <w:tc>
          <w:tcPr>
            <w:tcW w:type="dxa" w:w="510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Invoke the classical Desargues node in an admissible model.</w:t>
            </w:r>
          </w:p>
        </w:tc>
        <w:tc>
          <w:tcPr>
            <w:tcW w:type="dxa" w:w="340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CL theorem reference</w:t>
            </w:r>
          </w:p>
        </w:tc>
      </w:tr>
      <w:tr>
        <w:trPr>
          <w:cantSplit/>
        </w:trPr>
        <w:tc>
          <w:tcPr>
            <w:tcW w:type="dxa" w:w="567"/>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5</w:t>
            </w:r>
          </w:p>
        </w:tc>
        <w:tc>
          <w:tcPr>
            <w:tcW w:type="dxa" w:w="510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Check collinearity of side intersections.</w:t>
            </w:r>
          </w:p>
        </w:tc>
        <w:tc>
          <w:tcPr>
            <w:tcW w:type="dxa" w:w="340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Determinant or synthetic proof</w:t>
            </w:r>
          </w:p>
        </w:tc>
      </w:tr>
      <w:tr>
        <w:trPr>
          <w:cantSplit/>
        </w:trPr>
        <w:tc>
          <w:tcPr>
            <w:tcW w:type="dxa" w:w="567"/>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6</w:t>
            </w:r>
          </w:p>
        </w:tc>
        <w:tc>
          <w:tcPr>
            <w:tcW w:type="dxa" w:w="510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Construct the harmonic complement.</w:t>
            </w:r>
          </w:p>
        </w:tc>
        <w:tc>
          <w:tcPr>
            <w:tcW w:type="dxa" w:w="340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Cross-ratio equation</w:t>
            </w:r>
          </w:p>
        </w:tc>
      </w:tr>
      <w:tr>
        <w:trPr>
          <w:cantSplit/>
        </w:trPr>
        <w:tc>
          <w:tcPr>
            <w:tcW w:type="dxa" w:w="567"/>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7</w:t>
            </w:r>
          </w:p>
        </w:tc>
        <w:tc>
          <w:tcPr>
            <w:tcW w:type="dxa" w:w="510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Check invariance under admissible projective transformations.</w:t>
            </w:r>
          </w:p>
        </w:tc>
        <w:tc>
          <w:tcPr>
            <w:tcW w:type="dxa" w:w="340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PGL certificate</w:t>
            </w:r>
          </w:p>
        </w:tc>
      </w:tr>
      <w:tr>
        <w:trPr>
          <w:cantSplit/>
        </w:trPr>
        <w:tc>
          <w:tcPr>
            <w:tcW w:type="dxa" w:w="567"/>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8</w:t>
            </w:r>
          </w:p>
        </w:tc>
        <w:tc>
          <w:tcPr>
            <w:tcW w:type="dxa" w:w="510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Record Dom, D, proof object, bridge status, and blockers.</w:t>
            </w:r>
          </w:p>
        </w:tc>
        <w:tc>
          <w:tcPr>
            <w:tcW w:type="dxa" w:w="340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DK-CERT-9</w:t>
            </w:r>
          </w:p>
        </w:tc>
      </w:tr>
    </w:tbl>
    <w:p>
      <w:pPr>
        <w:spacing w:after="40"/>
      </w:pPr>
    </w:p>
    <w:p>
      <w:pPr>
        <w:pStyle w:val="Heading2"/>
        <w:keepNext/>
        <w:keepLines w:val="0"/>
        <w:spacing w:before="160" w:after="80" w:line="240" w:lineRule="auto"/>
      </w:pPr>
      <w:r>
        <w:rPr>
          <w:rFonts w:ascii="DejaVu Sans" w:hAnsi="DejaVu Sans" w:eastAsia="DejaVu Sans"/>
          <w:b/>
          <w:i w:val="0"/>
          <w:color w:val="1F4E78"/>
          <w:sz w:val="25"/>
        </w:rPr>
        <w:t>9.3. Coordinate Model of the Polar Node</w:t>
      </w:r>
    </w:p>
    <w:p>
      <w:pPr>
        <w:keepNext w:val="0"/>
        <w:keepLines/>
        <w:spacing w:before="80" w:after="140" w:line="240" w:lineRule="auto"/>
        <w:jc w:val="center"/>
      </w:pPr>
      <w:r>
        <w:rPr>
          <w:rFonts w:ascii="DejaVu Serif" w:hAnsi="DejaVu Serif" w:eastAsia="DejaVu Serif"/>
          <w:b w:val="0"/>
          <w:i w:val="0"/>
          <w:sz w:val="23"/>
        </w:rPr>
        <w:t>Oᵢ = [Qᵢ⁻¹ℓ],    i∈{1,2}.</w:t>
      </w:r>
      <w:r>
        <w:rPr>
          <w:rFonts w:ascii="DejaVu Sans" w:hAnsi="DejaVu Sans" w:eastAsia="DejaVu Sans"/>
          <w:b w:val="0"/>
          <w:i/>
          <w:color w:val="666666"/>
          <w:sz w:val="17"/>
        </w:rPr>
        <w:t xml:space="preserve">    [RU p. 38]</w:t>
      </w:r>
    </w:p>
    <w:p>
      <w:pPr>
        <w:keepNext w:val="0"/>
        <w:keepLines w:val="0"/>
        <w:spacing w:before="0" w:after="100" w:line="259" w:lineRule="auto"/>
      </w:pPr>
      <w:r>
        <w:rPr>
          <w:rFonts w:ascii="DejaVu Serif" w:hAnsi="DejaVu Serif" w:eastAsia="DejaVu Serif"/>
          <w:b w:val="0"/>
          <w:i w:val="0"/>
          <w:sz w:val="21"/>
        </w:rPr>
        <w:t>Lemma 9.1 (well-defined pole) [CL/PROP]. If det Qᵢ≠0 and ℓ≠0, then Oᵢ is a uniquely defined point of P²(K).</w:t>
      </w:r>
    </w:p>
    <w:p>
      <w:pPr>
        <w:keepNext w:val="0"/>
        <w:keepLines w:val="0"/>
        <w:spacing w:before="0" w:after="100" w:line="259" w:lineRule="auto"/>
      </w:pPr>
      <w:r>
        <w:rPr>
          <w:rFonts w:ascii="DejaVu Serif" w:hAnsi="DejaVu Serif" w:eastAsia="DejaVu Serif"/>
          <w:b w:val="0"/>
          <w:i w:val="0"/>
          <w:sz w:val="21"/>
        </w:rPr>
        <w:t>Proof. The vector Qᵢ⁻¹ℓ is nonzero. Replacing ℓ by αℓ or Qᵢ by βQᵢ only rescales the representative by a nonzero scalar and therefore does not change its projective class.</w:t>
      </w:r>
    </w:p>
    <w:p>
      <w:pPr>
        <w:keepNext w:val="0"/>
        <w:keepLines w:val="0"/>
        <w:spacing w:before="0" w:after="100" w:line="259" w:lineRule="auto"/>
      </w:pPr>
      <w:r>
        <w:rPr>
          <w:rFonts w:ascii="DejaVu Serif" w:hAnsi="DejaVu Serif" w:eastAsia="DejaVu Serif"/>
          <w:b w:val="0"/>
          <w:i w:val="0"/>
          <w:sz w:val="21"/>
        </w:rPr>
        <w:t>Assume O₁≠O₂ and c=O₁O₂ differs from p. The polar trace D_pol=c∩p exists and is unique by the incidence axioms of the projective plane. No harmonic conclusion follows from this incidence statement alone.</w:t>
      </w:r>
    </w:p>
    <w:p>
      <w:pPr>
        <w:keepNext w:val="0"/>
        <w:keepLines w:val="0"/>
        <w:spacing w:before="0" w:after="100" w:line="259" w:lineRule="auto"/>
      </w:pPr>
      <w:r>
        <w:rPr>
          <w:rFonts w:ascii="DejaVu Serif" w:hAnsi="DejaVu Serif" w:eastAsia="DejaVu Serif"/>
          <w:b w:val="0"/>
          <w:i w:val="0"/>
          <w:sz w:val="21"/>
        </w:rPr>
        <w:t>Theorem 9.2 (polar node) [CL/PROP]. Under these hypotheses D_pol is independent of all nonzero matrix and coordinate representatives of Q₁,Q₂, and ℓ.</w:t>
      </w:r>
    </w:p>
    <w:p>
      <w:pPr>
        <w:pStyle w:val="Heading2"/>
        <w:keepNext/>
        <w:keepLines w:val="0"/>
        <w:spacing w:before="160" w:after="80" w:line="240" w:lineRule="auto"/>
      </w:pPr>
      <w:r>
        <w:rPr>
          <w:rFonts w:ascii="DejaVu Sans" w:hAnsi="DejaVu Sans" w:eastAsia="DejaVu Sans"/>
          <w:b/>
          <w:i w:val="0"/>
          <w:color w:val="1F4E78"/>
          <w:sz w:val="25"/>
        </w:rPr>
        <w:t>9.4. Harmonic Closure and Counterexample</w:t>
      </w:r>
    </w:p>
    <w:p>
      <w:pPr>
        <w:keepNext w:val="0"/>
        <w:keepLines/>
        <w:spacing w:before="80" w:after="140" w:line="240" w:lineRule="auto"/>
        <w:jc w:val="center"/>
      </w:pPr>
      <w:r>
        <w:rPr>
          <w:rFonts w:ascii="DejaVu Serif" w:hAnsi="DejaVu Serif" w:eastAsia="DejaVu Serif"/>
          <w:b w:val="0"/>
          <w:i w:val="0"/>
          <w:sz w:val="23"/>
        </w:rPr>
        <w:t>cr(A,C;B,D_harm)=−1.</w:t>
      </w:r>
      <w:r>
        <w:rPr>
          <w:rFonts w:ascii="DejaVu Sans" w:hAnsi="DejaVu Sans" w:eastAsia="DejaVu Sans"/>
          <w:b w:val="0"/>
          <w:i/>
          <w:color w:val="666666"/>
          <w:sz w:val="17"/>
        </w:rPr>
        <w:t xml:space="preserve">    [RU p. 38]</w:t>
      </w:r>
    </w:p>
    <w:p>
      <w:pPr>
        <w:keepNext w:val="0"/>
        <w:keepLines/>
        <w:spacing w:before="80" w:after="140" w:line="240" w:lineRule="auto"/>
        <w:jc w:val="center"/>
      </w:pPr>
      <w:r>
        <w:rPr>
          <w:rFonts w:ascii="DejaVu Serif" w:hAnsi="DejaVu Serif" w:eastAsia="DejaVu Serif"/>
          <w:b w:val="0"/>
          <w:i w:val="0"/>
          <w:sz w:val="23"/>
        </w:rPr>
        <w:t>d_harm = ((a+c)b−2ac)/(2b−a−c),    if 2b−a−c≠0.</w:t>
      </w:r>
      <w:r>
        <w:rPr>
          <w:rFonts w:ascii="DejaVu Sans" w:hAnsi="DejaVu Sans" w:eastAsia="DejaVu Sans"/>
          <w:b w:val="0"/>
          <w:i/>
          <w:color w:val="666666"/>
          <w:sz w:val="17"/>
        </w:rPr>
        <w:t xml:space="preserve">    [RU p. 38]</w:t>
      </w:r>
    </w:p>
    <w:p>
      <w:pPr>
        <w:keepNext w:val="0"/>
        <w:keepLines w:val="0"/>
        <w:spacing w:before="0" w:after="100" w:line="259" w:lineRule="auto"/>
      </w:pPr>
      <w:r>
        <w:rPr>
          <w:rFonts w:ascii="DejaVu Serif" w:hAnsi="DejaVu Serif" w:eastAsia="DejaVu Serif"/>
          <w:b w:val="0"/>
          <w:i w:val="0"/>
          <w:sz w:val="21"/>
        </w:rPr>
        <w:t>When the denominator is zero, D_harm is the point at infinity of the chosen affine chart. The construction depends on the ordered quadruple and on a declared cross-ratio convention.</w:t>
      </w:r>
    </w:p>
    <w:tbl>
      <w:tblPr>
        <w:tblW w:type="auto" w:w="0"/>
        <w:jc w:val="center"/>
        <w:tblLayout w:type="fixed"/>
        <w:tblLook w:firstColumn="1" w:firstRow="1" w:lastColumn="0" w:lastRow="0" w:noHBand="0" w:noVBand="1" w:val="04A0"/>
      </w:tblPr>
      <w:tblGrid>
        <w:gridCol w:w="9638"/>
      </w:tblGrid>
      <w:tr>
        <w:trPr>
          <w:cantSplit/>
        </w:trPr>
        <w:tc>
          <w:tcPr>
            <w:tcW w:type="dxa" w:w="10070"/>
            <w:shd w:fill="F8F1DC"/>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A37500"/>
                <w:sz w:val="18"/>
              </w:rPr>
              <w:t xml:space="preserve">COUNTEREXAMPLE 9.3. </w:t>
            </w:r>
            <w:r>
              <w:rPr>
                <w:rFonts w:ascii="DejaVu Serif" w:hAnsi="DejaVu Serif" w:eastAsia="DejaVu Serif"/>
                <w:b w:val="0"/>
                <w:i w:val="0"/>
                <w:sz w:val="18"/>
              </w:rPr>
              <w:t>For a=0, c=1, and b=2 one obtains d_harm=2/3. An arbitrary polar trace d_pol=3 is not harmonic because cr(0,1;2,3)=4/3. Thus polar intersection and harmonic closure are logically independent without a bridge hypothesis.</w:t>
            </w:r>
          </w:p>
        </w:tc>
      </w:tr>
    </w:tbl>
    <w:p>
      <w:pPr>
        <w:spacing w:after="20"/>
      </w:pPr>
    </w:p>
    <w:p>
      <w:pPr>
        <w:pStyle w:val="Heading2"/>
        <w:keepNext/>
        <w:keepLines w:val="0"/>
        <w:spacing w:before="160" w:after="80" w:line="240" w:lineRule="auto"/>
      </w:pPr>
      <w:r>
        <w:rPr>
          <w:rFonts w:ascii="DejaVu Sans" w:hAnsi="DejaVu Sans" w:eastAsia="DejaVu Sans"/>
          <w:b/>
          <w:i w:val="0"/>
          <w:color w:val="1F4E78"/>
          <w:sz w:val="25"/>
        </w:rPr>
        <w:t>9.5. Canonical Conditional Desargues–Kurpishev Theorem</w:t>
      </w:r>
    </w:p>
    <w:p>
      <w:pPr>
        <w:keepNext w:val="0"/>
        <w:keepLines w:val="0"/>
        <w:spacing w:before="0" w:after="100" w:line="259" w:lineRule="auto"/>
      </w:pPr>
      <w:r>
        <w:rPr>
          <w:rFonts w:ascii="DejaVu Serif" w:hAnsi="DejaVu Serif" w:eastAsia="DejaVu Serif"/>
          <w:b w:val="0"/>
          <w:i w:val="0"/>
          <w:sz w:val="21"/>
        </w:rPr>
        <w:t>Theorem 9.4 [COND]. Suppose: (i) the hypotheses of Theorem 9.2 hold; (ii) two triangles are perspective from a point; (iii) their Desargues axis equals c=O₁O₂; and (iv) D_pol satisfies the harmonic criterion relative to A,C,B. Then D_pol is simultaneously the trace of the Desargues axis on p and the unique harmonic complement D_harm.</w:t>
      </w:r>
    </w:p>
    <w:p>
      <w:pPr>
        <w:keepNext w:val="0"/>
        <w:keepLines w:val="0"/>
        <w:spacing w:before="0" w:after="100" w:line="259" w:lineRule="auto"/>
      </w:pPr>
      <w:r>
        <w:rPr>
          <w:rFonts w:ascii="DejaVu Serif" w:hAnsi="DejaVu Serif" w:eastAsia="DejaVu Serif"/>
          <w:b w:val="0"/>
          <w:i w:val="0"/>
          <w:sz w:val="21"/>
        </w:rPr>
        <w:t>Proof. By the classical Desargues theorem, condition (ii) gives an axis of perspectivity. Condition (iii) identifies that axis with c, so its trace on p is D_pol. Condition (iv) and uniqueness of the solution of the fractional-linear equation give D_pol=D_harm.</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A61C1C"/>
                <w:sz w:val="18"/>
              </w:rPr>
              <w:t xml:space="preserve">OPEN OBLIGATIONS. </w:t>
            </w:r>
            <w:r>
              <w:rPr>
                <w:rFonts w:ascii="DejaVu Serif" w:hAnsi="DejaVu Serif" w:eastAsia="DejaVu Serif"/>
                <w:b w:val="0"/>
                <w:i w:val="0"/>
                <w:sz w:val="18"/>
              </w:rPr>
              <w:t>The theorem does not derive bridge conditions (iii) and (iv) from the data of two conics. Establishing them is recorded as DK-PO-1 and DK-PO-2. Without those obligations, the correct output is not a strengthened theorem but ABSTAIN or a weaker polar-node statement.</w:t>
            </w:r>
          </w:p>
        </w:tc>
      </w:tr>
    </w:tbl>
    <w:p>
      <w:pPr>
        <w:spacing w:after="20"/>
      </w:pPr>
    </w:p>
    <w:p>
      <w:pPr>
        <w:pStyle w:val="Heading2"/>
        <w:keepNext/>
        <w:keepLines w:val="0"/>
        <w:spacing w:before="160" w:after="80" w:line="240" w:lineRule="auto"/>
      </w:pPr>
      <w:r>
        <w:rPr>
          <w:rFonts w:ascii="DejaVu Sans" w:hAnsi="DejaVu Sans" w:eastAsia="DejaVu Sans"/>
          <w:b/>
          <w:i w:val="0"/>
          <w:color w:val="1F4E78"/>
          <w:sz w:val="25"/>
        </w:rPr>
        <w:t>9.6. DK-CERT-9 Evidence Passport</w:t>
      </w:r>
    </w:p>
    <w:tbl>
      <w:tblPr>
        <w:tblW w:type="auto" w:w="0"/>
        <w:jc w:val="center"/>
        <w:tblLayout w:type="fixed"/>
        <w:tblLook w:firstColumn="1" w:firstRow="1" w:lastColumn="0" w:lastRow="0" w:noHBand="0" w:noVBand="1" w:val="04A0"/>
      </w:tblPr>
      <w:tblGrid>
        <w:gridCol w:w="5035"/>
        <w:gridCol w:w="5035"/>
      </w:tblGrid>
      <w:tr>
        <w:trPr>
          <w:tblHeader w:val="true"/>
        </w:trPr>
        <w:tc>
          <w:tcPr>
            <w:tcW w:type="dxa" w:w="2324"/>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7"/>
              </w:rPr>
              <w:t>Field group</w:t>
            </w:r>
          </w:p>
        </w:tc>
        <w:tc>
          <w:tcPr>
            <w:tcW w:type="dxa" w:w="6746"/>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7"/>
              </w:rPr>
              <w:t>Mandatory content</w:t>
            </w:r>
          </w:p>
        </w:tc>
      </w:tr>
      <w:tr>
        <w:trPr>
          <w:cantSplit/>
        </w:trPr>
        <w:tc>
          <w:tcPr>
            <w:tcW w:type="dxa" w:w="232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Carrier</w:t>
            </w:r>
          </w:p>
        </w:tc>
        <w:tc>
          <w:tcPr>
            <w:tcW w:type="dxa" w:w="674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field, characteristic, plane model, coordinate convention</w:t>
            </w:r>
          </w:p>
        </w:tc>
      </w:tr>
      <w:tr>
        <w:trPr>
          <w:cantSplit/>
        </w:trPr>
        <w:tc>
          <w:tcPr>
            <w:tcW w:type="dxa" w:w="232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Conics and polarity</w:t>
            </w:r>
          </w:p>
        </w:tc>
        <w:tc>
          <w:tcPr>
            <w:tcW w:type="dxa" w:w="674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Q₁,Q₂,p, O₁,O₂, nondegeneracy, c≠p</w:t>
            </w:r>
          </w:p>
        </w:tc>
      </w:tr>
      <w:tr>
        <w:trPr>
          <w:cantSplit/>
        </w:trPr>
        <w:tc>
          <w:tcPr>
            <w:tcW w:type="dxa" w:w="232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Desargues node</w:t>
            </w:r>
          </w:p>
        </w:tc>
        <w:tc>
          <w:tcPr>
            <w:tcW w:type="dxa" w:w="674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triangle pair, point of perspectivity, axis proof</w:t>
            </w:r>
          </w:p>
        </w:tc>
      </w:tr>
      <w:tr>
        <w:trPr>
          <w:cantSplit/>
        </w:trPr>
        <w:tc>
          <w:tcPr>
            <w:tcW w:type="dxa" w:w="232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Bridge</w:t>
            </w:r>
          </w:p>
        </w:tc>
        <w:tc>
          <w:tcPr>
            <w:tcW w:type="dxa" w:w="674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proof of c=d_Des; proof of harmonic criterion</w:t>
            </w:r>
          </w:p>
        </w:tc>
      </w:tr>
      <w:tr>
        <w:trPr>
          <w:cantSplit/>
        </w:trPr>
        <w:tc>
          <w:tcPr>
            <w:tcW w:type="dxa" w:w="232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Harmonic node</w:t>
            </w:r>
          </w:p>
        </w:tc>
        <w:tc>
          <w:tcPr>
            <w:tcW w:type="dxa" w:w="674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A,C,B, cross-ratio convention, D_pol, D_harm</w:t>
            </w:r>
          </w:p>
        </w:tc>
      </w:tr>
      <w:tr>
        <w:trPr>
          <w:cantSplit/>
        </w:trPr>
        <w:tc>
          <w:tcPr>
            <w:tcW w:type="dxa" w:w="232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Evidence</w:t>
            </w:r>
          </w:p>
        </w:tc>
        <w:tc>
          <w:tcPr>
            <w:tcW w:type="dxa" w:w="674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Dom, D, proof object, status, open obligations</w:t>
            </w:r>
          </w:p>
        </w:tc>
      </w:tr>
    </w:tbl>
    <w:p>
      <w:pPr>
        <w:spacing w:after="40"/>
      </w:pPr>
    </w:p>
    <w:p>
      <w:pPr>
        <w:keepNext w:val="0"/>
        <w:keepLines w:val="0"/>
        <w:spacing w:before="0" w:after="100" w:line="259" w:lineRule="auto"/>
      </w:pPr>
      <w:r>
        <w:rPr>
          <w:rFonts w:ascii="DejaVu Serif" w:hAnsi="DejaVu Serif" w:eastAsia="DejaVu Serif"/>
          <w:b w:val="0"/>
          <w:i/>
          <w:sz w:val="19"/>
        </w:rPr>
        <w:t>Phenomenological note. A geometric point becomes a sufficient foundation not because several elegant lines happen to meet there, but because the law of each incidence is known. Polar, Desargues, and harmonic modes of givenness may coincide, but the coincidence must be proved rather than anticipated.</w:t>
      </w:r>
    </w:p>
    <w:p>
      <w:r>
        <w:br w:type="page"/>
      </w:r>
    </w:p>
    <w:p>
      <w:pPr>
        <w:pStyle w:val="Heading1"/>
        <w:keepNext/>
        <w:keepLines w:val="0"/>
        <w:spacing w:before="200" w:after="80" w:line="240" w:lineRule="auto"/>
      </w:pPr>
      <w:bookmarkStart w:id="1009" w:name="T1_CH_10"/>
      <w:r>
        <w:rPr>
          <w:rFonts w:ascii="DejaVu Sans" w:hAnsi="DejaVu Sans" w:eastAsia="DejaVu Sans"/>
          <w:b/>
          <w:i w:val="0"/>
          <w:color w:val="1F4E78"/>
          <w:sz w:val="32"/>
        </w:rPr>
        <w:t>Chapter 10. FOS, Seven Size@Dimensions, and PN.2</w:t>
      </w:r>
      <w:bookmarkEnd w:id="1009"/>
    </w:p>
    <w:p>
      <w:pPr>
        <w:keepNext w:val="0"/>
        <w:keepLines w:val="0"/>
        <w:spacing w:before="0" w:after="120" w:line="259" w:lineRule="auto"/>
      </w:pPr>
      <w:r>
        <w:rPr>
          <w:rFonts w:ascii="DejaVu Serif" w:hAnsi="DejaVu Serif" w:eastAsia="DejaVu Serif"/>
          <w:b w:val="0"/>
          <w:i/>
          <w:sz w:val="18"/>
        </w:rPr>
        <w:t>Russian source locator: pp. 39–42</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FOS is treated as a compatibility condition for families of Reper structures, not as an undefined totality. The chapter distinguishes size from dimension, records the seven-layer model, and states the early PN.2 principle as a model bridge. The rigorous minimax theorem is postponed to Chapter 21.</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989320" cy="3342292"/>
            <wp:docPr id="13" name="Picture 13"/>
            <wp:cNvGraphicFramePr>
              <a:graphicFrameLocks noChangeAspect="1"/>
            </wp:cNvGraphicFramePr>
            <a:graphic>
              <a:graphicData uri="http://schemas.openxmlformats.org/drawingml/2006/picture">
                <pic:pic>
                  <pic:nvPicPr>
                    <pic:cNvPr id="0" name="fig10_fos.png"/>
                    <pic:cNvPicPr/>
                  </pic:nvPicPr>
                  <pic:blipFill>
                    <a:blip r:embed="rId25"/>
                    <a:stretch>
                      <a:fillRect/>
                    </a:stretch>
                  </pic:blipFill>
                  <pic:spPr>
                    <a:xfrm>
                      <a:off x="0" y="0"/>
                      <a:ext cx="5989320" cy="3342292"/>
                    </a:xfrm>
                    <a:prstGeom prst="rect"/>
                  </pic:spPr>
                </pic:pic>
              </a:graphicData>
            </a:graphic>
          </wp:inline>
        </w:drawing>
      </w:r>
    </w:p>
    <w:p>
      <w:pPr>
        <w:keepNext w:val="0"/>
        <w:keepLines/>
        <w:spacing w:before="0" w:after="140" w:line="240" w:lineRule="auto"/>
        <w:jc w:val="center"/>
      </w:pPr>
      <w:bookmarkStart w:id="1070" w:name="T1_FIG_012"/>
      <w:r>
        <w:rPr>
          <w:rFonts w:ascii="DejaVu Serif" w:hAnsi="DejaVu Serif" w:eastAsia="DejaVu Serif"/>
          <w:b w:val="0"/>
          <w:i/>
          <w:color w:val="666666"/>
          <w:sz w:val="17"/>
        </w:rPr>
        <w:t>Figure 10.1. FOS as a compatible Reper carrier, world reduction, and the early PN.2 bridge.</w:t>
      </w:r>
      <w:bookmarkEnd w:id="1070"/>
    </w:p>
    <w:p>
      <w:pPr>
        <w:pStyle w:val="Heading2"/>
        <w:keepNext/>
        <w:keepLines w:val="0"/>
        <w:spacing w:before="160" w:after="80" w:line="240" w:lineRule="auto"/>
      </w:pPr>
      <w:r>
        <w:rPr>
          <w:rFonts w:ascii="DejaVu Sans" w:hAnsi="DejaVu Sans" w:eastAsia="DejaVu Sans"/>
          <w:b/>
          <w:i w:val="0"/>
          <w:color w:val="1F4E78"/>
          <w:sz w:val="25"/>
        </w:rPr>
        <w:t>10.1. FOS as a Reper Inverse Limit</w:t>
      </w:r>
    </w:p>
    <w:p>
      <w:pPr>
        <w:keepNext w:val="0"/>
        <w:keepLines/>
        <w:spacing w:before="80" w:after="140" w:line="240" w:lineRule="auto"/>
        <w:jc w:val="center"/>
      </w:pPr>
      <w:r>
        <w:rPr>
          <w:rFonts w:ascii="DejaVu Serif" w:hAnsi="DejaVu Serif" w:eastAsia="DejaVu Serif"/>
          <w:b w:val="0"/>
          <w:i w:val="0"/>
          <w:sz w:val="23"/>
        </w:rPr>
        <w:t>FOS = lim←_{τ∈T} ∏_{c∈Ob(C_τ)} Reper(c).</w:t>
      </w:r>
      <w:r>
        <w:rPr>
          <w:rFonts w:ascii="DejaVu Sans" w:hAnsi="DejaVu Sans" w:eastAsia="DejaVu Sans"/>
          <w:b w:val="0"/>
          <w:i/>
          <w:color w:val="666666"/>
          <w:sz w:val="17"/>
        </w:rPr>
        <w:t xml:space="preserve">    [RU p. 39]</w:t>
      </w:r>
    </w:p>
    <w:p>
      <w:pPr>
        <w:keepNext w:val="0"/>
        <w:keepLines w:val="0"/>
        <w:spacing w:before="0" w:after="100" w:line="259" w:lineRule="auto"/>
      </w:pPr>
      <w:r>
        <w:rPr>
          <w:rFonts w:ascii="DejaVu Serif" w:hAnsi="DejaVu Serif" w:eastAsia="DejaVu Serif"/>
          <w:b w:val="0"/>
          <w:i w:val="0"/>
          <w:sz w:val="21"/>
        </w:rPr>
        <w:t>Kurpishev Fundamental Support Connectivity (FOS) is the inverse-limit compatibility of Reper-admissible event@states across packet-time layers. It is not the set of all objects. It records whether local Reper data can be glued through declared transition maps while preserving Dom and sufficient foundations D.</w:t>
      </w:r>
    </w:p>
    <w:p>
      <w:pPr>
        <w:keepNext w:val="0"/>
        <w:keepLines w:val="0"/>
        <w:spacing w:before="0" w:after="100" w:line="259" w:lineRule="auto"/>
      </w:pPr>
      <w:r>
        <w:rPr>
          <w:rFonts w:ascii="DejaVu Serif" w:hAnsi="DejaVu Serif" w:eastAsia="DejaVu Serif"/>
          <w:b w:val="0"/>
          <w:i w:val="0"/>
          <w:sz w:val="21"/>
        </w:rPr>
        <w:t>Definition 10.1 [DEF-A]. Let T be a small cofiltered category. For each τ∈T, let C_τ be a small category and let E_τ=∏_{c∈Ob(C_τ)}Reper(c). If transition maps ρ_{στ}:E_σ→E_τ satisfy ρ_{ττ}=id and ρ_{υτ}=ρ_{στ}∘ρ_{υσ}, define FOS=lim←E_τ as the subset of the product consisting of compatible families.</w:t>
      </w:r>
    </w:p>
    <w:p>
      <w:pPr>
        <w:keepNext w:val="0"/>
        <w:keepLines w:val="0"/>
        <w:spacing w:before="0" w:after="100" w:line="259" w:lineRule="auto"/>
      </w:pPr>
      <w:r>
        <w:rPr>
          <w:rFonts w:ascii="DejaVu Serif" w:hAnsi="DejaVu Serif" w:eastAsia="DejaVu Serif"/>
          <w:b w:val="0"/>
          <w:i w:val="0"/>
          <w:sz w:val="21"/>
        </w:rPr>
        <w:t>Proposition 10.2 [PROP]. The limit exists in Set. If each E_τ is Hausdorff and the transition maps are continuous, the same equalizer construction gives a closed subspace of the product.</w:t>
      </w:r>
    </w:p>
    <w:p>
      <w:pPr>
        <w:pStyle w:val="Heading2"/>
        <w:keepNext/>
        <w:keepLines w:val="0"/>
        <w:spacing w:before="160" w:after="80" w:line="240" w:lineRule="auto"/>
      </w:pPr>
      <w:r>
        <w:rPr>
          <w:rFonts w:ascii="DejaVu Sans" w:hAnsi="DejaVu Sans" w:eastAsia="DejaVu Sans"/>
          <w:b/>
          <w:i w:val="0"/>
          <w:color w:val="1F4E78"/>
          <w:sz w:val="25"/>
        </w:rPr>
        <w:t>10.2. World Reduction and Present Slice</w:t>
      </w:r>
    </w:p>
    <w:p>
      <w:pPr>
        <w:keepNext w:val="0"/>
        <w:keepLines/>
        <w:spacing w:before="80" w:after="140" w:line="240" w:lineRule="auto"/>
        <w:jc w:val="center"/>
      </w:pPr>
      <w:r>
        <w:rPr>
          <w:rFonts w:ascii="DejaVu Serif" w:hAnsi="DejaVu Serif" w:eastAsia="DejaVu Serif"/>
          <w:b w:val="0"/>
          <w:i w:val="0"/>
          <w:sz w:val="23"/>
        </w:rPr>
        <w:t>W = Θ_W(FOS;D_W).</w:t>
      </w:r>
      <w:r>
        <w:rPr>
          <w:rFonts w:ascii="DejaVu Sans" w:hAnsi="DejaVu Sans" w:eastAsia="DejaVu Sans"/>
          <w:b w:val="0"/>
          <w:i/>
          <w:color w:val="666666"/>
          <w:sz w:val="17"/>
        </w:rPr>
        <w:t xml:space="preserve">    [RU pp. 40–41]</w:t>
      </w:r>
    </w:p>
    <w:p>
      <w:pPr>
        <w:keepNext w:val="0"/>
        <w:keepLines/>
        <w:spacing w:before="80" w:after="140" w:line="240" w:lineRule="auto"/>
        <w:jc w:val="center"/>
      </w:pPr>
      <w:r>
        <w:rPr>
          <w:rFonts w:ascii="DejaVu Serif" w:hAnsi="DejaVu Serif" w:eastAsia="DejaVu Serif"/>
          <w:b w:val="0"/>
          <w:i w:val="0"/>
          <w:sz w:val="23"/>
        </w:rPr>
        <w:t>N_ω = σ_ω(FOS),    ω=(where,when,iH,D).</w:t>
      </w:r>
      <w:r>
        <w:rPr>
          <w:rFonts w:ascii="DejaVu Sans" w:hAnsi="DejaVu Sans" w:eastAsia="DejaVu Sans"/>
          <w:b w:val="0"/>
          <w:i/>
          <w:color w:val="666666"/>
          <w:sz w:val="17"/>
        </w:rPr>
        <w:t xml:space="preserve">    [RU p. 40]</w:t>
      </w:r>
    </w:p>
    <w:p>
      <w:pPr>
        <w:keepNext w:val="0"/>
        <w:keepLines w:val="0"/>
        <w:spacing w:before="0" w:after="100" w:line="259" w:lineRule="auto"/>
      </w:pPr>
      <w:r>
        <w:rPr>
          <w:rFonts w:ascii="DejaVu Serif" w:hAnsi="DejaVu Serif" w:eastAsia="DejaVu Serif"/>
          <w:b w:val="0"/>
          <w:i w:val="0"/>
          <w:sz w:val="21"/>
        </w:rPr>
        <w:t>A world is a reduction only when an admissible functor Θ_W and a sufficient foundation D_W are specified. A present state is a slice selected by where, when, observer layer iH, and foundation D. This is a typed selection operator, not a claim that the whole FOS is simultaneously observed.</w:t>
      </w:r>
    </w:p>
    <w:p>
      <w:pPr>
        <w:pStyle w:val="Heading2"/>
        <w:keepNext/>
        <w:keepLines w:val="0"/>
        <w:spacing w:before="160" w:after="80" w:line="240" w:lineRule="auto"/>
      </w:pPr>
      <w:r>
        <w:rPr>
          <w:rFonts w:ascii="DejaVu Sans" w:hAnsi="DejaVu Sans" w:eastAsia="DejaVu Sans"/>
          <w:b/>
          <w:i w:val="0"/>
          <w:color w:val="1F4E78"/>
          <w:sz w:val="25"/>
        </w:rPr>
        <w:t>10.3. Seven Size@Dimensions</w:t>
      </w:r>
    </w:p>
    <w:p>
      <w:pPr>
        <w:keepNext w:val="0"/>
        <w:keepLines w:val="0"/>
        <w:spacing w:before="0" w:after="100" w:line="259" w:lineRule="auto"/>
      </w:pPr>
      <w:r>
        <w:rPr>
          <w:rFonts w:ascii="DejaVu Serif" w:hAnsi="DejaVu Serif" w:eastAsia="DejaVu Serif"/>
          <w:b w:val="0"/>
          <w:i w:val="0"/>
          <w:sz w:val="21"/>
        </w:rPr>
        <w:t>Size measures magnitude within a layer; dimension measures the type of local freedom. The packet notation keeps the two observables coupled. The seven-layer classification is model data, not a theorem about every physical ontology.</w:t>
      </w:r>
    </w:p>
    <w:tbl>
      <w:tblPr>
        <w:tblW w:type="auto" w:w="0"/>
        <w:jc w:val="center"/>
        <w:tblLayout w:type="fixed"/>
        <w:tblLook w:firstColumn="1" w:firstRow="1" w:lastColumn="0" w:lastRow="0" w:noHBand="0" w:noVBand="1" w:val="04A0"/>
      </w:tblPr>
      <w:tblGrid>
        <w:gridCol w:w="2517"/>
        <w:gridCol w:w="2517"/>
        <w:gridCol w:w="2517"/>
        <w:gridCol w:w="2517"/>
      </w:tblGrid>
      <w:tr>
        <w:trPr>
          <w:tblHeader w:val="true"/>
        </w:trPr>
        <w:tc>
          <w:tcPr>
            <w:tcW w:type="dxa" w:w="1304"/>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Class</w:t>
            </w:r>
          </w:p>
        </w:tc>
        <w:tc>
          <w:tcPr>
            <w:tcW w:type="dxa" w:w="1814"/>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Layer</w:t>
            </w:r>
          </w:p>
        </w:tc>
        <w:tc>
          <w:tcPr>
            <w:tcW w:type="dxa" w:w="4195"/>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Model role</w:t>
            </w:r>
          </w:p>
        </w:tc>
        <w:tc>
          <w:tcPr>
            <w:tcW w:type="dxa" w:w="1757"/>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Status</w:t>
            </w:r>
          </w:p>
        </w:tc>
      </w:tr>
      <w:tr>
        <w:trPr>
          <w:cantSplit/>
        </w:trPr>
        <w:tc>
          <w:tcPr>
            <w:tcW w:type="dxa" w:w="130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Nonlocal</w:t>
            </w:r>
          </w:p>
        </w:tc>
        <w:tc>
          <w:tcPr>
            <w:tcW w:type="dxa" w:w="181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Apeiron / FOS</w:t>
            </w:r>
          </w:p>
        </w:tc>
        <w:tc>
          <w:tcPr>
            <w:tcW w:type="dxa" w:w="419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global compatibility of admissible Reper families</w:t>
            </w:r>
          </w:p>
        </w:tc>
        <w:tc>
          <w:tcPr>
            <w:tcW w:type="dxa" w:w="17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MODEL</w:t>
            </w:r>
          </w:p>
        </w:tc>
      </w:tr>
      <w:tr>
        <w:trPr>
          <w:cantSplit/>
        </w:trPr>
        <w:tc>
          <w:tcPr>
            <w:tcW w:type="dxa" w:w="130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Nonlocal</w:t>
            </w:r>
          </w:p>
        </w:tc>
        <w:tc>
          <w:tcPr>
            <w:tcW w:type="dxa" w:w="181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Hyparxis</w:t>
            </w:r>
          </w:p>
        </w:tc>
        <w:tc>
          <w:tcPr>
            <w:tcW w:type="dxa" w:w="419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transition layer between local dimensional regimes</w:t>
            </w:r>
          </w:p>
        </w:tc>
        <w:tc>
          <w:tcPr>
            <w:tcW w:type="dxa" w:w="17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MODEL</w:t>
            </w:r>
          </w:p>
        </w:tc>
      </w:tr>
      <w:tr>
        <w:trPr>
          <w:cantSplit/>
        </w:trPr>
        <w:tc>
          <w:tcPr>
            <w:tcW w:type="dxa" w:w="130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Nonlocal</w:t>
            </w:r>
          </w:p>
        </w:tc>
        <w:tc>
          <w:tcPr>
            <w:tcW w:type="dxa" w:w="181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iH</w:t>
            </w:r>
          </w:p>
        </w:tc>
        <w:tc>
          <w:tcPr>
            <w:tcW w:type="dxa" w:w="419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observational/consciousness layer in the authorial ontology</w:t>
            </w:r>
          </w:p>
        </w:tc>
        <w:tc>
          <w:tcPr>
            <w:tcW w:type="dxa" w:w="17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PHY-HYP / MODEL</w:t>
            </w:r>
          </w:p>
        </w:tc>
      </w:tr>
      <w:tr>
        <w:trPr>
          <w:cantSplit/>
        </w:trPr>
        <w:tc>
          <w:tcPr>
            <w:tcW w:type="dxa" w:w="130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Local</w:t>
            </w:r>
          </w:p>
        </w:tc>
        <w:tc>
          <w:tcPr>
            <w:tcW w:type="dxa" w:w="181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cavity</w:t>
            </w:r>
          </w:p>
        </w:tc>
        <w:tc>
          <w:tcPr>
            <w:tcW w:type="dxa" w:w="419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three-dimensional local freedom</w:t>
            </w:r>
          </w:p>
        </w:tc>
        <w:tc>
          <w:tcPr>
            <w:tcW w:type="dxa" w:w="17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CL carrier / MODEL role</w:t>
            </w:r>
          </w:p>
        </w:tc>
      </w:tr>
      <w:tr>
        <w:trPr>
          <w:cantSplit/>
        </w:trPr>
        <w:tc>
          <w:tcPr>
            <w:tcW w:type="dxa" w:w="130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Local</w:t>
            </w:r>
          </w:p>
        </w:tc>
        <w:tc>
          <w:tcPr>
            <w:tcW w:type="dxa" w:w="181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plane</w:t>
            </w:r>
          </w:p>
        </w:tc>
        <w:tc>
          <w:tcPr>
            <w:tcW w:type="dxa" w:w="419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two-dimensional local freedom</w:t>
            </w:r>
          </w:p>
        </w:tc>
        <w:tc>
          <w:tcPr>
            <w:tcW w:type="dxa" w:w="17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CL carrier / MODEL role</w:t>
            </w:r>
          </w:p>
        </w:tc>
      </w:tr>
      <w:tr>
        <w:trPr>
          <w:cantSplit/>
        </w:trPr>
        <w:tc>
          <w:tcPr>
            <w:tcW w:type="dxa" w:w="130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Local</w:t>
            </w:r>
          </w:p>
        </w:tc>
        <w:tc>
          <w:tcPr>
            <w:tcW w:type="dxa" w:w="181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line</w:t>
            </w:r>
          </w:p>
        </w:tc>
        <w:tc>
          <w:tcPr>
            <w:tcW w:type="dxa" w:w="419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one-dimensional local freedom</w:t>
            </w:r>
          </w:p>
        </w:tc>
        <w:tc>
          <w:tcPr>
            <w:tcW w:type="dxa" w:w="17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CL carrier / MODEL role</w:t>
            </w:r>
          </w:p>
        </w:tc>
      </w:tr>
      <w:tr>
        <w:trPr>
          <w:cantSplit/>
        </w:trPr>
        <w:tc>
          <w:tcPr>
            <w:tcW w:type="dxa" w:w="130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Local</w:t>
            </w:r>
          </w:p>
        </w:tc>
        <w:tc>
          <w:tcPr>
            <w:tcW w:type="dxa" w:w="181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point</w:t>
            </w:r>
          </w:p>
        </w:tc>
        <w:tc>
          <w:tcPr>
            <w:tcW w:type="dxa" w:w="419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zero-dimensional local freedom</w:t>
            </w:r>
          </w:p>
        </w:tc>
        <w:tc>
          <w:tcPr>
            <w:tcW w:type="dxa" w:w="17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CL carrier / MODEL role</w:t>
            </w:r>
          </w:p>
        </w:tc>
      </w:tr>
    </w:tbl>
    <w:p>
      <w:pPr>
        <w:spacing w:after="40"/>
      </w:pPr>
    </w:p>
    <w:p>
      <w:pPr>
        <w:pStyle w:val="Heading2"/>
        <w:keepNext/>
        <w:keepLines w:val="0"/>
        <w:spacing w:before="160" w:after="80" w:line="240" w:lineRule="auto"/>
      </w:pPr>
      <w:r>
        <w:rPr>
          <w:rFonts w:ascii="DejaVu Sans" w:hAnsi="DejaVu Sans" w:eastAsia="DejaVu Sans"/>
          <w:b/>
          <w:i w:val="0"/>
          <w:color w:val="1F4E78"/>
          <w:sz w:val="25"/>
        </w:rPr>
        <w:t>10.4. Early Kurpishev Uncertainty Principle PN.2</w:t>
      </w:r>
    </w:p>
    <w:p>
      <w:pPr>
        <w:keepNext w:val="0"/>
        <w:keepLines w:val="0"/>
        <w:spacing w:before="0" w:after="100" w:line="259" w:lineRule="auto"/>
      </w:pPr>
      <w:r>
        <w:rPr>
          <w:rFonts w:ascii="DejaVu Serif" w:hAnsi="DejaVu Serif" w:eastAsia="DejaVu Serif"/>
          <w:b w:val="0"/>
          <w:i w:val="0"/>
          <w:sz w:val="21"/>
        </w:rPr>
        <w:t>The early principle states that exact size and exact dimension of a packet object cannot be fixed independently while all transition data are preserved. At this checkpoint the statement is axiomatic-modelled. It is not the later quantitative minimax theorem and supplies no numerical uncertainty constant by itself.</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A61C1C"/>
                <w:sz w:val="18"/>
              </w:rPr>
              <w:t xml:space="preserve">STATUS FIREWALL. </w:t>
            </w:r>
            <w:r>
              <w:rPr>
                <w:rFonts w:ascii="DejaVu Serif" w:hAnsi="DejaVu Serif" w:eastAsia="DejaVu Serif"/>
                <w:b w:val="0"/>
                <w:i w:val="0"/>
                <w:sz w:val="18"/>
              </w:rPr>
              <w:t>Early PN.2 in Chapter 10 = MODEL/PHY-HYP bridge. Canonical mathematical PN.2 in Chapter 21 = a separate theorem package with a specified experiment, loss, parameter family, and lower bound. The two layers must not be conflated.</w:t>
            </w:r>
          </w:p>
        </w:tc>
      </w:tr>
    </w:tbl>
    <w:p>
      <w:pPr>
        <w:spacing w:after="20"/>
      </w:pPr>
    </w:p>
    <w:p>
      <w:pPr>
        <w:pStyle w:val="Heading2"/>
        <w:keepNext/>
        <w:keepLines w:val="0"/>
        <w:spacing w:before="160" w:after="80" w:line="240" w:lineRule="auto"/>
      </w:pPr>
      <w:r>
        <w:rPr>
          <w:rFonts w:ascii="DejaVu Sans" w:hAnsi="DejaVu Sans" w:eastAsia="DejaVu Sans"/>
          <w:b/>
          <w:i w:val="0"/>
          <w:color w:val="1F4E78"/>
          <w:sz w:val="25"/>
        </w:rPr>
        <w:t>10.5. Size and Dimension as Distinct Observables</w:t>
      </w:r>
    </w:p>
    <w:p>
      <w:pPr>
        <w:keepNext w:val="0"/>
        <w:keepLines w:val="0"/>
        <w:spacing w:before="0" w:after="100" w:line="259" w:lineRule="auto"/>
      </w:pPr>
      <w:r>
        <w:rPr>
          <w:rFonts w:ascii="DejaVu Serif" w:hAnsi="DejaVu Serif" w:eastAsia="DejaVu Serif"/>
          <w:b w:val="0"/>
          <w:i w:val="0"/>
          <w:sz w:val="21"/>
        </w:rPr>
        <w:t>Let E be the set of packet states and let s:E→S be a size map and d:E→D_dim a dimension map. The joint measurement map is M=(s,d). An impossibility claim requires a declared admissible class of estimators, a noise or indistinguishability model, and a loss. Without them the chapter supplies a structural warning rather than a quantitative theorem.</w:t>
      </w:r>
    </w:p>
    <w:p>
      <w:pPr>
        <w:keepNext w:val="0"/>
        <w:keepLines w:val="0"/>
        <w:spacing w:before="0" w:after="100" w:line="259" w:lineRule="auto"/>
      </w:pPr>
      <w:r>
        <w:rPr>
          <w:rFonts w:ascii="DejaVu Serif" w:hAnsi="DejaVu Serif" w:eastAsia="DejaVu Serif"/>
          <w:b w:val="0"/>
          <w:i w:val="0"/>
          <w:sz w:val="21"/>
        </w:rPr>
        <w:t>The uncertainty fibre at observed value y is C(y)={x∈E:M(x)=y}. If C(y) contains states with different bracketings, dimensions, or transition data, a single observation does not identify the hidden structure. Prediction must therefore retain the set C(y), add a bridge assumption, or return ABSTAIN.</w:t>
      </w:r>
    </w:p>
    <w:p>
      <w:pPr>
        <w:pStyle w:val="Heading2"/>
        <w:keepNext/>
        <w:keepLines w:val="0"/>
        <w:spacing w:before="160" w:after="80" w:line="240" w:lineRule="auto"/>
      </w:pPr>
      <w:r>
        <w:rPr>
          <w:rFonts w:ascii="DejaVu Sans" w:hAnsi="DejaVu Sans" w:eastAsia="DejaVu Sans"/>
          <w:b/>
          <w:i w:val="0"/>
          <w:color w:val="1F4E78"/>
          <w:sz w:val="25"/>
        </w:rPr>
        <w:t>10.6. FOS-PN2-CERT Passport</w:t>
      </w:r>
    </w:p>
    <w:tbl>
      <w:tblPr>
        <w:tblW w:type="auto" w:w="0"/>
        <w:jc w:val="center"/>
        <w:tblLayout w:type="fixed"/>
        <w:tblLook w:firstColumn="1" w:firstRow="1" w:lastColumn="0" w:lastRow="0" w:noHBand="0" w:noVBand="1" w:val="04A0"/>
      </w:tblPr>
      <w:tblGrid>
        <w:gridCol w:w="5035"/>
        <w:gridCol w:w="5035"/>
      </w:tblGrid>
      <w:tr>
        <w:trPr>
          <w:tblHeader w:val="true"/>
        </w:trPr>
        <w:tc>
          <w:tcPr>
            <w:tcW w:type="dxa" w:w="2268"/>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7"/>
              </w:rPr>
              <w:t>Field</w:t>
            </w:r>
          </w:p>
        </w:tc>
        <w:tc>
          <w:tcPr>
            <w:tcW w:type="dxa" w:w="6803"/>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7"/>
              </w:rPr>
              <w:t>Requirement</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Index category</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T, objects, arrows, cofilteredness</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Layer family</w:t>
            </w:r>
          </w:p>
        </w:tc>
        <w:tc>
          <w:tcPr>
            <w:tcW w:type="dxa" w:w="680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C_τ, E_τ, carrier types</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Transitions</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ρ_{στ}, identity and composition checks</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Limit witness</w:t>
            </w:r>
          </w:p>
        </w:tc>
        <w:tc>
          <w:tcPr>
            <w:tcW w:type="dxa" w:w="680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compatible family or explicit obstruction</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World reduction</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Θ_W, Dom, D_W, loss of information</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PN.2 bridge</w:t>
            </w:r>
          </w:p>
        </w:tc>
        <w:tc>
          <w:tcPr>
            <w:tcW w:type="dxa" w:w="680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size map, dimension map, observation model, equivalence fibre</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Status</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MODEL / COND / THM only as justified; no automatic PHY confirmation</w:t>
            </w:r>
          </w:p>
        </w:tc>
      </w:tr>
    </w:tbl>
    <w:p>
      <w:pPr>
        <w:spacing w:after="40"/>
      </w:pPr>
    </w:p>
    <w:p>
      <w:pPr>
        <w:keepNext w:val="0"/>
        <w:keepLines w:val="0"/>
        <w:spacing w:before="0" w:after="100" w:line="259" w:lineRule="auto"/>
      </w:pPr>
      <w:r>
        <w:rPr>
          <w:rFonts w:ascii="DejaVu Serif" w:hAnsi="DejaVu Serif" w:eastAsia="DejaVu Serif"/>
          <w:b w:val="0"/>
          <w:i/>
          <w:sz w:val="19"/>
        </w:rPr>
        <w:t>Phenomenological note. A world is not obtained by merely naming a totality. It appears through a compatible reduction. PN.2 records the cost of such reduction: a chosen slice may preserve some coordinates only by leaving others set-valued or structurally unresolved.</w:t>
      </w:r>
    </w:p>
    <w:p>
      <w:r>
        <w:br w:type="page"/>
      </w:r>
    </w:p>
    <w:p>
      <w:pPr>
        <w:pStyle w:val="Heading1"/>
        <w:keepNext/>
        <w:keepLines w:val="0"/>
        <w:spacing w:before="200" w:after="80" w:line="240" w:lineRule="auto"/>
      </w:pPr>
      <w:bookmarkStart w:id="1010" w:name="T1_CH_11"/>
      <w:r>
        <w:rPr>
          <w:rFonts w:ascii="DejaVu Sans" w:hAnsi="DejaVu Sans" w:eastAsia="DejaVu Sans"/>
          <w:b/>
          <w:i w:val="0"/>
          <w:color w:val="1F4E78"/>
          <w:sz w:val="32"/>
        </w:rPr>
        <w:t>Chapter 11. NAPG: Nonassociative Packet Geometry</w:t>
      </w:r>
      <w:bookmarkEnd w:id="1010"/>
    </w:p>
    <w:p>
      <w:pPr>
        <w:keepNext w:val="0"/>
        <w:keepLines w:val="0"/>
        <w:spacing w:before="0" w:after="120" w:line="259" w:lineRule="auto"/>
      </w:pPr>
      <w:r>
        <w:rPr>
          <w:rFonts w:ascii="DejaVu Serif" w:hAnsi="DejaVu Serif" w:eastAsia="DejaVu Serif"/>
          <w:b w:val="0"/>
          <w:i/>
          <w:sz w:val="18"/>
        </w:rPr>
        <w:t>Russian source locator: pp. 43–46</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NAPG studies admissible binary operations while preserving the packet architecture and recording nonassociativity through explicit associators and obstruction classes. The chapter does not identify one model with all nonassociative geometries.</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989320" cy="3044780"/>
            <wp:docPr id="14" name="Picture 14"/>
            <wp:cNvGraphicFramePr>
              <a:graphicFrameLocks noChangeAspect="1"/>
            </wp:cNvGraphicFramePr>
            <a:graphic>
              <a:graphicData uri="http://schemas.openxmlformats.org/drawingml/2006/picture">
                <pic:pic>
                  <pic:nvPicPr>
                    <pic:cNvPr id="0" name="fig11_napg.png"/>
                    <pic:cNvPicPr/>
                  </pic:nvPicPr>
                  <pic:blipFill>
                    <a:blip r:embed="rId26"/>
                    <a:stretch>
                      <a:fillRect/>
                    </a:stretch>
                  </pic:blipFill>
                  <pic:spPr>
                    <a:xfrm>
                      <a:off x="0" y="0"/>
                      <a:ext cx="5989320" cy="3044780"/>
                    </a:xfrm>
                    <a:prstGeom prst="rect"/>
                  </pic:spPr>
                </pic:pic>
              </a:graphicData>
            </a:graphic>
          </wp:inline>
        </w:drawing>
      </w:r>
    </w:p>
    <w:p>
      <w:pPr>
        <w:keepNext w:val="0"/>
        <w:keepLines/>
        <w:spacing w:before="0" w:after="140" w:line="240" w:lineRule="auto"/>
        <w:jc w:val="center"/>
      </w:pPr>
      <w:bookmarkStart w:id="1071" w:name="T1_FIG_013"/>
      <w:r>
        <w:rPr>
          <w:rFonts w:ascii="DejaVu Serif" w:hAnsi="DejaVu Serif" w:eastAsia="DejaVu Serif"/>
          <w:b w:val="0"/>
          <w:i/>
          <w:color w:val="666666"/>
          <w:sz w:val="17"/>
        </w:rPr>
        <w:t>Figure 11.1. Reduced NAPG deformation complex: operation, constraint, tangent quotient, and obstruction.</w:t>
      </w:r>
      <w:bookmarkEnd w:id="1071"/>
    </w:p>
    <w:p>
      <w:pPr>
        <w:pStyle w:val="Heading2"/>
        <w:keepNext/>
        <w:keepLines w:val="0"/>
        <w:spacing w:before="160" w:after="80" w:line="240" w:lineRule="auto"/>
      </w:pPr>
      <w:r>
        <w:rPr>
          <w:rFonts w:ascii="DejaVu Sans" w:hAnsi="DejaVu Sans" w:eastAsia="DejaVu Sans"/>
          <w:b/>
          <w:i w:val="0"/>
          <w:color w:val="1F4E78"/>
          <w:sz w:val="25"/>
        </w:rPr>
        <w:t>11.1. Admissible Operations and Reduced Spaces</w:t>
      </w:r>
    </w:p>
    <w:p>
      <w:pPr>
        <w:keepNext w:val="0"/>
        <w:keepLines w:val="0"/>
        <w:spacing w:before="0" w:after="100" w:line="259" w:lineRule="auto"/>
      </w:pPr>
      <w:r>
        <w:rPr>
          <w:rFonts w:ascii="DejaVu Serif" w:hAnsi="DejaVu Serif" w:eastAsia="DejaVu Serif"/>
          <w:b w:val="0"/>
          <w:i w:val="0"/>
          <w:sz w:val="21"/>
        </w:rPr>
        <w:t>Let V be a finite-dimensional vector space with a fixed split architecture. An admissible operation is a bilinear map μ:V×V→V satisfying the declared grading, symmetry, carrier, and packet constraints. The ambient cochain spaces are reduced to subspaces C¹_red, C²_red, and C³_red compatible with those constraints.</w:t>
      </w:r>
    </w:p>
    <w:p>
      <w:pPr>
        <w:keepNext w:val="0"/>
        <w:keepLines/>
        <w:spacing w:before="80" w:after="140" w:line="240" w:lineRule="auto"/>
        <w:jc w:val="center"/>
      </w:pPr>
      <w:r>
        <w:rPr>
          <w:rFonts w:ascii="DejaVu Serif" w:hAnsi="DejaVu Serif" w:eastAsia="DejaVu Serif"/>
          <w:b w:val="0"/>
          <w:i w:val="0"/>
          <w:sz w:val="23"/>
        </w:rPr>
        <w:t>Ass_μ(x,y,z)=μ(μ(x,y),z)−μ(x,μ(y,z)).</w:t>
      </w:r>
      <w:r>
        <w:rPr>
          <w:rFonts w:ascii="DejaVu Sans" w:hAnsi="DejaVu Sans" w:eastAsia="DejaVu Sans"/>
          <w:b w:val="0"/>
          <w:i/>
          <w:color w:val="666666"/>
          <w:sz w:val="17"/>
        </w:rPr>
        <w:t xml:space="preserve">    [RU p. 43]</w:t>
      </w:r>
    </w:p>
    <w:p>
      <w:pPr>
        <w:keepNext w:val="0"/>
        <w:keepLines/>
        <w:spacing w:before="80" w:after="140" w:line="240" w:lineRule="auto"/>
        <w:jc w:val="center"/>
      </w:pPr>
      <w:r>
        <w:rPr>
          <w:rFonts w:ascii="DejaVu Serif" w:hAnsi="DejaVu Serif" w:eastAsia="DejaVu Serif"/>
          <w:b w:val="0"/>
          <w:i w:val="0"/>
          <w:sz w:val="23"/>
        </w:rPr>
        <w:t>H²_red(μ)=ker d²_μ / im d¹_μ.</w:t>
      </w:r>
      <w:r>
        <w:rPr>
          <w:rFonts w:ascii="DejaVu Sans" w:hAnsi="DejaVu Sans" w:eastAsia="DejaVu Sans"/>
          <w:b w:val="0"/>
          <w:i/>
          <w:color w:val="666666"/>
          <w:sz w:val="17"/>
        </w:rPr>
        <w:t xml:space="preserve">    [RU pp. 44–45]</w:t>
      </w:r>
    </w:p>
    <w:p>
      <w:pPr>
        <w:keepNext w:val="0"/>
        <w:keepLines/>
        <w:spacing w:before="80" w:after="140" w:line="240" w:lineRule="auto"/>
        <w:jc w:val="center"/>
      </w:pPr>
      <w:r>
        <w:rPr>
          <w:rFonts w:ascii="DejaVu Serif" w:hAnsi="DejaVu Serif" w:eastAsia="DejaVu Serif"/>
          <w:b w:val="0"/>
          <w:i w:val="0"/>
          <w:sz w:val="23"/>
        </w:rPr>
        <w:t>O³_red(μ)=C³_red / im d²_μ.</w:t>
      </w:r>
      <w:r>
        <w:rPr>
          <w:rFonts w:ascii="DejaVu Sans" w:hAnsi="DejaVu Sans" w:eastAsia="DejaVu Sans"/>
          <w:b w:val="0"/>
          <w:i/>
          <w:color w:val="666666"/>
          <w:sz w:val="17"/>
        </w:rPr>
        <w:t xml:space="preserve">    [RU pp. 44–45]</w:t>
      </w:r>
    </w:p>
    <w:p>
      <w:pPr>
        <w:keepNext w:val="0"/>
        <w:keepLines w:val="0"/>
        <w:spacing w:before="0" w:after="100" w:line="259" w:lineRule="auto"/>
      </w:pPr>
      <w:r>
        <w:rPr>
          <w:rFonts w:ascii="DejaVu Serif" w:hAnsi="DejaVu Serif" w:eastAsia="DejaVu Serif"/>
          <w:b w:val="0"/>
          <w:i w:val="0"/>
          <w:sz w:val="21"/>
        </w:rPr>
        <w:t>The tangent quotient removes infinitesimal changes generated by admissible changes of coordinates. The obstruction quotient records whether a first-order direction can be prolonged. These are reduced objects: their meaning depends on the declared subcomplex and cannot be imported from an unrelated deformation problem without a comparison theorem.</w:t>
      </w:r>
    </w:p>
    <w:p>
      <w:pPr>
        <w:pStyle w:val="Heading2"/>
        <w:keepNext/>
        <w:keepLines w:val="0"/>
        <w:spacing w:before="160" w:after="80" w:line="240" w:lineRule="auto"/>
      </w:pPr>
      <w:r>
        <w:rPr>
          <w:rFonts w:ascii="DejaVu Sans" w:hAnsi="DejaVu Sans" w:eastAsia="DejaVu Sans"/>
          <w:b/>
          <w:i w:val="0"/>
          <w:color w:val="1F4E78"/>
          <w:sz w:val="25"/>
        </w:rPr>
        <w:t>11.2. Associator Amplitude</w:t>
      </w:r>
    </w:p>
    <w:p>
      <w:pPr>
        <w:keepNext w:val="0"/>
        <w:keepLines w:val="0"/>
        <w:spacing w:before="0" w:after="100" w:line="259" w:lineRule="auto"/>
      </w:pPr>
      <w:r>
        <w:rPr>
          <w:rFonts w:ascii="DejaVu Serif" w:hAnsi="DejaVu Serif" w:eastAsia="DejaVu Serif"/>
          <w:b w:val="0"/>
          <w:i w:val="0"/>
          <w:sz w:val="21"/>
        </w:rPr>
        <w:t>For a fixed norm and a declared test family Ω⊂V³, an associator amplitude may be defined by A_Ω(μ)=sup_{(x,y,z)∈Ω}‖Ass_μ(x,y,z)‖. In a concrete one-parameter model μ_α the source corpus uses A(α)=√3|α|. This is a proved model computation only after the operation, basis, norm, and test triples are fixed.</w:t>
      </w:r>
    </w:p>
    <w:tbl>
      <w:tblPr>
        <w:tblW w:type="auto" w:w="0"/>
        <w:jc w:val="center"/>
        <w:tblLayout w:type="fixed"/>
        <w:tblLook w:firstColumn="1" w:firstRow="1" w:lastColumn="0" w:lastRow="0" w:noHBand="0" w:noVBand="1" w:val="04A0"/>
      </w:tblPr>
      <w:tblGrid>
        <w:gridCol w:w="9638"/>
      </w:tblGrid>
      <w:tr>
        <w:trPr>
          <w:cantSplit/>
        </w:trPr>
        <w:tc>
          <w:tcPr>
            <w:tcW w:type="dxa" w:w="10070"/>
            <w:shd w:fill="F8F1DC"/>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A37500"/>
                <w:sz w:val="18"/>
              </w:rPr>
              <w:t xml:space="preserve">COUNTEREXAMPLE. </w:t>
            </w:r>
            <w:r>
              <w:rPr>
                <w:rFonts w:ascii="DejaVu Serif" w:hAnsi="DejaVu Serif" w:eastAsia="DejaVu Serif"/>
                <w:b w:val="0"/>
                <w:i w:val="0"/>
                <w:sz w:val="18"/>
              </w:rPr>
              <w:t>A change of basis or a rescaling of the norm can change a raw amplitude. Therefore A(α) is not an invariant of an abstract algebra unless the admissible transformations and normalization are included in the certificate.</w:t>
            </w:r>
          </w:p>
        </w:tc>
      </w:tr>
    </w:tbl>
    <w:p>
      <w:pPr>
        <w:spacing w:after="20"/>
      </w:pPr>
    </w:p>
    <w:p>
      <w:pPr>
        <w:pStyle w:val="Heading2"/>
        <w:keepNext/>
        <w:keepLines w:val="0"/>
        <w:spacing w:before="160" w:after="80" w:line="240" w:lineRule="auto"/>
      </w:pPr>
      <w:r>
        <w:rPr>
          <w:rFonts w:ascii="DejaVu Sans" w:hAnsi="DejaVu Sans" w:eastAsia="DejaVu Sans"/>
          <w:b/>
          <w:i w:val="0"/>
          <w:color w:val="1F4E78"/>
          <w:sz w:val="25"/>
        </w:rPr>
        <w:t>11.3. Typed Deformation Complex</w:t>
      </w:r>
    </w:p>
    <w:p>
      <w:pPr>
        <w:keepNext w:val="0"/>
        <w:keepLines w:val="0"/>
        <w:spacing w:before="0" w:after="100" w:line="259" w:lineRule="auto"/>
      </w:pPr>
      <w:r>
        <w:rPr>
          <w:rFonts w:ascii="DejaVu Serif" w:hAnsi="DejaVu Serif" w:eastAsia="DejaVu Serif"/>
          <w:b w:val="0"/>
          <w:i w:val="0"/>
          <w:sz w:val="21"/>
        </w:rPr>
        <w:t>Definition 11.1 [DEF-A]. A reduced deformation datum is a tuple (V,C¹_red,C²_red,C³_red,μ,d¹_μ,d²_μ,Q) in which d²_μ∘d¹_μ=0 and Q(μ)=0 is the defining constraint. An infinitesimal variation ν is admissible when d²_μν=0. Two variations differing by d¹_μa represent the same reduced tangent class.</w:t>
      </w:r>
    </w:p>
    <w:p>
      <w:pPr>
        <w:keepNext w:val="0"/>
        <w:keepLines w:val="0"/>
        <w:spacing w:before="0" w:after="100" w:line="259" w:lineRule="auto"/>
      </w:pPr>
      <w:r>
        <w:rPr>
          <w:rFonts w:ascii="DejaVu Serif" w:hAnsi="DejaVu Serif" w:eastAsia="DejaVu Serif"/>
          <w:b w:val="0"/>
          <w:i w:val="0"/>
          <w:sz w:val="21"/>
        </w:rPr>
        <w:t>Proposition 11.2 [PROP]. The quotient H²_red(μ) is well defined whenever im d¹_μ⊆ker d²_μ. The class [ν] is zero exactly when ν is generated by an admissible infinitesimal change of coordinates.</w:t>
      </w:r>
    </w:p>
    <w:p>
      <w:pPr>
        <w:pStyle w:val="Heading2"/>
        <w:keepNext/>
        <w:keepLines w:val="0"/>
        <w:spacing w:before="160" w:after="80" w:line="240" w:lineRule="auto"/>
      </w:pPr>
      <w:r>
        <w:rPr>
          <w:rFonts w:ascii="DejaVu Sans" w:hAnsi="DejaVu Sans" w:eastAsia="DejaVu Sans"/>
          <w:b/>
          <w:i w:val="0"/>
          <w:color w:val="1F4E78"/>
          <w:sz w:val="25"/>
        </w:rPr>
        <w:t>11.4. Primary Quadratic Obstruction</w:t>
      </w:r>
    </w:p>
    <w:p>
      <w:pPr>
        <w:keepNext w:val="0"/>
        <w:keepLines w:val="0"/>
        <w:spacing w:before="0" w:after="100" w:line="259" w:lineRule="auto"/>
      </w:pPr>
      <w:r>
        <w:rPr>
          <w:rFonts w:ascii="DejaVu Serif" w:hAnsi="DejaVu Serif" w:eastAsia="DejaVu Serif"/>
          <w:b w:val="0"/>
          <w:i w:val="0"/>
          <w:sz w:val="21"/>
        </w:rPr>
        <w:t>Suppose μ_t=μ+tν+t²η+O(t³) and Q(μ)=0. Expansion of Q(μ_t)=0 gives the first-order equation d²_μν=0 and a second-order equation d²_μη=−B_μ(ν,ν), where B_μ is the quadratic term. The class of B_μ(ν,ν) in O³_red(μ) is the primary obstruction.</w:t>
      </w:r>
    </w:p>
    <w:p>
      <w:pPr>
        <w:keepNext w:val="0"/>
        <w:keepLines w:val="0"/>
        <w:spacing w:before="0" w:after="100" w:line="259" w:lineRule="auto"/>
      </w:pPr>
      <w:r>
        <w:rPr>
          <w:rFonts w:ascii="DejaVu Serif" w:hAnsi="DejaVu Serif" w:eastAsia="DejaVu Serif"/>
          <w:b w:val="0"/>
          <w:i w:val="0"/>
          <w:sz w:val="21"/>
        </w:rPr>
        <w:t>Theorem 11.3 [COND]. If the primary obstruction class is nonzero, the infinitesimal direction [ν] cannot be extended to second order within the declared reduced model. Vanishing of the primary class is necessary, not generally sufficient, for a full deformation.</w:t>
      </w:r>
    </w:p>
    <w:p>
      <w:pPr>
        <w:pStyle w:val="Heading2"/>
        <w:keepNext/>
        <w:keepLines w:val="0"/>
        <w:spacing w:before="160" w:after="80" w:line="240" w:lineRule="auto"/>
      </w:pPr>
      <w:r>
        <w:rPr>
          <w:rFonts w:ascii="DejaVu Sans" w:hAnsi="DejaVu Sans" w:eastAsia="DejaVu Sans"/>
          <w:b/>
          <w:i w:val="0"/>
          <w:color w:val="1F4E78"/>
          <w:sz w:val="25"/>
        </w:rPr>
        <w:t>11.5. Naturalness and Status Boundary</w:t>
      </w:r>
    </w:p>
    <w:p>
      <w:pPr>
        <w:keepNext w:val="0"/>
        <w:keepLines w:val="0"/>
        <w:spacing w:before="0" w:after="100" w:line="259" w:lineRule="auto"/>
      </w:pPr>
      <w:r>
        <w:rPr>
          <w:rFonts w:ascii="DejaVu Serif" w:hAnsi="DejaVu Serif" w:eastAsia="DejaVu Serif"/>
          <w:b w:val="0"/>
          <w:i w:val="0"/>
          <w:sz w:val="21"/>
        </w:rPr>
        <w:t>The associator is natural under an isomorphism g when the operation is transported by (g·μ)(x,y)=gμ(g⁻¹x,g⁻¹y): Ass_{g·μ}(x,y,z)=g Ass_μ(g⁻¹x,g⁻¹y,g⁻¹z). A scalar amplitude is invariant only if g is an isometry of the chosen norm and preserves Ω.</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A61C1C"/>
                <w:sz w:val="18"/>
              </w:rPr>
              <w:t xml:space="preserve">CLAIM BOUNDARY. </w:t>
            </w:r>
            <w:r>
              <w:rPr>
                <w:rFonts w:ascii="DejaVu Serif" w:hAnsi="DejaVu Serif" w:eastAsia="DejaVu Serif"/>
                <w:b w:val="0"/>
                <w:i w:val="0"/>
                <w:sz w:val="18"/>
              </w:rPr>
              <w:t>The source connects NAPG with Hodge and G₂ model realizations. These are model bridges. The reduced deformation statements do not by themselves establish a universal physical geometry, a unique arrow of time, or empirical properties of space.</w:t>
            </w:r>
          </w:p>
        </w:tc>
      </w:tr>
    </w:tbl>
    <w:p>
      <w:pPr>
        <w:spacing w:after="20"/>
      </w:pPr>
    </w:p>
    <w:p>
      <w:pPr>
        <w:pStyle w:val="Heading2"/>
        <w:keepNext/>
        <w:keepLines w:val="0"/>
        <w:spacing w:before="160" w:after="80" w:line="240" w:lineRule="auto"/>
      </w:pPr>
      <w:r>
        <w:rPr>
          <w:rFonts w:ascii="DejaVu Sans" w:hAnsi="DejaVu Sans" w:eastAsia="DejaVu Sans"/>
          <w:b/>
          <w:i w:val="0"/>
          <w:color w:val="1F4E78"/>
          <w:sz w:val="25"/>
        </w:rPr>
        <w:t>11.6. NAPG-DEF-CERT</w:t>
      </w:r>
    </w:p>
    <w:tbl>
      <w:tblPr>
        <w:tblW w:type="auto" w:w="0"/>
        <w:jc w:val="center"/>
        <w:tblLayout w:type="fixed"/>
        <w:tblLook w:firstColumn="1" w:firstRow="1" w:lastColumn="0" w:lastRow="0" w:noHBand="0" w:noVBand="1" w:val="04A0"/>
      </w:tblPr>
      <w:tblGrid>
        <w:gridCol w:w="5035"/>
        <w:gridCol w:w="5035"/>
      </w:tblGrid>
      <w:tr>
        <w:trPr>
          <w:tblHeader w:val="true"/>
        </w:trPr>
        <w:tc>
          <w:tcPr>
            <w:tcW w:type="dxa" w:w="2268"/>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7"/>
              </w:rPr>
              <w:t>Field group</w:t>
            </w:r>
          </w:p>
        </w:tc>
        <w:tc>
          <w:tcPr>
            <w:tcW w:type="dxa" w:w="6803"/>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7"/>
              </w:rPr>
              <w:t>Mandatory content</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Carrier</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field, V, split architecture, basis and grading</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Operation</w:t>
            </w:r>
          </w:p>
        </w:tc>
        <w:tc>
          <w:tcPr>
            <w:tcW w:type="dxa" w:w="680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μ, bilinearity, symmetry/alternation constraints</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Differentials</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d¹_μ,d²_μ and proof d²d¹=0</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Tangent</w:t>
            </w:r>
          </w:p>
        </w:tc>
        <w:tc>
          <w:tcPr>
            <w:tcW w:type="dxa" w:w="680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ν, cocycle check, gauge class [ν]</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Obstruction</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B_μ(ν,ν), quotient class in O³_red</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Amplitude</w:t>
            </w:r>
          </w:p>
        </w:tc>
        <w:tc>
          <w:tcPr>
            <w:tcW w:type="dxa" w:w="680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norm, test domain Ω, invariance group</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Status</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DEF-A / PROP / COND / MODEL; physical bridge separate</w:t>
            </w:r>
          </w:p>
        </w:tc>
      </w:tr>
    </w:tbl>
    <w:p>
      <w:pPr>
        <w:spacing w:after="40"/>
      </w:pPr>
    </w:p>
    <w:p>
      <w:r>
        <w:br w:type="page"/>
      </w:r>
    </w:p>
    <w:p>
      <w:pPr>
        <w:pStyle w:val="Heading1"/>
        <w:keepNext/>
        <w:keepLines w:val="0"/>
        <w:spacing w:before="200" w:after="80" w:line="240" w:lineRule="auto"/>
      </w:pPr>
      <w:bookmarkStart w:id="1011" w:name="T1_CH_12"/>
      <w:r>
        <w:rPr>
          <w:rFonts w:ascii="DejaVu Sans" w:hAnsi="DejaVu Sans" w:eastAsia="DejaVu Sans"/>
          <w:b/>
          <w:i w:val="0"/>
          <w:color w:val="1F4E78"/>
          <w:sz w:val="32"/>
        </w:rPr>
        <w:t>Chapter 12. PILOT-01, Formula Chains, and the Fano Barrier</w:t>
      </w:r>
      <w:bookmarkEnd w:id="1011"/>
    </w:p>
    <w:p>
      <w:pPr>
        <w:keepNext w:val="0"/>
        <w:keepLines w:val="0"/>
        <w:spacing w:before="0" w:after="120" w:line="259" w:lineRule="auto"/>
      </w:pPr>
      <w:r>
        <w:rPr>
          <w:rFonts w:ascii="DejaVu Serif" w:hAnsi="DejaVu Serif" w:eastAsia="DejaVu Serif"/>
          <w:b w:val="0"/>
          <w:i/>
          <w:sz w:val="18"/>
        </w:rPr>
        <w:t>Russian source locator: pp. 47–50</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PILOT-01 treats a mathematical text as a typed graph. It can identify the first missing domain, assumption, or proof object; build an internal obstruction carrier; and state precisely why seven local Fano-like pictures do not automatically form one global Fano plane.</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989320" cy="3342292"/>
            <wp:docPr id="15" name="Picture 15"/>
            <wp:cNvGraphicFramePr>
              <a:graphicFrameLocks noChangeAspect="1"/>
            </wp:cNvGraphicFramePr>
            <a:graphic>
              <a:graphicData uri="http://schemas.openxmlformats.org/drawingml/2006/picture">
                <pic:pic>
                  <pic:nvPicPr>
                    <pic:cNvPr id="0" name="fig12_pilot.png"/>
                    <pic:cNvPicPr/>
                  </pic:nvPicPr>
                  <pic:blipFill>
                    <a:blip r:embed="rId27"/>
                    <a:stretch>
                      <a:fillRect/>
                    </a:stretch>
                  </pic:blipFill>
                  <pic:spPr>
                    <a:xfrm>
                      <a:off x="0" y="0"/>
                      <a:ext cx="5989320" cy="3342292"/>
                    </a:xfrm>
                    <a:prstGeom prst="rect"/>
                  </pic:spPr>
                </pic:pic>
              </a:graphicData>
            </a:graphic>
          </wp:inline>
        </w:drawing>
      </w:r>
    </w:p>
    <w:p>
      <w:pPr>
        <w:keepNext w:val="0"/>
        <w:keepLines/>
        <w:spacing w:before="0" w:after="140" w:line="240" w:lineRule="auto"/>
        <w:jc w:val="center"/>
      </w:pPr>
      <w:bookmarkStart w:id="1072" w:name="T1_FIG_014"/>
      <w:r>
        <w:rPr>
          <w:rFonts w:ascii="DejaVu Serif" w:hAnsi="DejaVu Serif" w:eastAsia="DejaVu Serif"/>
          <w:b w:val="0"/>
          <w:i/>
          <w:color w:val="666666"/>
          <w:sz w:val="17"/>
        </w:rPr>
        <w:t>Figure 12.1. Formula-chain audit, FCOC carrier, and the quotient required to cross the Fano barrier.</w:t>
      </w:r>
      <w:bookmarkEnd w:id="1072"/>
    </w:p>
    <w:p>
      <w:pPr>
        <w:pStyle w:val="Heading2"/>
        <w:keepNext/>
        <w:keepLines w:val="0"/>
        <w:spacing w:before="160" w:after="80" w:line="240" w:lineRule="auto"/>
      </w:pPr>
      <w:r>
        <w:rPr>
          <w:rFonts w:ascii="DejaVu Sans" w:hAnsi="DejaVu Sans" w:eastAsia="DejaVu Sans"/>
          <w:b/>
          <w:i w:val="0"/>
          <w:color w:val="1F4E78"/>
          <w:sz w:val="25"/>
        </w:rPr>
        <w:t>12.1. Formula-Chain Step and First-Gap Localisation</w:t>
      </w:r>
    </w:p>
    <w:p>
      <w:pPr>
        <w:keepNext w:val="0"/>
        <w:keepLines w:val="0"/>
        <w:spacing w:before="0" w:after="100" w:line="259" w:lineRule="auto"/>
      </w:pPr>
      <w:r>
        <w:rPr>
          <w:rFonts w:ascii="DejaVu Serif" w:hAnsi="DejaVu Serif" w:eastAsia="DejaVu Serif"/>
          <w:b w:val="0"/>
          <w:i w:val="0"/>
          <w:sz w:val="21"/>
        </w:rPr>
        <w:t>A formula-chain step is a tuple s=(Fᵢ,Fⱼ,τ,A,Dom,D), where Fᵢ and Fⱼ are typed nodes, τ is the transition type, A is the support set, Dom is the admissible domain, and D is the sufficient foundation. A step is admissible only when output and input types match, support assumptions are available, Dom contains the actual input, and D points to a verifiable proof object.</w:t>
      </w:r>
    </w:p>
    <w:p>
      <w:pPr>
        <w:keepNext w:val="0"/>
        <w:keepLines w:val="0"/>
        <w:spacing w:before="0" w:after="100" w:line="259" w:lineRule="auto"/>
      </w:pPr>
      <w:r>
        <w:rPr>
          <w:rFonts w:ascii="DejaVu Serif" w:hAnsi="DejaVu Serif" w:eastAsia="DejaVu Serif"/>
          <w:b w:val="0"/>
          <w:i w:val="0"/>
          <w:sz w:val="21"/>
        </w:rPr>
        <w:t>Theorem 12.1 (formula-chain gap theorem) [IT]. If a projective truth authorization cr(U,I;R,D)=−1⇒truth-status is used without an admissible Dom or sufficient foundation D, the RPD audit creates GAP-DOMAIN-MISSING or GAP-ASSUMP-MISSING.</w:t>
      </w:r>
    </w:p>
    <w:p>
      <w:pPr>
        <w:keepNext w:val="0"/>
        <w:keepLines w:val="0"/>
        <w:spacing w:before="0" w:after="100" w:line="259" w:lineRule="auto"/>
      </w:pPr>
      <w:r>
        <w:rPr>
          <w:rFonts w:ascii="DejaVu Serif" w:hAnsi="DejaVu Serif" w:eastAsia="DejaVu Serif"/>
          <w:b w:val="0"/>
          <w:i w:val="0"/>
          <w:sz w:val="21"/>
        </w:rPr>
        <w:t>Theorem 12.2 (first-gap localisation) [IT]. In a finite linearly ordered chain, if the final result is not authorized, there is a first edge violating at least one of type, support, Dom, or D.</w:t>
      </w:r>
    </w:p>
    <w:p>
      <w:pPr>
        <w:keepNext w:val="0"/>
        <w:keepLines w:val="0"/>
        <w:spacing w:before="0" w:after="100" w:line="259" w:lineRule="auto"/>
      </w:pPr>
      <w:r>
        <w:rPr>
          <w:rFonts w:ascii="DejaVu Serif" w:hAnsi="DejaVu Serif" w:eastAsia="DejaVu Serif"/>
          <w:b w:val="0"/>
          <w:i w:val="0"/>
          <w:sz w:val="21"/>
        </w:rPr>
        <w:t>Proof. The finite nonempty set of failing edge indices has a least element.</w:t>
      </w:r>
    </w:p>
    <w:p>
      <w:pPr>
        <w:pStyle w:val="Heading2"/>
        <w:keepNext/>
        <w:keepLines w:val="0"/>
        <w:spacing w:before="160" w:after="80" w:line="240" w:lineRule="auto"/>
      </w:pPr>
      <w:r>
        <w:rPr>
          <w:rFonts w:ascii="DejaVu Sans" w:hAnsi="DejaVu Sans" w:eastAsia="DejaVu Sans"/>
          <w:b/>
          <w:i w:val="0"/>
          <w:color w:val="1F4E78"/>
          <w:sz w:val="25"/>
        </w:rPr>
        <w:t>12.2. Formula-Chain Obstruction Complex</w:t>
      </w:r>
    </w:p>
    <w:p>
      <w:pPr>
        <w:keepNext w:val="0"/>
        <w:keepLines/>
        <w:spacing w:before="80" w:after="140" w:line="240" w:lineRule="auto"/>
        <w:jc w:val="center"/>
      </w:pPr>
      <w:r>
        <w:rPr>
          <w:rFonts w:ascii="DejaVu Serif" w:hAnsi="DejaVu Serif" w:eastAsia="DejaVu Serif"/>
          <w:b w:val="0"/>
          <w:i w:val="0"/>
          <w:sz w:val="23"/>
        </w:rPr>
        <w:t>C⁰ —d₀→ C¹ —d₁→ C²,    d₁d₀=0.</w:t>
      </w:r>
      <w:r>
        <w:rPr>
          <w:rFonts w:ascii="DejaVu Sans" w:hAnsi="DejaVu Sans" w:eastAsia="DejaVu Sans"/>
          <w:b w:val="0"/>
          <w:i/>
          <w:color w:val="666666"/>
          <w:sz w:val="17"/>
        </w:rPr>
        <w:t xml:space="preserve">    [RU p. 49]</w:t>
      </w:r>
    </w:p>
    <w:p>
      <w:pPr>
        <w:keepNext w:val="0"/>
        <w:keepLines/>
        <w:spacing w:before="80" w:after="140" w:line="240" w:lineRule="auto"/>
        <w:jc w:val="center"/>
      </w:pPr>
      <w:r>
        <w:rPr>
          <w:rFonts w:ascii="DejaVu Serif" w:hAnsi="DejaVu Serif" w:eastAsia="DejaVu Serif"/>
          <w:b w:val="0"/>
          <w:i w:val="0"/>
          <w:sz w:val="23"/>
        </w:rPr>
        <w:t>H_OB=C²/im d₁,    O_OB=span(im(π∘q_OB))⊆H_OB.</w:t>
      </w:r>
      <w:r>
        <w:rPr>
          <w:rFonts w:ascii="DejaVu Sans" w:hAnsi="DejaVu Sans" w:eastAsia="DejaVu Sans"/>
          <w:b w:val="0"/>
          <w:i/>
          <w:color w:val="666666"/>
          <w:sz w:val="17"/>
        </w:rPr>
        <w:t xml:space="preserve">    [RU p. 49]</w:t>
      </w:r>
    </w:p>
    <w:p>
      <w:pPr>
        <w:keepNext w:val="0"/>
        <w:keepLines w:val="0"/>
        <w:spacing w:before="0" w:after="100" w:line="259" w:lineRule="auto"/>
      </w:pPr>
      <w:r>
        <w:rPr>
          <w:rFonts w:ascii="DejaVu Serif" w:hAnsi="DejaVu Serif" w:eastAsia="DejaVu Serif"/>
          <w:b w:val="0"/>
          <w:i w:val="0"/>
          <w:sz w:val="21"/>
        </w:rPr>
        <w:t>Theorem 12.3 [IT]. O_OB is a well-defined vector subspace of H_OB. It is independent of representatives of classes in C², but depends on the declared maps q_OB and d₁, which are part of the model passport.</w:t>
      </w:r>
    </w:p>
    <w:p>
      <w:pPr>
        <w:pStyle w:val="Heading2"/>
        <w:keepNext/>
        <w:keepLines w:val="0"/>
        <w:spacing w:before="160" w:after="80" w:line="240" w:lineRule="auto"/>
      </w:pPr>
      <w:r>
        <w:rPr>
          <w:rFonts w:ascii="DejaVu Sans" w:hAnsi="DejaVu Sans" w:eastAsia="DejaVu Sans"/>
          <w:b/>
          <w:i w:val="0"/>
          <w:color w:val="1F4E78"/>
          <w:sz w:val="25"/>
        </w:rPr>
        <w:t>12.3. Nontrivial Packet Obstruction</w:t>
      </w:r>
    </w:p>
    <w:p>
      <w:pPr>
        <w:keepNext w:val="0"/>
        <w:keepLines w:val="0"/>
        <w:spacing w:before="0" w:after="100" w:line="259" w:lineRule="auto"/>
      </w:pPr>
      <w:r>
        <w:rPr>
          <w:rFonts w:ascii="DejaVu Serif" w:hAnsi="DejaVu Serif" w:eastAsia="DejaVu Serif"/>
          <w:b w:val="0"/>
          <w:i w:val="0"/>
          <w:sz w:val="21"/>
        </w:rPr>
        <w:t>Let C¹=k³, C²=k³, d₁=0, and q_OB(a,b,c)=(ab,bc,ca). Then O_OB=k³ because the image contains the three coordinate directions: q_OB(1,1,0)=(1,0,0), q_OB(0,1,1)=(0,1,0), and q_OB(1,0,1)=(0,0,1). This is an internal construction theorem, not an identification with every deformation-theoretic obstruction quotient.</w:t>
      </w:r>
    </w:p>
    <w:p>
      <w:pPr>
        <w:pStyle w:val="Heading2"/>
        <w:keepNext/>
        <w:keepLines w:val="0"/>
        <w:spacing w:before="160" w:after="80" w:line="240" w:lineRule="auto"/>
      </w:pPr>
      <w:r>
        <w:rPr>
          <w:rFonts w:ascii="DejaVu Sans" w:hAnsi="DejaVu Sans" w:eastAsia="DejaVu Sans"/>
          <w:b/>
          <w:i w:val="0"/>
          <w:color w:val="1F4E78"/>
          <w:sz w:val="25"/>
        </w:rPr>
        <w:t>12.4. Exact Fano Gluing Barrier</w:t>
      </w:r>
    </w:p>
    <w:p>
      <w:pPr>
        <w:keepNext w:val="0"/>
        <w:keepLines w:val="0"/>
        <w:spacing w:before="0" w:after="100" w:line="259" w:lineRule="auto"/>
      </w:pPr>
      <w:r>
        <w:rPr>
          <w:rFonts w:ascii="DejaVu Serif" w:hAnsi="DejaVu Serif" w:eastAsia="DejaVu Serif"/>
          <w:b w:val="0"/>
          <w:i w:val="0"/>
          <w:sz w:val="21"/>
        </w:rPr>
        <w:t>Let L₁,…,L₇ be local three-dimensional carriers over F₂. Before identifications, the universal independent carrier is V_pre=⊕ᵢLᵢ of dimension 21. Let W⊆V_pre be the subspace of compatibility relations. The global carrier V_gl=V_pre/W has dimension 3 exactly when dim W=18.</w:t>
      </w:r>
    </w:p>
    <w:p>
      <w:pPr>
        <w:keepNext w:val="0"/>
        <w:keepLines w:val="0"/>
        <w:spacing w:before="0" w:after="100" w:line="259" w:lineRule="auto"/>
      </w:pPr>
      <w:r>
        <w:rPr>
          <w:rFonts w:ascii="DejaVu Serif" w:hAnsi="DejaVu Serif" w:eastAsia="DejaVu Serif"/>
          <w:b w:val="0"/>
          <w:i w:val="0"/>
          <w:sz w:val="21"/>
        </w:rPr>
        <w:t>Theorem 12.4 (conditional Fano carrier) [COND]. If W identifies local directions according to the incidence of P²(F₂), dim W=18, and the seven global nonzero classes are distinct, then V_gl≅F₂³ and P(V_gl)≅P²(F₂).</w:t>
      </w:r>
    </w:p>
    <w:tbl>
      <w:tblPr>
        <w:tblW w:type="auto" w:w="0"/>
        <w:jc w:val="center"/>
        <w:tblLayout w:type="fixed"/>
        <w:tblLook w:firstColumn="1" w:firstRow="1" w:lastColumn="0" w:lastRow="0" w:noHBand="0" w:noVBand="1" w:val="04A0"/>
      </w:tblPr>
      <w:tblGrid>
        <w:gridCol w:w="9638"/>
      </w:tblGrid>
      <w:tr>
        <w:trPr>
          <w:cantSplit/>
        </w:trPr>
        <w:tc>
          <w:tcPr>
            <w:tcW w:type="dxa" w:w="10070"/>
            <w:shd w:fill="F8F1DC"/>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A37500"/>
                <w:sz w:val="18"/>
              </w:rPr>
              <w:t xml:space="preserve">COUNTERMODELS. </w:t>
            </w:r>
            <w:r>
              <w:rPr>
                <w:rFonts w:ascii="DejaVu Serif" w:hAnsi="DejaVu Serif" w:eastAsia="DejaVu Serif"/>
                <w:b w:val="0"/>
                <w:i w:val="0"/>
                <w:sz w:val="18"/>
              </w:rPr>
              <w:t>If W=0, the quotient has dimension 21 rather than 3. If W=V_pre, the quotient is zero. Seven locally similar diagrams therefore do not determine a global Fano plane without explicit identification maps.</w:t>
            </w:r>
          </w:p>
        </w:tc>
      </w:tr>
    </w:tbl>
    <w:p>
      <w:pPr>
        <w:spacing w:after="20"/>
      </w:pPr>
    </w:p>
    <w:p>
      <w:pPr>
        <w:pStyle w:val="Heading2"/>
        <w:keepNext/>
        <w:keepLines w:val="0"/>
        <w:spacing w:before="160" w:after="80" w:line="240" w:lineRule="auto"/>
      </w:pPr>
      <w:r>
        <w:rPr>
          <w:rFonts w:ascii="DejaVu Sans" w:hAnsi="DejaVu Sans" w:eastAsia="DejaVu Sans"/>
          <w:b/>
          <w:i w:val="0"/>
          <w:color w:val="1F4E78"/>
          <w:sz w:val="25"/>
        </w:rPr>
        <w:t>12.5. FCOC-CERT and Executable Verdict</w:t>
      </w:r>
    </w:p>
    <w:tbl>
      <w:tblPr>
        <w:tblW w:type="auto" w:w="0"/>
        <w:jc w:val="center"/>
        <w:tblLayout w:type="fixed"/>
        <w:tblLook w:firstColumn="1" w:firstRow="1" w:lastColumn="0" w:lastRow="0" w:noHBand="0" w:noVBand="1" w:val="04A0"/>
      </w:tblPr>
      <w:tblGrid>
        <w:gridCol w:w="5035"/>
        <w:gridCol w:w="5035"/>
      </w:tblGrid>
      <w:tr>
        <w:trPr>
          <w:tblHeader w:val="true"/>
        </w:trPr>
        <w:tc>
          <w:tcPr>
            <w:tcW w:type="dxa" w:w="2268"/>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7"/>
              </w:rPr>
              <w:t>Passport field</w:t>
            </w:r>
          </w:p>
        </w:tc>
        <w:tc>
          <w:tcPr>
            <w:tcW w:type="dxa" w:w="6803"/>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7"/>
              </w:rPr>
              <w:t>Content</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Graph</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graph-id, ordered nodes and edges, node types</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Step contract</w:t>
            </w:r>
          </w:p>
        </w:tc>
        <w:tc>
          <w:tcPr>
            <w:tcW w:type="dxa" w:w="680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τ, support A, Dom, D, actual input snapshot</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Gap result</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first-gap index, violation type, pre-gap state</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Complex</w:t>
            </w:r>
          </w:p>
        </w:tc>
        <w:tc>
          <w:tcPr>
            <w:tcW w:type="dxa" w:w="680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d₀,d₁, proof d₁d₀=0, q_OB, field</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Fano layer</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local carriers, relation space W, quotient dimension</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Identification</w:t>
            </w:r>
          </w:p>
        </w:tc>
        <w:tc>
          <w:tcPr>
            <w:tcW w:type="dxa" w:w="680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Fano axiom/maps, distinct global classes, countermodel</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Verdict</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PROVED-INTERNAL / CONDITIONAL / OPEN / ABSTAIN</w:t>
            </w:r>
          </w:p>
        </w:tc>
      </w:tr>
    </w:tbl>
    <w:p>
      <w:pPr>
        <w:spacing w:after="40"/>
      </w:pP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A61C1C"/>
                <w:sz w:val="18"/>
              </w:rPr>
              <w:t xml:space="preserve">PREDICTION BOUNDARY. </w:t>
            </w:r>
            <w:r>
              <w:rPr>
                <w:rFonts w:ascii="DejaVu Serif" w:hAnsi="DejaVu Serif" w:eastAsia="DejaVu Serif"/>
                <w:b w:val="0"/>
                <w:i w:val="0"/>
                <w:sz w:val="18"/>
              </w:rPr>
              <w:t>Closing a formula chain is necessary for admitting a predictive claim, but it does not establish empirical accuracy. Matched-null controls, calibration, CGI&lt;1, and independent evidence remain separate gates.</w:t>
            </w:r>
          </w:p>
        </w:tc>
      </w:tr>
    </w:tbl>
    <w:p>
      <w:pPr>
        <w:spacing w:after="20"/>
      </w:pPr>
    </w:p>
    <w:p>
      <w:r>
        <w:br w:type="page"/>
      </w:r>
    </w:p>
    <w:p>
      <w:pPr>
        <w:pStyle w:val="Heading1"/>
        <w:keepNext/>
        <w:keepLines w:val="0"/>
        <w:spacing w:before="200" w:after="80" w:line="240" w:lineRule="auto"/>
      </w:pPr>
      <w:bookmarkStart w:id="1012" w:name="T1_CH_13"/>
      <w:r>
        <w:rPr>
          <w:rFonts w:ascii="DejaVu Sans" w:hAnsi="DejaVu Sans" w:eastAsia="DejaVu Sans"/>
          <w:b/>
          <w:i w:val="0"/>
          <w:color w:val="1F4E78"/>
          <w:sz w:val="32"/>
        </w:rPr>
        <w:t>Chapter 13. RBD/RPD and KLT-RBD as a Computational Architecture</w:t>
      </w:r>
      <w:bookmarkEnd w:id="1012"/>
    </w:p>
    <w:p>
      <w:pPr>
        <w:keepNext w:val="0"/>
        <w:keepLines w:val="0"/>
        <w:spacing w:before="0" w:after="120" w:line="259" w:lineRule="auto"/>
      </w:pPr>
      <w:r>
        <w:rPr>
          <w:rFonts w:ascii="DejaVu Serif" w:hAnsi="DejaVu Serif" w:eastAsia="DejaVu Serif"/>
          <w:b w:val="0"/>
          <w:i/>
          <w:sz w:val="18"/>
        </w:rPr>
        <w:t>Russian source locator: pp. 51–57</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RBD is an active evidence graph, not a flat bibliography. Raw items become typed units, Reper nodes, proof dependencies, gaps, blockers, and candidate futures. RPD adds projective and formula-chain audit. Database structure improves traceability but does not prove the stored claims.</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6080760" cy="2715040"/>
            <wp:docPr id="16" name="Picture 16"/>
            <wp:cNvGraphicFramePr>
              <a:graphicFrameLocks noChangeAspect="1"/>
            </wp:cNvGraphicFramePr>
            <a:graphic>
              <a:graphicData uri="http://schemas.openxmlformats.org/drawingml/2006/picture">
                <pic:pic>
                  <pic:nvPicPr>
                    <pic:cNvPr id="0" name="fig13_rbd.png"/>
                    <pic:cNvPicPr/>
                  </pic:nvPicPr>
                  <pic:blipFill>
                    <a:blip r:embed="rId28"/>
                    <a:stretch>
                      <a:fillRect/>
                    </a:stretch>
                  </pic:blipFill>
                  <pic:spPr>
                    <a:xfrm>
                      <a:off x="0" y="0"/>
                      <a:ext cx="6080760" cy="2715040"/>
                    </a:xfrm>
                    <a:prstGeom prst="rect"/>
                  </pic:spPr>
                </pic:pic>
              </a:graphicData>
            </a:graphic>
          </wp:inline>
        </w:drawing>
      </w:r>
    </w:p>
    <w:p>
      <w:pPr>
        <w:keepNext w:val="0"/>
        <w:keepLines/>
        <w:spacing w:before="0" w:after="140" w:line="240" w:lineRule="auto"/>
        <w:jc w:val="center"/>
      </w:pPr>
      <w:bookmarkStart w:id="1073" w:name="T1_FIG_015"/>
      <w:r>
        <w:rPr>
          <w:rFonts w:ascii="DejaVu Serif" w:hAnsi="DejaVu Serif" w:eastAsia="DejaVu Serif"/>
          <w:b w:val="0"/>
          <w:i/>
          <w:color w:val="666666"/>
          <w:sz w:val="17"/>
        </w:rPr>
        <w:t>Figure 13.1. KLT-RBD ingest, evidence graph, and set-valued prediction output.</w:t>
      </w:r>
      <w:bookmarkEnd w:id="1073"/>
    </w:p>
    <w:p>
      <w:pPr>
        <w:pStyle w:val="Heading2"/>
        <w:keepNext/>
        <w:keepLines w:val="0"/>
        <w:spacing w:before="160" w:after="80" w:line="240" w:lineRule="auto"/>
      </w:pPr>
      <w:r>
        <w:rPr>
          <w:rFonts w:ascii="DejaVu Sans" w:hAnsi="DejaVu Sans" w:eastAsia="DejaVu Sans"/>
          <w:b/>
          <w:i w:val="0"/>
          <w:color w:val="1F4E78"/>
          <w:sz w:val="25"/>
        </w:rPr>
        <w:t>13.1. PIX, PEAKS, and Typed Reper Ingest</w:t>
      </w:r>
    </w:p>
    <w:p>
      <w:pPr>
        <w:keepNext w:val="0"/>
        <w:keepLines w:val="0"/>
        <w:spacing w:before="0" w:after="100" w:line="259" w:lineRule="auto"/>
      </w:pPr>
      <w:r>
        <w:rPr>
          <w:rFonts w:ascii="DejaVu Serif" w:hAnsi="DejaVu Serif" w:eastAsia="DejaVu Serif"/>
          <w:b w:val="0"/>
          <w:i w:val="0"/>
          <w:sz w:val="21"/>
        </w:rPr>
        <w:t>PIX are primary extracted items: formulae, values, dates, names, identifiers, and observations. PEAKS are stable semantic states around which related PIX are grouped. A Reper is built from a typed state rather than a raw string.</w:t>
      </w:r>
    </w:p>
    <w:p>
      <w:pPr>
        <w:keepNext w:val="0"/>
        <w:keepLines/>
        <w:spacing w:before="80" w:after="140" w:line="240" w:lineRule="auto"/>
        <w:jc w:val="center"/>
      </w:pPr>
      <w:r>
        <w:rPr>
          <w:rFonts w:ascii="DejaVu Serif" w:hAnsi="DejaVu Serif" w:eastAsia="DejaVu Serif"/>
          <w:b w:val="0"/>
          <w:i w:val="0"/>
          <w:sz w:val="23"/>
        </w:rPr>
        <w:t>source → PIX → PEAKS → C@C → Reper(R,I,U;D) → λ/gates → graph.</w:t>
      </w:r>
      <w:r>
        <w:rPr>
          <w:rFonts w:ascii="DejaVu Sans" w:hAnsi="DejaVu Sans" w:eastAsia="DejaVu Sans"/>
          <w:b w:val="0"/>
          <w:i/>
          <w:color w:val="666666"/>
          <w:sz w:val="17"/>
        </w:rPr>
        <w:t xml:space="preserve">    [RU p. 51]</w:t>
      </w:r>
    </w:p>
    <w:tbl>
      <w:tblPr>
        <w:tblW w:type="auto" w:w="0"/>
        <w:jc w:val="center"/>
        <w:tblLayout w:type="fixed"/>
        <w:tblLook w:firstColumn="1" w:firstRow="1" w:lastColumn="0" w:lastRow="0" w:noHBand="0" w:noVBand="1" w:val="04A0"/>
      </w:tblPr>
      <w:tblGrid>
        <w:gridCol w:w="5035"/>
        <w:gridCol w:w="5035"/>
      </w:tblGrid>
      <w:tr>
        <w:trPr>
          <w:tblHeader w:val="true"/>
        </w:trPr>
        <w:tc>
          <w:tcPr>
            <w:tcW w:type="dxa" w:w="1814"/>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7"/>
              </w:rPr>
              <w:t>Layer</w:t>
            </w:r>
          </w:p>
        </w:tc>
        <w:tc>
          <w:tcPr>
            <w:tcW w:type="dxa" w:w="7257"/>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7"/>
              </w:rPr>
              <w:t>Function</w:t>
            </w:r>
          </w:p>
        </w:tc>
      </w:tr>
      <w:tr>
        <w:trPr>
          <w:cantSplit/>
        </w:trPr>
        <w:tc>
          <w:tcPr>
            <w:tcW w:type="dxa" w:w="181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Source</w:t>
            </w:r>
          </w:p>
        </w:tc>
        <w:tc>
          <w:tcPr>
            <w:tcW w:type="dxa" w:w="72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origin, license, immutable version, content hash</w:t>
            </w:r>
          </w:p>
        </w:tc>
      </w:tr>
      <w:tr>
        <w:trPr>
          <w:cantSplit/>
        </w:trPr>
        <w:tc>
          <w:tcPr>
            <w:tcW w:type="dxa" w:w="181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Work</w:t>
            </w:r>
          </w:p>
        </w:tc>
        <w:tc>
          <w:tcPr>
            <w:tcW w:type="dxa" w:w="72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document, dataset, article, program, or experiment</w:t>
            </w:r>
          </w:p>
        </w:tc>
      </w:tr>
      <w:tr>
        <w:trPr>
          <w:cantSplit/>
        </w:trPr>
        <w:tc>
          <w:tcPr>
            <w:tcW w:type="dxa" w:w="181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Unit</w:t>
            </w:r>
          </w:p>
        </w:tc>
        <w:tc>
          <w:tcPr>
            <w:tcW w:type="dxa" w:w="72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formula, claim, row, observation, image, or test vector</w:t>
            </w:r>
          </w:p>
        </w:tc>
      </w:tr>
      <w:tr>
        <w:trPr>
          <w:cantSplit/>
        </w:trPr>
        <w:tc>
          <w:tcPr>
            <w:tcW w:type="dxa" w:w="181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C@C</w:t>
            </w:r>
          </w:p>
        </w:tc>
        <w:tc>
          <w:tcPr>
            <w:tcW w:type="dxa" w:w="72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event coupled with its state and version</w:t>
            </w:r>
          </w:p>
        </w:tc>
      </w:tr>
      <w:tr>
        <w:trPr>
          <w:cantSplit/>
        </w:trPr>
        <w:tc>
          <w:tcPr>
            <w:tcW w:type="dxa" w:w="181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Reper</w:t>
            </w:r>
          </w:p>
        </w:tc>
        <w:tc>
          <w:tcPr>
            <w:tcW w:type="dxa" w:w="72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typed R,I,U,D and admissible Dom</w:t>
            </w:r>
          </w:p>
        </w:tc>
      </w:tr>
      <w:tr>
        <w:trPr>
          <w:cantSplit/>
        </w:trPr>
        <w:tc>
          <w:tcPr>
            <w:tcW w:type="dxa" w:w="181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Graph</w:t>
            </w:r>
          </w:p>
        </w:tc>
        <w:tc>
          <w:tcPr>
            <w:tcW w:type="dxa" w:w="72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morphisms, proof dependencies, conflicts, gaps, blockers</w:t>
            </w:r>
          </w:p>
        </w:tc>
      </w:tr>
      <w:tr>
        <w:trPr>
          <w:cantSplit/>
        </w:trPr>
        <w:tc>
          <w:tcPr>
            <w:tcW w:type="dxa" w:w="181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Status</w:t>
            </w:r>
          </w:p>
        </w:tc>
        <w:tc>
          <w:tcPr>
            <w:tcW w:type="dxa" w:w="72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mathematical, computational, empirical, reproducibility, legal channels</w:t>
            </w:r>
          </w:p>
        </w:tc>
      </w:tr>
      <w:tr>
        <w:trPr>
          <w:cantSplit/>
        </w:trPr>
        <w:tc>
          <w:tcPr>
            <w:tcW w:type="dxa" w:w="181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Forecast</w:t>
            </w:r>
          </w:p>
        </w:tc>
        <w:tc>
          <w:tcPr>
            <w:tcW w:type="dxa" w:w="72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set of admissible future Reper states or ABSTAIN</w:t>
            </w:r>
          </w:p>
        </w:tc>
      </w:tr>
    </w:tbl>
    <w:p>
      <w:pPr>
        <w:spacing w:after="40"/>
      </w:pPr>
    </w:p>
    <w:p>
      <w:pPr>
        <w:pStyle w:val="Heading2"/>
        <w:keepNext/>
        <w:keepLines w:val="0"/>
        <w:spacing w:before="160" w:after="80" w:line="240" w:lineRule="auto"/>
      </w:pPr>
      <w:r>
        <w:rPr>
          <w:rFonts w:ascii="DejaVu Sans" w:hAnsi="DejaVu Sans" w:eastAsia="DejaVu Sans"/>
          <w:b/>
          <w:i w:val="0"/>
          <w:color w:val="1F4E78"/>
          <w:sz w:val="25"/>
        </w:rPr>
        <w:t>13.2. Versioned Prediction Task</w:t>
      </w:r>
    </w:p>
    <w:p>
      <w:pPr>
        <w:keepNext w:val="0"/>
        <w:keepLines w:val="0"/>
        <w:spacing w:before="0" w:after="100" w:line="259" w:lineRule="auto"/>
      </w:pPr>
      <w:r>
        <w:rPr>
          <w:rFonts w:ascii="DejaVu Serif" w:hAnsi="DejaVu Serif" w:eastAsia="DejaVu Serif"/>
          <w:b w:val="0"/>
          <w:i w:val="0"/>
          <w:sz w:val="21"/>
        </w:rPr>
        <w:t>A prediction task must be frozen as a versioned object T_t=(C_t,Dom_t,D_t,L_t,h,loss,null,adapter), where C_t is the information available at time t, L_t is the active limit system, h is the horizon, and the remaining fields fix evaluation and observation semantics. Later information may be used for scoring, not silently inserted into the original task.</w:t>
      </w:r>
    </w:p>
    <w:p>
      <w:pPr>
        <w:keepNext w:val="0"/>
        <w:keepLines/>
        <w:spacing w:before="80" w:after="140" w:line="240" w:lineRule="auto"/>
        <w:jc w:val="center"/>
      </w:pPr>
      <w:r>
        <w:rPr>
          <w:rFonts w:ascii="DejaVu Serif" w:hAnsi="DejaVu Serif" w:eastAsia="DejaVu Serif"/>
          <w:b w:val="0"/>
          <w:i w:val="0"/>
          <w:sz w:val="23"/>
        </w:rPr>
        <w:t>A_L(D)= {r : all mandatory limit and evidence gates are satisfied}.</w:t>
      </w:r>
      <w:r>
        <w:rPr>
          <w:rFonts w:ascii="DejaVu Sans" w:hAnsi="DejaVu Sans" w:eastAsia="DejaVu Sans"/>
          <w:b w:val="0"/>
          <w:i/>
          <w:color w:val="666666"/>
          <w:sz w:val="17"/>
        </w:rPr>
        <w:t xml:space="preserve">    [RU p. 56]</w:t>
      </w:r>
    </w:p>
    <w:p>
      <w:pPr>
        <w:keepNext w:val="0"/>
        <w:keepLines/>
        <w:spacing w:before="80" w:after="140" w:line="240" w:lineRule="auto"/>
        <w:jc w:val="center"/>
      </w:pPr>
      <w:r>
        <w:rPr>
          <w:rFonts w:ascii="DejaVu Serif" w:hAnsi="DejaVu Serif" w:eastAsia="DejaVu Serif"/>
          <w:b w:val="0"/>
          <w:i w:val="0"/>
          <w:sz w:val="23"/>
        </w:rPr>
        <w:t>Future(C_t)= {r∈A_L(D_t) : r extends the frozen snapshot C_t}.</w:t>
      </w:r>
      <w:r>
        <w:rPr>
          <w:rFonts w:ascii="DejaVu Sans" w:hAnsi="DejaVu Sans" w:eastAsia="DejaVu Sans"/>
          <w:b w:val="0"/>
          <w:i/>
          <w:color w:val="666666"/>
          <w:sz w:val="17"/>
        </w:rPr>
        <w:t xml:space="preserve">    [RU p. 56]</w:t>
      </w:r>
    </w:p>
    <w:p>
      <w:pPr>
        <w:keepNext w:val="0"/>
        <w:keepLines w:val="0"/>
        <w:spacing w:before="0" w:after="100" w:line="259" w:lineRule="auto"/>
      </w:pPr>
      <w:r>
        <w:rPr>
          <w:rFonts w:ascii="DejaVu Serif" w:hAnsi="DejaVu Serif" w:eastAsia="DejaVu Serif"/>
          <w:b w:val="0"/>
          <w:i w:val="0"/>
          <w:sz w:val="21"/>
        </w:rPr>
        <w:t>The output is generally set-valued. A single selected future requires an additional selection rule with its own proof and loss certificate.</w:t>
      </w:r>
    </w:p>
    <w:p>
      <w:pPr>
        <w:pStyle w:val="Heading2"/>
        <w:keepNext/>
        <w:keepLines w:val="0"/>
        <w:spacing w:before="160" w:after="80" w:line="240" w:lineRule="auto"/>
      </w:pPr>
      <w:r>
        <w:rPr>
          <w:rFonts w:ascii="DejaVu Sans" w:hAnsi="DejaVu Sans" w:eastAsia="DejaVu Sans"/>
          <w:b/>
          <w:i w:val="0"/>
          <w:color w:val="1F4E78"/>
          <w:sz w:val="25"/>
        </w:rPr>
        <w:t>13.3. Matched-Null and Empirical Calibration</w:t>
      </w:r>
    </w:p>
    <w:p>
      <w:pPr>
        <w:keepNext w:val="0"/>
        <w:keepLines w:val="0"/>
        <w:spacing w:before="0" w:after="100" w:line="259" w:lineRule="auto"/>
      </w:pPr>
      <w:r>
        <w:rPr>
          <w:rFonts w:ascii="DejaVu Serif" w:hAnsi="DejaVu Serif" w:eastAsia="DejaVu Serif"/>
          <w:b w:val="0"/>
          <w:i w:val="0"/>
          <w:sz w:val="21"/>
        </w:rPr>
        <w:t>A matched-null preserves the object class, data volume, preprocessing, and scoring procedure while breaking the hypothesised relation. It estimates how often the same pipeline would produce an apparently strong pattern when the target relation is absent.</w:t>
      </w:r>
    </w:p>
    <w:p>
      <w:pPr>
        <w:keepNext w:val="0"/>
        <w:keepLines w:val="0"/>
        <w:spacing w:before="0" w:after="100" w:line="259" w:lineRule="auto"/>
      </w:pPr>
      <w:r>
        <w:rPr>
          <w:rFonts w:ascii="DejaVu Serif" w:hAnsi="DejaVu Serif" w:eastAsia="DejaVu Serif"/>
          <w:b w:val="0"/>
          <w:i w:val="0"/>
          <w:sz w:val="21"/>
        </w:rPr>
        <w:t>Calibration records the empirical relation between declared scores and realised frequencies. Neither a high λ score nor CGI&lt;1 substitutes for a matched null or an external evaluation.</w:t>
      </w:r>
    </w:p>
    <w:p>
      <w:pPr>
        <w:pStyle w:val="Heading2"/>
        <w:keepNext/>
        <w:keepLines w:val="0"/>
        <w:spacing w:before="160" w:after="80" w:line="240" w:lineRule="auto"/>
      </w:pPr>
      <w:r>
        <w:rPr>
          <w:rFonts w:ascii="DejaVu Sans" w:hAnsi="DejaVu Sans" w:eastAsia="DejaVu Sans"/>
          <w:b/>
          <w:i w:val="0"/>
          <w:color w:val="1F4E78"/>
          <w:sz w:val="25"/>
        </w:rPr>
        <w:t>13.4. ABSTAIN and Multiplicity of the Future</w:t>
      </w:r>
    </w:p>
    <w:p>
      <w:pPr>
        <w:keepNext w:val="0"/>
        <w:keepLines w:val="0"/>
        <w:spacing w:before="0" w:after="100" w:line="259" w:lineRule="auto"/>
      </w:pPr>
      <w:r>
        <w:rPr>
          <w:rFonts w:ascii="DejaVu Serif" w:hAnsi="DejaVu Serif" w:eastAsia="DejaVu Serif"/>
          <w:b w:val="0"/>
          <w:i w:val="0"/>
          <w:sz w:val="21"/>
        </w:rPr>
        <w:t>The architecture has four primary outcomes: SINGLE-CANDIDATE, SET-CANDIDATE, ABSTAIN-EMPTY, and ABSTAIN-BLOCKED. The empty result reports that no admissible continuation exists under the current gates. The blocked result reports missing evidence or an unresolved conflict. Neither may be replaced by an arbitrary ranking.</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A61C1C"/>
                <w:sz w:val="18"/>
              </w:rPr>
              <w:t xml:space="preserve">NO HIDDEN AVERAGING. </w:t>
            </w:r>
            <w:r>
              <w:rPr>
                <w:rFonts w:ascii="DejaVu Serif" w:hAnsi="DejaVu Serif" w:eastAsia="DejaVu Serif"/>
                <w:b w:val="0"/>
                <w:i w:val="0"/>
                <w:sz w:val="18"/>
              </w:rPr>
              <w:t>When several Reper continuations remain admissible, an arbitrary prior or unrecorded scalar score may not collapse them to one answer. The selection mechanism must be declared as a new model layer.</w:t>
            </w:r>
          </w:p>
        </w:tc>
      </w:tr>
    </w:tbl>
    <w:p>
      <w:pPr>
        <w:spacing w:after="20"/>
      </w:pPr>
    </w:p>
    <w:p>
      <w:pPr>
        <w:pStyle w:val="Heading2"/>
        <w:keepNext/>
        <w:keepLines w:val="0"/>
        <w:spacing w:before="160" w:after="80" w:line="240" w:lineRule="auto"/>
      </w:pPr>
      <w:r>
        <w:rPr>
          <w:rFonts w:ascii="DejaVu Sans" w:hAnsi="DejaVu Sans" w:eastAsia="DejaVu Sans"/>
          <w:b/>
          <w:i w:val="0"/>
          <w:color w:val="1F4E78"/>
          <w:sz w:val="25"/>
        </w:rPr>
        <w:t>13.5. PRED-CERT-13</w:t>
      </w:r>
    </w:p>
    <w:tbl>
      <w:tblPr>
        <w:tblW w:type="auto" w:w="0"/>
        <w:jc w:val="center"/>
        <w:tblLayout w:type="fixed"/>
        <w:tblLook w:firstColumn="1" w:firstRow="1" w:lastColumn="0" w:lastRow="0" w:noHBand="0" w:noVBand="1" w:val="04A0"/>
      </w:tblPr>
      <w:tblGrid>
        <w:gridCol w:w="5035"/>
        <w:gridCol w:w="5035"/>
      </w:tblGrid>
      <w:tr>
        <w:trPr>
          <w:tblHeader w:val="true"/>
        </w:trPr>
        <w:tc>
          <w:tcPr>
            <w:tcW w:type="dxa" w:w="2268"/>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7"/>
              </w:rPr>
              <w:t>Field group</w:t>
            </w:r>
          </w:p>
        </w:tc>
        <w:tc>
          <w:tcPr>
            <w:tcW w:type="dxa" w:w="6803"/>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7"/>
              </w:rPr>
              <w:t>Required fields</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Task snapshot</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task-id, time t, horizon h, frozen input hashes</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Adapters</w:t>
            </w:r>
          </w:p>
        </w:tc>
        <w:tc>
          <w:tcPr>
            <w:tcW w:type="dxa" w:w="680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schema, units, missingness, selection, covariance</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Carrier</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C_t, Dom_t, D_t, limit vector L_t</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Candidate generation</w:t>
            </w:r>
          </w:p>
        </w:tc>
        <w:tc>
          <w:tcPr>
            <w:tcW w:type="dxa" w:w="680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morphisms, neighbourhood, constraints, algorithm version</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Evaluation</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loss, matched-null, blind split, calibration</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Output</w:t>
            </w:r>
          </w:p>
        </w:tc>
        <w:tc>
          <w:tcPr>
            <w:tcW w:type="dxa" w:w="680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candidate set, blockers, ABSTAIN reason, provenance</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Status</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MODEL / NUM / EMP-PLAN / EMP-OBS kept in separate channels</w:t>
            </w:r>
          </w:p>
        </w:tc>
      </w:tr>
    </w:tbl>
    <w:p>
      <w:pPr>
        <w:spacing w:after="40"/>
      </w:pPr>
    </w:p>
    <w:p>
      <w:pPr>
        <w:keepNext w:val="0"/>
        <w:keepLines w:val="0"/>
        <w:spacing w:before="0" w:after="100" w:line="259" w:lineRule="auto"/>
      </w:pPr>
      <w:r>
        <w:rPr>
          <w:rFonts w:ascii="DejaVu Serif" w:hAnsi="DejaVu Serif" w:eastAsia="DejaVu Serif"/>
          <w:b w:val="0"/>
          <w:i/>
          <w:sz w:val="19"/>
        </w:rPr>
        <w:t>Phenomenological note. A database becomes scientific memory only when it remembers not merely an answer, but the route by which that answer was admitted, the alternatives that remained, and the blockers that prevented stronger speech.</w:t>
      </w:r>
    </w:p>
    <w:p>
      <w:r>
        <w:br w:type="page"/>
      </w:r>
    </w:p>
    <w:p>
      <w:pPr>
        <w:pStyle w:val="Heading1"/>
        <w:keepNext/>
        <w:keepLines w:val="0"/>
        <w:spacing w:before="200" w:after="80" w:line="240" w:lineRule="auto"/>
      </w:pPr>
      <w:bookmarkStart w:id="1013" w:name="T1_CH_14"/>
      <w:r>
        <w:rPr>
          <w:rFonts w:ascii="DejaVu Sans" w:hAnsi="DejaVu Sans" w:eastAsia="DejaVu Sans"/>
          <w:b/>
          <w:i w:val="0"/>
          <w:color w:val="1F4E78"/>
          <w:sz w:val="32"/>
        </w:rPr>
        <w:t>Chapter 14. Examples, Counterexamples, and Evidence Passports</w:t>
      </w:r>
      <w:bookmarkEnd w:id="1013"/>
    </w:p>
    <w:p>
      <w:pPr>
        <w:keepNext w:val="0"/>
        <w:keepLines w:val="0"/>
        <w:spacing w:before="0" w:after="120" w:line="259" w:lineRule="auto"/>
      </w:pPr>
      <w:r>
        <w:rPr>
          <w:rFonts w:ascii="DejaVu Serif" w:hAnsi="DejaVu Serif" w:eastAsia="DejaVu Serif"/>
          <w:b w:val="0"/>
          <w:i/>
          <w:sz w:val="18"/>
        </w:rPr>
        <w:t>Russian source locator: pp. 58–61</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Examples show that a construction can work in a specific case. Counterexamples show why its hypotheses are needed. Evidence passports record enough information to reproduce the case and prevent successful formatting or numerical proximity from being mistaken for a stronger theorem.</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897880" cy="3175782"/>
            <wp:docPr id="17" name="Picture 17"/>
            <wp:cNvGraphicFramePr>
              <a:graphicFrameLocks noChangeAspect="1"/>
            </wp:cNvGraphicFramePr>
            <a:graphic>
              <a:graphicData uri="http://schemas.openxmlformats.org/drawingml/2006/picture">
                <pic:pic>
                  <pic:nvPicPr>
                    <pic:cNvPr id="0" name="fig14_cert.png"/>
                    <pic:cNvPicPr/>
                  </pic:nvPicPr>
                  <pic:blipFill>
                    <a:blip r:embed="rId29"/>
                    <a:stretch>
                      <a:fillRect/>
                    </a:stretch>
                  </pic:blipFill>
                  <pic:spPr>
                    <a:xfrm>
                      <a:off x="0" y="0"/>
                      <a:ext cx="5897880" cy="3175782"/>
                    </a:xfrm>
                    <a:prstGeom prst="rect"/>
                  </pic:spPr>
                </pic:pic>
              </a:graphicData>
            </a:graphic>
          </wp:inline>
        </w:drawing>
      </w:r>
    </w:p>
    <w:p>
      <w:pPr>
        <w:keepNext w:val="0"/>
        <w:keepLines/>
        <w:spacing w:before="0" w:after="140" w:line="240" w:lineRule="auto"/>
        <w:jc w:val="center"/>
      </w:pPr>
      <w:bookmarkStart w:id="1074" w:name="T1_FIG_016"/>
      <w:r>
        <w:rPr>
          <w:rFonts w:ascii="DejaVu Serif" w:hAnsi="DejaVu Serif" w:eastAsia="DejaVu Serif"/>
          <w:b w:val="0"/>
          <w:i/>
          <w:color w:val="666666"/>
          <w:sz w:val="17"/>
        </w:rPr>
        <w:t>Figure 14.1. EX-CERT evidence passport and the monotonicity rule for status.</w:t>
      </w:r>
      <w:bookmarkEnd w:id="1074"/>
    </w:p>
    <w:p>
      <w:pPr>
        <w:pStyle w:val="Heading2"/>
        <w:keepNext/>
        <w:keepLines w:val="0"/>
        <w:spacing w:before="160" w:after="80" w:line="240" w:lineRule="auto"/>
      </w:pPr>
      <w:r>
        <w:rPr>
          <w:rFonts w:ascii="DejaVu Sans" w:hAnsi="DejaVu Sans" w:eastAsia="DejaVu Sans"/>
          <w:b/>
          <w:i w:val="0"/>
          <w:color w:val="1F4E78"/>
          <w:sz w:val="25"/>
        </w:rPr>
        <w:t>14.1. Domain Examples</w:t>
      </w:r>
    </w:p>
    <w:tbl>
      <w:tblPr>
        <w:tblW w:type="auto" w:w="0"/>
        <w:jc w:val="center"/>
        <w:tblLayout w:type="fixed"/>
        <w:tblLook w:firstColumn="1" w:firstRow="1" w:lastColumn="0" w:lastRow="0" w:noHBand="0" w:noVBand="1" w:val="04A0"/>
      </w:tblPr>
      <w:tblGrid>
        <w:gridCol w:w="2517"/>
        <w:gridCol w:w="2517"/>
        <w:gridCol w:w="2517"/>
        <w:gridCol w:w="2517"/>
      </w:tblGrid>
      <w:tr>
        <w:trPr>
          <w:tblHeader w:val="true"/>
        </w:trPr>
        <w:tc>
          <w:tcPr>
            <w:tcW w:type="dxa" w:w="1587"/>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5"/>
              </w:rPr>
              <w:t>Domain</w:t>
            </w:r>
          </w:p>
        </w:tc>
        <w:tc>
          <w:tcPr>
            <w:tcW w:type="dxa" w:w="1984"/>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5"/>
              </w:rPr>
              <w:t>Typed object</w:t>
            </w:r>
          </w:p>
        </w:tc>
        <w:tc>
          <w:tcPr>
            <w:tcW w:type="dxa" w:w="3628"/>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5"/>
              </w:rPr>
              <w:t>Mandatory evidence</w:t>
            </w:r>
          </w:p>
        </w:tc>
        <w:tc>
          <w:tcPr>
            <w:tcW w:type="dxa" w:w="1871"/>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5"/>
              </w:rPr>
              <w:t>Forbidden inference</w:t>
            </w:r>
          </w:p>
        </w:tc>
      </w:tr>
      <w:tr>
        <w:trPr>
          <w:cantSplit/>
        </w:trPr>
        <w:tc>
          <w:tcPr>
            <w:tcW w:type="dxa" w:w="1587"/>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5"/>
              </w:rPr>
              <w:t>Mathematics</w:t>
            </w:r>
          </w:p>
        </w:tc>
        <w:tc>
          <w:tcPr>
            <w:tcW w:type="dxa" w:w="198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formula or theorem step</w:t>
            </w:r>
          </w:p>
        </w:tc>
        <w:tc>
          <w:tcPr>
            <w:tcW w:type="dxa" w:w="362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hypotheses, Dom, D, proof, countermodel</w:t>
            </w:r>
          </w:p>
        </w:tc>
        <w:tc>
          <w:tcPr>
            <w:tcW w:type="dxa" w:w="187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one example ⇒ universal law</w:t>
            </w:r>
          </w:p>
        </w:tc>
      </w:tr>
      <w:tr>
        <w:trPr>
          <w:cantSplit/>
        </w:trPr>
        <w:tc>
          <w:tcPr>
            <w:tcW w:type="dxa" w:w="1587"/>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5"/>
              </w:rPr>
              <w:t>Construction estimate</w:t>
            </w:r>
          </w:p>
        </w:tc>
        <w:tc>
          <w:tcPr>
            <w:tcW w:type="dxa" w:w="198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work item and project state</w:t>
            </w:r>
          </w:p>
        </w:tc>
        <w:tc>
          <w:tcPr>
            <w:tcW w:type="dxa" w:w="362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norm version, period, act, resource source</w:t>
            </w:r>
          </w:p>
        </w:tc>
        <w:tc>
          <w:tcPr>
            <w:tcW w:type="dxa" w:w="187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gap ⇒ intent or fraud</w:t>
            </w:r>
          </w:p>
        </w:tc>
      </w:tr>
      <w:tr>
        <w:trPr>
          <w:cantSplit/>
        </w:trPr>
        <w:tc>
          <w:tcPr>
            <w:tcW w:type="dxa" w:w="1587"/>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5"/>
              </w:rPr>
              <w:t>Physical spectrum</w:t>
            </w:r>
          </w:p>
        </w:tc>
        <w:tc>
          <w:tcPr>
            <w:tcW w:type="dxa" w:w="198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line with channel and uncertainty</w:t>
            </w:r>
          </w:p>
        </w:tc>
        <w:tc>
          <w:tcPr>
            <w:tcW w:type="dxa" w:w="362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units, transition, source, covariance, matched-null</w:t>
            </w:r>
          </w:p>
        </w:tc>
        <w:tc>
          <w:tcPr>
            <w:tcW w:type="dxa" w:w="187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proxy ⇒ direct measurement</w:t>
            </w:r>
          </w:p>
        </w:tc>
      </w:tr>
      <w:tr>
        <w:trPr>
          <w:cantSplit/>
        </w:trPr>
        <w:tc>
          <w:tcPr>
            <w:tcW w:type="dxa" w:w="1587"/>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5"/>
              </w:rPr>
              <w:t>Chemistry</w:t>
            </w:r>
          </w:p>
        </w:tc>
        <w:tc>
          <w:tcPr>
            <w:tcW w:type="dxa" w:w="198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reaction state</w:t>
            </w:r>
          </w:p>
        </w:tc>
        <w:tc>
          <w:tcPr>
            <w:tcW w:type="dxa" w:w="362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stoichiometry, redox, energy, kinetics, spectroscopy, catalysis</w:t>
            </w:r>
          </w:p>
        </w:tc>
        <w:tc>
          <w:tcPr>
            <w:tcW w:type="dxa" w:w="187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ratio pattern ⇒ natural law</w:t>
            </w:r>
          </w:p>
        </w:tc>
      </w:tr>
      <w:tr>
        <w:trPr>
          <w:cantSplit/>
        </w:trPr>
        <w:tc>
          <w:tcPr>
            <w:tcW w:type="dxa" w:w="1587"/>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5"/>
              </w:rPr>
              <w:t>Biology / DNA</w:t>
            </w:r>
          </w:p>
        </w:tc>
        <w:tc>
          <w:tcPr>
            <w:tcW w:type="dxa" w:w="198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mapped biological object</w:t>
            </w:r>
          </w:p>
        </w:tc>
        <w:tc>
          <w:tcPr>
            <w:tcW w:type="dxa" w:w="362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accession, genome build, gene→transcript→protein map, cohort</w:t>
            </w:r>
          </w:p>
        </w:tc>
        <w:tc>
          <w:tcPr>
            <w:tcW w:type="dxa" w:w="187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cross-layer status transfer without morphism</w:t>
            </w:r>
          </w:p>
        </w:tc>
      </w:tr>
    </w:tbl>
    <w:p>
      <w:pPr>
        <w:spacing w:after="40"/>
      </w:pPr>
    </w:p>
    <w:p>
      <w:pPr>
        <w:pStyle w:val="Heading2"/>
        <w:keepNext/>
        <w:keepLines w:val="0"/>
        <w:spacing w:before="160" w:after="80" w:line="240" w:lineRule="auto"/>
      </w:pPr>
      <w:r>
        <w:rPr>
          <w:rFonts w:ascii="DejaVu Sans" w:hAnsi="DejaVu Sans" w:eastAsia="DejaVu Sans"/>
          <w:b/>
          <w:i w:val="0"/>
          <w:color w:val="1F4E78"/>
          <w:sz w:val="25"/>
        </w:rPr>
        <w:t>14.2. EX-CERT Definition</w:t>
      </w:r>
    </w:p>
    <w:p>
      <w:pPr>
        <w:keepNext w:val="0"/>
        <w:keepLines w:val="0"/>
        <w:spacing w:before="0" w:after="100" w:line="259" w:lineRule="auto"/>
      </w:pPr>
      <w:r>
        <w:rPr>
          <w:rFonts w:ascii="DejaVu Serif" w:hAnsi="DejaVu Serif" w:eastAsia="DejaVu Serif"/>
          <w:b w:val="0"/>
          <w:i w:val="0"/>
          <w:sz w:val="21"/>
        </w:rPr>
        <w:t>Definition 14.1 [DEF-A]. EX-CERT is a record containing source-id, object-id, Dom, D, inputs, formula or procedure, numerical precision, expected result, observed result, a controlled counterexample, and the evidence status.</w:t>
      </w:r>
    </w:p>
    <w:tbl>
      <w:tblPr>
        <w:tblW w:type="auto" w:w="0"/>
        <w:jc w:val="center"/>
        <w:tblLayout w:type="fixed"/>
        <w:tblLook w:firstColumn="1" w:firstRow="1" w:lastColumn="0" w:lastRow="0" w:noHBand="0" w:noVBand="1" w:val="04A0"/>
      </w:tblPr>
      <w:tblGrid>
        <w:gridCol w:w="9638"/>
      </w:tblGrid>
      <w:tr>
        <w:trPr>
          <w:cantSplit/>
        </w:trPr>
        <w:tc>
          <w:tcPr>
            <w:tcW w:type="dxa" w:w="10070"/>
            <w:shd w:fill="F8F1DC"/>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A37500"/>
                <w:sz w:val="18"/>
              </w:rPr>
              <w:t xml:space="preserve">MANDATORY RULE. </w:t>
            </w:r>
            <w:r>
              <w:rPr>
                <w:rFonts w:ascii="DejaVu Serif" w:hAnsi="DejaVu Serif" w:eastAsia="DejaVu Serif"/>
                <w:b w:val="0"/>
                <w:i w:val="0"/>
                <w:sz w:val="18"/>
              </w:rPr>
              <w:t>An example without a counterexample checks only one successful route; an example without Dom does not state applicability; an example without D does not authorize interpretation.</w:t>
            </w:r>
          </w:p>
        </w:tc>
      </w:tr>
    </w:tbl>
    <w:p>
      <w:pPr>
        <w:spacing w:after="20"/>
      </w:pPr>
    </w:p>
    <w:p>
      <w:pPr>
        <w:pStyle w:val="Heading2"/>
        <w:keepNext/>
        <w:keepLines w:val="0"/>
        <w:spacing w:before="160" w:after="80" w:line="240" w:lineRule="auto"/>
      </w:pPr>
      <w:r>
        <w:rPr>
          <w:rFonts w:ascii="DejaVu Sans" w:hAnsi="DejaVu Sans" w:eastAsia="DejaVu Sans"/>
          <w:b/>
          <w:i w:val="0"/>
          <w:color w:val="1F4E78"/>
          <w:sz w:val="25"/>
        </w:rPr>
        <w:t>14.3. Monotonicity of Evidence Status</w:t>
      </w:r>
    </w:p>
    <w:p>
      <w:pPr>
        <w:keepNext w:val="0"/>
        <w:keepLines w:val="0"/>
        <w:spacing w:before="0" w:after="100" w:line="259" w:lineRule="auto"/>
      </w:pPr>
      <w:r>
        <w:rPr>
          <w:rFonts w:ascii="DejaVu Serif" w:hAnsi="DejaVu Serif" w:eastAsia="DejaVu Serif"/>
          <w:b w:val="0"/>
          <w:i w:val="0"/>
          <w:sz w:val="21"/>
        </w:rPr>
        <w:t>Theorem 14.2 [PROP]. An editorial improvement of an EX-CERT representation does not raise its status when no new verified evidence has been added.</w:t>
      </w:r>
    </w:p>
    <w:p>
      <w:pPr>
        <w:keepNext w:val="0"/>
        <w:keepLines w:val="0"/>
        <w:spacing w:before="0" w:after="100" w:line="259" w:lineRule="auto"/>
      </w:pPr>
      <w:r>
        <w:rPr>
          <w:rFonts w:ascii="DejaVu Serif" w:hAnsi="DejaVu Serif" w:eastAsia="DejaVu Serif"/>
          <w:b w:val="0"/>
          <w:i w:val="0"/>
          <w:sz w:val="21"/>
        </w:rPr>
        <w:t>Proof. Status is determined by the set of closed gates, not by the length or polish of the description. Reformatting preserves that set.</w:t>
      </w:r>
    </w:p>
    <w:p>
      <w:pPr>
        <w:keepNext w:val="0"/>
        <w:keepLines w:val="0"/>
        <w:spacing w:before="0" w:after="100" w:line="259" w:lineRule="auto"/>
      </w:pPr>
      <w:r>
        <w:rPr>
          <w:rFonts w:ascii="DejaVu Serif" w:hAnsi="DejaVu Serif" w:eastAsia="DejaVu Serif"/>
          <w:b w:val="0"/>
          <w:i w:val="0"/>
          <w:sz w:val="21"/>
        </w:rPr>
        <w:t>For certificates e₁ and e₂, define e₁≼e₂ when every gate closed in e₁ is also closed in e₂ and all common fields have compatible versions. After quotienting by equality of evidence sets, ≼ is a partial order.</w:t>
      </w:r>
    </w:p>
    <w:p>
      <w:pPr>
        <w:pStyle w:val="Heading2"/>
        <w:keepNext/>
        <w:keepLines w:val="0"/>
        <w:spacing w:before="160" w:after="80" w:line="240" w:lineRule="auto"/>
      </w:pPr>
      <w:r>
        <w:rPr>
          <w:rFonts w:ascii="DejaVu Sans" w:hAnsi="DejaVu Sans" w:eastAsia="DejaVu Sans"/>
          <w:b/>
          <w:i w:val="0"/>
          <w:color w:val="1F4E78"/>
          <w:sz w:val="25"/>
        </w:rPr>
        <w:t>14.4. Insufficiency of a Finite Noncovering Example Set</w:t>
      </w:r>
    </w:p>
    <w:p>
      <w:pPr>
        <w:keepNext w:val="0"/>
        <w:keepLines w:val="0"/>
        <w:spacing w:before="0" w:after="100" w:line="259" w:lineRule="auto"/>
      </w:pPr>
      <w:r>
        <w:rPr>
          <w:rFonts w:ascii="DejaVu Serif" w:hAnsi="DejaVu Serif" w:eastAsia="DejaVu Serif"/>
          <w:b w:val="0"/>
          <w:i w:val="0"/>
          <w:sz w:val="21"/>
        </w:rPr>
        <w:t>Theorem 14.3 [CL/PROP]. Let X contain at least two points and suppose a rule f has been observed only on a proper subset A⊊X. Then there exists a rule g:X→Y agreeing with f on A and differing outside A. Hence a finite noncovering example set does not identify a universal law.</w:t>
      </w:r>
    </w:p>
    <w:p>
      <w:pPr>
        <w:keepNext w:val="0"/>
        <w:keepLines w:val="0"/>
        <w:spacing w:before="0" w:after="100" w:line="259" w:lineRule="auto"/>
      </w:pPr>
      <w:r>
        <w:rPr>
          <w:rFonts w:ascii="DejaVu Serif" w:hAnsi="DejaVu Serif" w:eastAsia="DejaVu Serif"/>
          <w:b w:val="0"/>
          <w:i w:val="0"/>
          <w:sz w:val="21"/>
        </w:rPr>
        <w:t>Proof. Choose x₀∈X∖A and two different values y₁,y₂∈Y. Put g=f on A and g(x₀)=y₂≠f(x₀)=y₁; define remaining values arbitrarily.</w:t>
      </w:r>
    </w:p>
    <w:p>
      <w:pPr>
        <w:keepNext w:val="0"/>
        <w:keepLines w:val="0"/>
        <w:spacing w:before="0" w:after="100" w:line="259" w:lineRule="auto"/>
      </w:pPr>
      <w:r>
        <w:rPr>
          <w:rFonts w:ascii="DejaVu Serif" w:hAnsi="DejaVu Serif" w:eastAsia="DejaVu Serif"/>
          <w:b w:val="0"/>
          <w:i w:val="0"/>
          <w:sz w:val="21"/>
        </w:rPr>
        <w:t>Corollary 14.4. Every positive example must be accompanied by a declared generalisation domain, a counterexample, or a preregistered test on new data.</w:t>
      </w:r>
    </w:p>
    <w:p>
      <w:pPr>
        <w:pStyle w:val="Heading2"/>
        <w:keepNext/>
        <w:keepLines w:val="0"/>
        <w:spacing w:before="160" w:after="80" w:line="240" w:lineRule="auto"/>
      </w:pPr>
      <w:r>
        <w:rPr>
          <w:rFonts w:ascii="DejaVu Sans" w:hAnsi="DejaVu Sans" w:eastAsia="DejaVu Sans"/>
          <w:b/>
          <w:i w:val="0"/>
          <w:color w:val="1F4E78"/>
          <w:sz w:val="25"/>
        </w:rPr>
        <w:t>14.5. Frozen Artifact-1 Status</w:t>
      </w:r>
    </w:p>
    <w:p>
      <w:pPr>
        <w:keepNext w:val="0"/>
        <w:keepLines w:val="0"/>
        <w:spacing w:before="0" w:after="100" w:line="259" w:lineRule="auto"/>
      </w:pPr>
      <w:r>
        <w:rPr>
          <w:rFonts w:ascii="DejaVu Serif" w:hAnsi="DejaVu Serif" w:eastAsia="DejaVu Serif"/>
          <w:b w:val="0"/>
          <w:i w:val="0"/>
          <w:sz w:val="21"/>
        </w:rPr>
        <w:t>The source preserves the chain RIUD-TETRA-RUN006-029 → PROOF-OBJ-RUN007-0029 → FORMAL-CARD-RUN009-006 → SIGNATURE-REVIEW-RUN013-001.</w:t>
      </w:r>
    </w:p>
    <w:p>
      <w:pPr>
        <w:keepNext w:val="0"/>
        <w:keepLines/>
        <w:spacing w:before="80" w:after="140" w:line="240" w:lineRule="auto"/>
        <w:jc w:val="center"/>
      </w:pPr>
      <w:r>
        <w:rPr>
          <w:rFonts w:ascii="DejaVu Serif" w:hAnsi="DejaVu Serif" w:eastAsia="DejaVu Serif"/>
          <w:b w:val="0"/>
          <w:i w:val="0"/>
          <w:sz w:val="23"/>
        </w:rPr>
        <w:t>λ=−0.992736565468,    δ_truth=0.007263434532,    CGI=0.140948882338.</w:t>
      </w:r>
      <w:r>
        <w:rPr>
          <w:rFonts w:ascii="DejaVu Sans" w:hAnsi="DejaVu Sans" w:eastAsia="DejaVu Sans"/>
          <w:b w:val="0"/>
          <w:i/>
          <w:color w:val="666666"/>
          <w:sz w:val="17"/>
        </w:rPr>
        <w:t xml:space="preserve">    [RU pp. 60–61]</w:t>
      </w:r>
    </w:p>
    <w:p>
      <w:pPr>
        <w:keepNext w:val="0"/>
        <w:keepLines w:val="0"/>
        <w:spacing w:before="0" w:after="100" w:line="259" w:lineRule="auto"/>
      </w:pPr>
      <w:r>
        <w:rPr>
          <w:rFonts w:ascii="DejaVu Serif" w:hAnsi="DejaVu Serif" w:eastAsia="DejaVu Serif"/>
          <w:b w:val="0"/>
          <w:i w:val="0"/>
          <w:sz w:val="21"/>
        </w:rPr>
        <w:t>The frozen status is signature-ready-not-truth-layer with truth_layer_promotion=0. Numerical proximity to −1, CGI&lt;1, or improved presentation does not authorize promotion without new independent evidence.</w:t>
      </w:r>
    </w:p>
    <w:p>
      <w:pPr>
        <w:pStyle w:val="Heading2"/>
        <w:keepNext/>
        <w:keepLines w:val="0"/>
        <w:spacing w:before="160" w:after="80" w:line="240" w:lineRule="auto"/>
      </w:pPr>
      <w:r>
        <w:rPr>
          <w:rFonts w:ascii="DejaVu Sans" w:hAnsi="DejaVu Sans" w:eastAsia="DejaVu Sans"/>
          <w:b/>
          <w:i w:val="0"/>
          <w:color w:val="1F4E78"/>
          <w:sz w:val="25"/>
        </w:rPr>
        <w:t>14.6. Paired Counterexample and Matched-Null</w:t>
      </w:r>
    </w:p>
    <w:p>
      <w:pPr>
        <w:keepNext w:val="0"/>
        <w:keepLines w:val="0"/>
        <w:spacing w:before="0" w:after="100" w:line="259" w:lineRule="auto"/>
      </w:pPr>
      <w:r>
        <w:rPr>
          <w:rFonts w:ascii="DejaVu Serif" w:hAnsi="DejaVu Serif" w:eastAsia="DejaVu Serif"/>
          <w:b w:val="0"/>
          <w:i w:val="0"/>
          <w:sz w:val="21"/>
        </w:rPr>
        <w:t>A mathematical counterexample violates exactly one essential hypothesis and demonstrates its necessity. An empirical matched-null preserves the class and procedure while destroying the investigated relation. The controls serve different purposes and are not interchangeable.</w:t>
      </w:r>
    </w:p>
    <w:p>
      <w:r>
        <w:br w:type="page"/>
      </w:r>
    </w:p>
    <w:p>
      <w:pPr>
        <w:pStyle w:val="Heading1"/>
        <w:keepNext/>
        <w:keepLines w:val="0"/>
        <w:spacing w:before="200" w:after="80" w:line="240" w:lineRule="auto"/>
      </w:pPr>
      <w:bookmarkStart w:id="1014" w:name="T1_CH_15"/>
      <w:r>
        <w:rPr>
          <w:rFonts w:ascii="DejaVu Sans" w:hAnsi="DejaVu Sans" w:eastAsia="DejaVu Sans"/>
          <w:b/>
          <w:i w:val="0"/>
          <w:color w:val="1F4E78"/>
          <w:sz w:val="32"/>
        </w:rPr>
        <w:t>Chapter 15. Glossary, Notation, Formulae, and Bibliography</w:t>
      </w:r>
      <w:bookmarkEnd w:id="1014"/>
    </w:p>
    <w:p>
      <w:pPr>
        <w:keepNext w:val="0"/>
        <w:keepLines w:val="0"/>
        <w:spacing w:before="0" w:after="120" w:line="259" w:lineRule="auto"/>
      </w:pPr>
      <w:r>
        <w:rPr>
          <w:rFonts w:ascii="DejaVu Serif" w:hAnsi="DejaVu Serif" w:eastAsia="DejaVu Serif"/>
          <w:b w:val="0"/>
          <w:i/>
          <w:sz w:val="18"/>
        </w:rPr>
        <w:t>Russian source locator: pp. 62–64</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This chapter fixes a common language. In a notation-intensive theory, a symbol is part of the type system: changing one star, bracket, or domain marker can change the mathematical object. Bibliography records provenance but does not by itself prove novelty.</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760720" cy="2936759"/>
            <wp:docPr id="18" name="Picture 18"/>
            <wp:cNvGraphicFramePr>
              <a:graphicFrameLocks noChangeAspect="1"/>
            </wp:cNvGraphicFramePr>
            <a:graphic>
              <a:graphicData uri="http://schemas.openxmlformats.org/drawingml/2006/picture">
                <pic:pic>
                  <pic:nvPicPr>
                    <pic:cNvPr id="0" name="fig15_notation.png"/>
                    <pic:cNvPicPr/>
                  </pic:nvPicPr>
                  <pic:blipFill>
                    <a:blip r:embed="rId30"/>
                    <a:stretch>
                      <a:fillRect/>
                    </a:stretch>
                  </pic:blipFill>
                  <pic:spPr>
                    <a:xfrm>
                      <a:off x="0" y="0"/>
                      <a:ext cx="5760720" cy="2936759"/>
                    </a:xfrm>
                    <a:prstGeom prst="rect"/>
                  </pic:spPr>
                </pic:pic>
              </a:graphicData>
            </a:graphic>
          </wp:inline>
        </w:drawing>
      </w:r>
    </w:p>
    <w:p>
      <w:pPr>
        <w:keepNext w:val="0"/>
        <w:keepLines/>
        <w:spacing w:before="0" w:after="140" w:line="240" w:lineRule="auto"/>
        <w:jc w:val="center"/>
      </w:pPr>
      <w:bookmarkStart w:id="1075" w:name="T1_FIG_017"/>
      <w:r>
        <w:rPr>
          <w:rFonts w:ascii="DejaVu Serif" w:hAnsi="DejaVu Serif" w:eastAsia="DejaVu Serif"/>
          <w:b w:val="0"/>
          <w:i/>
          <w:color w:val="666666"/>
          <w:sz w:val="17"/>
        </w:rPr>
        <w:t>Figure 15.1. Notation firewall and three-layer source passport.</w:t>
      </w:r>
      <w:bookmarkEnd w:id="1075"/>
    </w:p>
    <w:p>
      <w:pPr>
        <w:pStyle w:val="Heading2"/>
        <w:keepNext/>
        <w:keepLines w:val="0"/>
        <w:spacing w:before="160" w:after="80" w:line="240" w:lineRule="auto"/>
      </w:pPr>
      <w:r>
        <w:rPr>
          <w:rFonts w:ascii="DejaVu Sans" w:hAnsi="DejaVu Sans" w:eastAsia="DejaVu Sans"/>
          <w:b/>
          <w:i w:val="0"/>
          <w:color w:val="1F4E78"/>
          <w:sz w:val="25"/>
        </w:rPr>
        <w:t>15.1. Normative Glossary</w:t>
      </w:r>
    </w:p>
    <w:tbl>
      <w:tblPr>
        <w:tblW w:type="auto" w:w="0"/>
        <w:jc w:val="center"/>
        <w:tblLayout w:type="fixed"/>
        <w:tblLook w:firstColumn="1" w:firstRow="1" w:lastColumn="0" w:lastRow="0" w:noHBand="0" w:noVBand="1" w:val="04A0"/>
      </w:tblPr>
      <w:tblGrid>
        <w:gridCol w:w="5035"/>
        <w:gridCol w:w="5035"/>
      </w:tblGrid>
      <w:tr>
        <w:trPr>
          <w:tblHeader w:val="true"/>
        </w:trPr>
        <w:tc>
          <w:tcPr>
            <w:tcW w:type="dxa" w:w="2324"/>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Term</w:t>
            </w:r>
          </w:p>
        </w:tc>
        <w:tc>
          <w:tcPr>
            <w:tcW w:type="dxa" w:w="6746"/>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Normative English meaning</w:t>
            </w:r>
          </w:p>
        </w:tc>
      </w:tr>
      <w:tr>
        <w:trPr>
          <w:cantSplit/>
        </w:trPr>
        <w:tc>
          <w:tcPr>
            <w:tcW w:type="dxa" w:w="232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Time@Space</w:t>
            </w:r>
          </w:p>
        </w:tc>
        <w:tc>
          <w:tcPr>
            <w:tcW w:type="dxa" w:w="674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stratified temporal primacy; space as an admissible section</w:t>
            </w:r>
          </w:p>
        </w:tc>
      </w:tr>
      <w:tr>
        <w:trPr>
          <w:cantSplit/>
        </w:trPr>
        <w:tc>
          <w:tcPr>
            <w:tcW w:type="dxa" w:w="232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C@C</w:t>
            </w:r>
          </w:p>
        </w:tc>
        <w:tc>
          <w:tcPr>
            <w:tcW w:type="dxa" w:w="674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event@state, the minimal typed unit</w:t>
            </w:r>
          </w:p>
        </w:tc>
      </w:tr>
      <w:tr>
        <w:trPr>
          <w:cantSplit/>
        </w:trPr>
        <w:tc>
          <w:tcPr>
            <w:tcW w:type="dxa" w:w="232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packet</w:t>
            </w:r>
          </w:p>
        </w:tc>
        <w:tc>
          <w:tcPr>
            <w:tcW w:type="dxa" w:w="674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an object together with a dual, stratified, or evidential layer</w:t>
            </w:r>
          </w:p>
        </w:tc>
      </w:tr>
      <w:tr>
        <w:trPr>
          <w:cantSplit/>
        </w:trPr>
        <w:tc>
          <w:tcPr>
            <w:tcW w:type="dxa" w:w="232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Pack</w:t>
            </w:r>
          </w:p>
        </w:tc>
        <w:tc>
          <w:tcPr>
            <w:tcW w:type="dxa" w:w="674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category of admissible packet objects and packet morphisms</w:t>
            </w:r>
          </w:p>
        </w:tc>
      </w:tr>
      <w:tr>
        <w:trPr>
          <w:cantSplit/>
        </w:trPr>
        <w:tc>
          <w:tcPr>
            <w:tcW w:type="dxa" w:w="232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Reper</w:t>
            </w:r>
          </w:p>
        </w:tc>
        <w:tc>
          <w:tcPr>
            <w:tcW w:type="dxa" w:w="674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typed quadruple (R,I,U;D)</w:t>
            </w:r>
          </w:p>
        </w:tc>
      </w:tr>
      <w:tr>
        <w:trPr>
          <w:cantSplit/>
        </w:trPr>
        <w:tc>
          <w:tcPr>
            <w:tcW w:type="dxa" w:w="232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D</w:t>
            </w:r>
          </w:p>
        </w:tc>
        <w:tc>
          <w:tcPr>
            <w:tcW w:type="dxa" w:w="674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sufficient foundation; not the same object as Dom</w:t>
            </w:r>
          </w:p>
        </w:tc>
      </w:tr>
      <w:tr>
        <w:trPr>
          <w:cantSplit/>
        </w:trPr>
        <w:tc>
          <w:tcPr>
            <w:tcW w:type="dxa" w:w="232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Dom</w:t>
            </w:r>
          </w:p>
        </w:tc>
        <w:tc>
          <w:tcPr>
            <w:tcW w:type="dxa" w:w="674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admissible domain of definition or applicability</w:t>
            </w:r>
          </w:p>
        </w:tc>
      </w:tr>
      <w:tr>
        <w:trPr>
          <w:cantSplit/>
        </w:trPr>
        <w:tc>
          <w:tcPr>
            <w:tcW w:type="dxa" w:w="232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λ</w:t>
            </w:r>
          </w:p>
        </w:tc>
        <w:tc>
          <w:tcPr>
            <w:tcW w:type="dxa" w:w="674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projective-harmonic coordinate, not a probability</w:t>
            </w:r>
          </w:p>
        </w:tc>
      </w:tr>
      <w:tr>
        <w:trPr>
          <w:cantSplit/>
        </w:trPr>
        <w:tc>
          <w:tcPr>
            <w:tcW w:type="dxa" w:w="232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δ_truth</w:t>
            </w:r>
          </w:p>
        </w:tc>
        <w:tc>
          <w:tcPr>
            <w:tcW w:type="dxa" w:w="674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distance from the harmonic normalization −1</w:t>
            </w:r>
          </w:p>
        </w:tc>
      </w:tr>
      <w:tr>
        <w:trPr>
          <w:cantSplit/>
        </w:trPr>
        <w:tc>
          <w:tcPr>
            <w:tcW w:type="dxa" w:w="232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FOS</w:t>
            </w:r>
          </w:p>
        </w:tc>
        <w:tc>
          <w:tcPr>
            <w:tcW w:type="dxa" w:w="674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Kurpishev Fundamental Support Connectivity</w:t>
            </w:r>
          </w:p>
        </w:tc>
      </w:tr>
      <w:tr>
        <w:trPr>
          <w:cantSplit/>
        </w:trPr>
        <w:tc>
          <w:tcPr>
            <w:tcW w:type="dxa" w:w="232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NAPG</w:t>
            </w:r>
          </w:p>
        </w:tc>
        <w:tc>
          <w:tcPr>
            <w:tcW w:type="dxa" w:w="674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Nonassociative Packet Geometry</w:t>
            </w:r>
          </w:p>
        </w:tc>
      </w:tr>
      <w:tr>
        <w:trPr>
          <w:cantSplit/>
        </w:trPr>
        <w:tc>
          <w:tcPr>
            <w:tcW w:type="dxa" w:w="232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PILOT-01</w:t>
            </w:r>
          </w:p>
        </w:tc>
        <w:tc>
          <w:tcPr>
            <w:tcW w:type="dxa" w:w="674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formula-chain audit and Fano-barrier pilot</w:t>
            </w:r>
          </w:p>
        </w:tc>
      </w:tr>
      <w:tr>
        <w:trPr>
          <w:cantSplit/>
        </w:trPr>
        <w:tc>
          <w:tcPr>
            <w:tcW w:type="dxa" w:w="232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RBD / RPD</w:t>
            </w:r>
          </w:p>
        </w:tc>
        <w:tc>
          <w:tcPr>
            <w:tcW w:type="dxa" w:w="674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Reper database / Reper-projective audit programme</w:t>
            </w:r>
          </w:p>
        </w:tc>
      </w:tr>
      <w:tr>
        <w:trPr>
          <w:cantSplit/>
        </w:trPr>
        <w:tc>
          <w:tcPr>
            <w:tcW w:type="dxa" w:w="232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KLT</w:t>
            </w:r>
          </w:p>
        </w:tc>
        <w:tc>
          <w:tcPr>
            <w:tcW w:type="dxa" w:w="674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computational-mathematical software layer of the Kurpishev method</w:t>
            </w:r>
          </w:p>
        </w:tc>
      </w:tr>
    </w:tbl>
    <w:p>
      <w:pPr>
        <w:spacing w:after="40"/>
      </w:pPr>
    </w:p>
    <w:p>
      <w:pPr>
        <w:pStyle w:val="Heading2"/>
        <w:keepNext/>
        <w:keepLines w:val="0"/>
        <w:spacing w:before="160" w:after="80" w:line="240" w:lineRule="auto"/>
      </w:pPr>
      <w:r>
        <w:rPr>
          <w:rFonts w:ascii="DejaVu Sans" w:hAnsi="DejaVu Sans" w:eastAsia="DejaVu Sans"/>
          <w:b/>
          <w:i w:val="0"/>
          <w:color w:val="1F4E78"/>
          <w:sz w:val="25"/>
        </w:rPr>
        <w:t>15.2. Core Formulae and Symbol Types</w:t>
      </w:r>
    </w:p>
    <w:p>
      <w:pPr>
        <w:keepNext w:val="0"/>
        <w:keepLines/>
        <w:spacing w:before="80" w:after="140" w:line="240" w:lineRule="auto"/>
        <w:jc w:val="center"/>
      </w:pPr>
      <w:r>
        <w:rPr>
          <w:rFonts w:ascii="DejaVu Serif" w:hAnsi="DejaVu Serif" w:eastAsia="DejaVu Serif"/>
          <w:b w:val="0"/>
          <w:i w:val="0"/>
          <w:sz w:val="23"/>
        </w:rPr>
        <w:t>c=C@C=(e,s)</w:t>
      </w:r>
      <w:r>
        <w:rPr>
          <w:rFonts w:ascii="DejaVu Sans" w:hAnsi="DejaVu Sans" w:eastAsia="DejaVu Sans"/>
          <w:b w:val="0"/>
          <w:i/>
          <w:color w:val="666666"/>
          <w:sz w:val="17"/>
        </w:rPr>
        <w:t xml:space="preserve">    [RU p. 62]</w:t>
      </w:r>
    </w:p>
    <w:p>
      <w:pPr>
        <w:keepNext w:val="0"/>
        <w:keepLines/>
        <w:spacing w:before="80" w:after="140" w:line="240" w:lineRule="auto"/>
        <w:jc w:val="center"/>
      </w:pPr>
      <w:r>
        <w:rPr>
          <w:rFonts w:ascii="DejaVu Serif" w:hAnsi="DejaVu Serif" w:eastAsia="DejaVu Serif"/>
          <w:b w:val="0"/>
          <w:i w:val="0"/>
          <w:sz w:val="23"/>
        </w:rPr>
        <w:t>Reper=(R,I,U;D)</w:t>
      </w:r>
      <w:r>
        <w:rPr>
          <w:rFonts w:ascii="DejaVu Sans" w:hAnsi="DejaVu Sans" w:eastAsia="DejaVu Sans"/>
          <w:b w:val="0"/>
          <w:i/>
          <w:color w:val="666666"/>
          <w:sz w:val="17"/>
        </w:rPr>
        <w:t xml:space="preserve">    [RU p. 62]</w:t>
      </w:r>
    </w:p>
    <w:p>
      <w:pPr>
        <w:keepNext w:val="0"/>
        <w:keepLines/>
        <w:spacing w:before="80" w:after="140" w:line="240" w:lineRule="auto"/>
        <w:jc w:val="center"/>
      </w:pPr>
      <w:r>
        <w:rPr>
          <w:rFonts w:ascii="DejaVu Serif" w:hAnsi="DejaVu Serif" w:eastAsia="DejaVu Serif"/>
          <w:b w:val="0"/>
          <w:i w:val="0"/>
          <w:sz w:val="23"/>
        </w:rPr>
        <w:t>λ=cr(U,I;R,D)</w:t>
      </w:r>
      <w:r>
        <w:rPr>
          <w:rFonts w:ascii="DejaVu Sans" w:hAnsi="DejaVu Sans" w:eastAsia="DejaVu Sans"/>
          <w:b w:val="0"/>
          <w:i/>
          <w:color w:val="666666"/>
          <w:sz w:val="17"/>
        </w:rPr>
        <w:t xml:space="preserve">    [RU p. 62]</w:t>
      </w:r>
    </w:p>
    <w:p>
      <w:pPr>
        <w:keepNext w:val="0"/>
        <w:keepLines/>
        <w:spacing w:before="80" w:after="140" w:line="240" w:lineRule="auto"/>
        <w:jc w:val="center"/>
      </w:pPr>
      <w:r>
        <w:rPr>
          <w:rFonts w:ascii="DejaVu Serif" w:hAnsi="DejaVu Serif" w:eastAsia="DejaVu Serif"/>
          <w:b w:val="0"/>
          <w:i w:val="0"/>
          <w:sz w:val="23"/>
        </w:rPr>
        <w:t>δ_truth=|λ+1|</w:t>
      </w:r>
      <w:r>
        <w:rPr>
          <w:rFonts w:ascii="DejaVu Sans" w:hAnsi="DejaVu Sans" w:eastAsia="DejaVu Sans"/>
          <w:b w:val="0"/>
          <w:i/>
          <w:color w:val="666666"/>
          <w:sz w:val="17"/>
        </w:rPr>
        <w:t xml:space="preserve">    [RU p. 62]</w:t>
      </w:r>
    </w:p>
    <w:p>
      <w:pPr>
        <w:keepNext w:val="0"/>
        <w:keepLines/>
        <w:spacing w:before="80" w:after="140" w:line="240" w:lineRule="auto"/>
        <w:jc w:val="center"/>
      </w:pPr>
      <w:r>
        <w:rPr>
          <w:rFonts w:ascii="DejaVu Serif" w:hAnsi="DejaVu Serif" w:eastAsia="DejaVu Serif"/>
          <w:b w:val="0"/>
          <w:i w:val="0"/>
          <w:sz w:val="23"/>
        </w:rPr>
        <w:t>Ass_⊙(x,y,z)=(x⊙y)⊙z−x⊙(y⊙z)</w:t>
      </w:r>
      <w:r>
        <w:rPr>
          <w:rFonts w:ascii="DejaVu Sans" w:hAnsi="DejaVu Sans" w:eastAsia="DejaVu Sans"/>
          <w:b w:val="0"/>
          <w:i/>
          <w:color w:val="666666"/>
          <w:sz w:val="17"/>
        </w:rPr>
        <w:t xml:space="preserve">    [RU p. 62]</w:t>
      </w:r>
    </w:p>
    <w:p>
      <w:pPr>
        <w:keepNext w:val="0"/>
        <w:keepLines/>
        <w:spacing w:before="80" w:after="140" w:line="240" w:lineRule="auto"/>
        <w:jc w:val="center"/>
      </w:pPr>
      <w:r>
        <w:rPr>
          <w:rFonts w:ascii="DejaVu Serif" w:hAnsi="DejaVu Serif" w:eastAsia="DejaVu Serif"/>
          <w:b w:val="0"/>
          <w:i w:val="0"/>
          <w:sz w:val="23"/>
        </w:rPr>
        <w:t>H²_red=ker d²/im d¹</w:t>
      </w:r>
      <w:r>
        <w:rPr>
          <w:rFonts w:ascii="DejaVu Sans" w:hAnsi="DejaVu Sans" w:eastAsia="DejaVu Sans"/>
          <w:b w:val="0"/>
          <w:i/>
          <w:color w:val="666666"/>
          <w:sz w:val="17"/>
        </w:rPr>
        <w:t xml:space="preserve">    [RU p. 62]</w:t>
      </w:r>
    </w:p>
    <w:p>
      <w:pPr>
        <w:keepNext w:val="0"/>
        <w:keepLines/>
        <w:spacing w:before="80" w:after="140" w:line="240" w:lineRule="auto"/>
        <w:jc w:val="center"/>
      </w:pPr>
      <w:r>
        <w:rPr>
          <w:rFonts w:ascii="DejaVu Serif" w:hAnsi="DejaVu Serif" w:eastAsia="DejaVu Serif"/>
          <w:b w:val="0"/>
          <w:i w:val="0"/>
          <w:sz w:val="23"/>
        </w:rPr>
        <w:t>O³_red=C³_red/im d²</w:t>
      </w:r>
      <w:r>
        <w:rPr>
          <w:rFonts w:ascii="DejaVu Sans" w:hAnsi="DejaVu Sans" w:eastAsia="DejaVu Sans"/>
          <w:b w:val="0"/>
          <w:i/>
          <w:color w:val="666666"/>
          <w:sz w:val="17"/>
        </w:rPr>
        <w:t xml:space="preserve">    [RU p. 62]</w:t>
      </w:r>
    </w:p>
    <w:p>
      <w:pPr>
        <w:keepNext w:val="0"/>
        <w:keepLines/>
        <w:spacing w:before="80" w:after="140" w:line="240" w:lineRule="auto"/>
        <w:jc w:val="center"/>
      </w:pPr>
      <w:r>
        <w:rPr>
          <w:rFonts w:ascii="DejaVu Serif" w:hAnsi="DejaVu Serif" w:eastAsia="DejaVu Serif"/>
          <w:b w:val="0"/>
          <w:i w:val="0"/>
          <w:sz w:val="23"/>
        </w:rPr>
        <w:t>FOS=lim←∏Reper(c)</w:t>
      </w:r>
      <w:r>
        <w:rPr>
          <w:rFonts w:ascii="DejaVu Sans" w:hAnsi="DejaVu Sans" w:eastAsia="DejaVu Sans"/>
          <w:b w:val="0"/>
          <w:i/>
          <w:color w:val="666666"/>
          <w:sz w:val="17"/>
        </w:rPr>
        <w:t xml:space="preserve">    [RU p. 62]</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1247"/>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Symbol</w:t>
            </w:r>
          </w:p>
        </w:tc>
        <w:tc>
          <w:tcPr>
            <w:tcW w:type="dxa" w:w="3742"/>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Unique type</w:t>
            </w:r>
          </w:p>
        </w:tc>
        <w:tc>
          <w:tcPr>
            <w:tcW w:type="dxa" w:w="4082"/>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Not interchangeable with</w:t>
            </w:r>
          </w:p>
        </w:tc>
      </w:tr>
      <w:tr>
        <w:trPr>
          <w:cantSplit/>
        </w:trPr>
        <w:tc>
          <w:tcPr>
            <w:tcW w:type="dxa" w:w="1247"/>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w:t>
            </w:r>
          </w:p>
        </w:tc>
        <w:tc>
          <w:tcPr>
            <w:tcW w:type="dxa" w:w="374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bilinear packet product</w:t>
            </w:r>
          </w:p>
        </w:tc>
        <w:tc>
          <w:tcPr>
            <w:tcW w:type="dxa" w:w="408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Hodge star, R⋆R, associator</w:t>
            </w:r>
          </w:p>
        </w:tc>
      </w:tr>
      <w:tr>
        <w:trPr>
          <w:cantSplit/>
        </w:trPr>
        <w:tc>
          <w:tcPr>
            <w:tcW w:type="dxa" w:w="1247"/>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⋆_H</w:t>
            </w:r>
          </w:p>
        </w:tc>
        <w:tc>
          <w:tcPr>
            <w:tcW w:type="dxa" w:w="374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Hodge operator</w:t>
            </w:r>
          </w:p>
        </w:tc>
        <w:tc>
          <w:tcPr>
            <w:tcW w:type="dxa" w:w="408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bilinear product</w:t>
            </w:r>
          </w:p>
        </w:tc>
      </w:tr>
      <w:tr>
        <w:trPr>
          <w:cantSplit/>
        </w:trPr>
        <w:tc>
          <w:tcPr>
            <w:tcW w:type="dxa" w:w="1247"/>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R⋆R</w:t>
            </w:r>
          </w:p>
        </w:tc>
        <w:tc>
          <w:tcPr>
            <w:tcW w:type="dxa" w:w="374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authorial quadratic/alternating packet object</w:t>
            </w:r>
          </w:p>
        </w:tc>
        <w:tc>
          <w:tcPr>
            <w:tcW w:type="dxa" w:w="408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Hodge star or ordinary multiplication</w:t>
            </w:r>
          </w:p>
        </w:tc>
      </w:tr>
      <w:tr>
        <w:trPr>
          <w:cantSplit/>
        </w:trPr>
        <w:tc>
          <w:tcPr>
            <w:tcW w:type="dxa" w:w="1247"/>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Ass_⊙</w:t>
            </w:r>
          </w:p>
        </w:tc>
        <w:tc>
          <w:tcPr>
            <w:tcW w:type="dxa" w:w="374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trilinear associator of ⊙</w:t>
            </w:r>
          </w:p>
        </w:tc>
        <w:tc>
          <w:tcPr>
            <w:tcW w:type="dxa" w:w="408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operation ⊙ itself</w:t>
            </w:r>
          </w:p>
        </w:tc>
      </w:tr>
      <w:tr>
        <w:trPr>
          <w:cantSplit/>
        </w:trPr>
        <w:tc>
          <w:tcPr>
            <w:tcW w:type="dxa" w:w="1247"/>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λ</w:t>
            </w:r>
          </w:p>
        </w:tc>
        <w:tc>
          <w:tcPr>
            <w:tcW w:type="dxa" w:w="374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projective-harmonic scalar or operator coordinate</w:t>
            </w:r>
          </w:p>
        </w:tc>
        <w:tc>
          <w:tcPr>
            <w:tcW w:type="dxa" w:w="408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truth probability</w:t>
            </w:r>
          </w:p>
        </w:tc>
      </w:tr>
      <w:tr>
        <w:trPr>
          <w:cantSplit/>
        </w:trPr>
        <w:tc>
          <w:tcPr>
            <w:tcW w:type="dxa" w:w="1247"/>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D</w:t>
            </w:r>
          </w:p>
        </w:tc>
        <w:tc>
          <w:tcPr>
            <w:tcW w:type="dxa" w:w="374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sufficient foundation</w:t>
            </w:r>
          </w:p>
        </w:tc>
        <w:tc>
          <w:tcPr>
            <w:tcW w:type="dxa" w:w="408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Dom</w:t>
            </w:r>
          </w:p>
        </w:tc>
      </w:tr>
    </w:tbl>
    <w:p>
      <w:pPr>
        <w:spacing w:after="40"/>
      </w:pPr>
    </w:p>
    <w:p>
      <w:pPr>
        <w:pStyle w:val="Heading2"/>
        <w:keepNext/>
        <w:keepLines w:val="0"/>
        <w:spacing w:before="160" w:after="80" w:line="240" w:lineRule="auto"/>
      </w:pPr>
      <w:r>
        <w:rPr>
          <w:rFonts w:ascii="DejaVu Sans" w:hAnsi="DejaVu Sans" w:eastAsia="DejaVu Sans"/>
          <w:b/>
          <w:i w:val="0"/>
          <w:color w:val="1F4E78"/>
          <w:sz w:val="25"/>
        </w:rPr>
        <w:t>15.3. Three-Layer Source Passport</w:t>
      </w:r>
    </w:p>
    <w:tbl>
      <w:tblPr>
        <w:tblW w:type="auto" w:w="0"/>
        <w:jc w:val="center"/>
        <w:tblLayout w:type="fixed"/>
        <w:tblLook w:firstColumn="1" w:firstRow="1" w:lastColumn="0" w:lastRow="0" w:noHBand="0" w:noVBand="1" w:val="04A0"/>
      </w:tblPr>
      <w:tblGrid>
        <w:gridCol w:w="5035"/>
        <w:gridCol w:w="5035"/>
      </w:tblGrid>
      <w:tr>
        <w:trPr>
          <w:tblHeader w:val="true"/>
        </w:trPr>
        <w:tc>
          <w:tcPr>
            <w:tcW w:type="dxa" w:w="2268"/>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7"/>
              </w:rPr>
              <w:t>Layer</w:t>
            </w:r>
          </w:p>
        </w:tc>
        <w:tc>
          <w:tcPr>
            <w:tcW w:type="dxa" w:w="6803"/>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7"/>
              </w:rPr>
              <w:t>Required fields</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Bibliographic</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author, title, edition, year, DOI/URL/repository revision</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Mathematical locator</w:t>
            </w:r>
          </w:p>
        </w:tc>
        <w:tc>
          <w:tcPr>
            <w:tcW w:type="dxa" w:w="680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chapter, theorem, equation, page, figure, data path</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KLT-RBD role</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claim-id, imported hypothesis, Dom, D, status, blocker, transformation</w:t>
            </w:r>
          </w:p>
        </w:tc>
      </w:tr>
    </w:tbl>
    <w:p>
      <w:pPr>
        <w:spacing w:after="40"/>
      </w:pPr>
    </w:p>
    <w:p>
      <w:pPr>
        <w:keepNext w:val="0"/>
        <w:keepLines w:val="0"/>
        <w:spacing w:before="0" w:after="100" w:line="259" w:lineRule="auto"/>
      </w:pPr>
      <w:r>
        <w:rPr>
          <w:rFonts w:ascii="DejaVu Serif" w:hAnsi="DejaVu Serif" w:eastAsia="DejaVu Serif"/>
          <w:b w:val="0"/>
          <w:i w:val="0"/>
          <w:sz w:val="21"/>
        </w:rPr>
        <w:t>Rule 15.1. A source reference without an exact mathematical locator cannot support a precise imported formula unless the complete source object is itself the frozen locator. A source card never raises the mathematical status of its claim merely by being complete.</w:t>
      </w:r>
    </w:p>
    <w:p>
      <w:pPr>
        <w:pStyle w:val="Heading2"/>
        <w:keepNext/>
        <w:keepLines w:val="0"/>
        <w:spacing w:before="160" w:after="80" w:line="240" w:lineRule="auto"/>
      </w:pPr>
      <w:r>
        <w:rPr>
          <w:rFonts w:ascii="DejaVu Sans" w:hAnsi="DejaVu Sans" w:eastAsia="DejaVu Sans"/>
          <w:b/>
          <w:i w:val="0"/>
          <w:color w:val="1F4E78"/>
          <w:sz w:val="25"/>
        </w:rPr>
        <w:t>15.4. Selected Bibliography and Prior Art</w:t>
      </w:r>
    </w:p>
    <w:p>
      <w:pPr>
        <w:pStyle w:val="ListBullet"/>
        <w:keepNext w:val="0"/>
        <w:keepLines w:val="0"/>
        <w:spacing w:before="0" w:after="60" w:line="252" w:lineRule="auto"/>
      </w:pPr>
      <w:r>
        <w:rPr>
          <w:rFonts w:ascii="DejaVu Serif" w:hAnsi="DejaVu Serif" w:eastAsia="DejaVu Serif"/>
          <w:b w:val="0"/>
          <w:i w:val="0"/>
          <w:sz w:val="18"/>
        </w:rPr>
        <w:t>Kurpishev, I. B. Monograph 5.0: Kurpishev Logic. Internal project corpus, 2026.</w:t>
      </w:r>
    </w:p>
    <w:p>
      <w:pPr>
        <w:pStyle w:val="ListBullet"/>
        <w:keepNext w:val="0"/>
        <w:keepLines w:val="0"/>
        <w:spacing w:before="0" w:after="60" w:line="252" w:lineRule="auto"/>
      </w:pPr>
      <w:r>
        <w:rPr>
          <w:rFonts w:ascii="DejaVu Serif" w:hAnsi="DejaVu Serif" w:eastAsia="DejaVu Serif"/>
          <w:b w:val="0"/>
          <w:i w:val="0"/>
          <w:sz w:val="18"/>
        </w:rPr>
        <w:t>Kurpishev, I. B. Monograph 5.1: Kurpishev Logic. Internal project corpus, 2026.</w:t>
      </w:r>
    </w:p>
    <w:p>
      <w:pPr>
        <w:pStyle w:val="ListBullet"/>
        <w:keepNext w:val="0"/>
        <w:keepLines w:val="0"/>
        <w:spacing w:before="0" w:after="60" w:line="252" w:lineRule="auto"/>
      </w:pPr>
      <w:r>
        <w:rPr>
          <w:rFonts w:ascii="DejaVu Serif" w:hAnsi="DejaVu Serif" w:eastAsia="DejaVu Serif"/>
          <w:b w:val="0"/>
          <w:i w:val="0"/>
          <w:sz w:val="18"/>
        </w:rPr>
        <w:t>Kurpishev, I. B. Reper-Projective Architecture of Formula Chains: PILOT-01. 2026.</w:t>
      </w:r>
    </w:p>
    <w:p>
      <w:pPr>
        <w:pStyle w:val="ListBullet"/>
        <w:keepNext w:val="0"/>
        <w:keepLines w:val="0"/>
        <w:spacing w:before="0" w:after="60" w:line="252" w:lineRule="auto"/>
      </w:pPr>
      <w:r>
        <w:rPr>
          <w:rFonts w:ascii="DejaVu Serif" w:hAnsi="DejaVu Serif" w:eastAsia="DejaVu Serif"/>
          <w:b w:val="0"/>
          <w:i w:val="0"/>
          <w:sz w:val="18"/>
        </w:rPr>
        <w:t>Kurpishev, I. B. Kurpishev FOS, the Desargues–Kurpishev Theorem, Harmony of Truth, and Extended PN.2. 2026.</w:t>
      </w:r>
    </w:p>
    <w:p>
      <w:pPr>
        <w:pStyle w:val="ListBullet"/>
        <w:keepNext w:val="0"/>
        <w:keepLines w:val="0"/>
        <w:spacing w:before="0" w:after="60" w:line="252" w:lineRule="auto"/>
      </w:pPr>
      <w:r>
        <w:rPr>
          <w:rFonts w:ascii="DejaVu Serif" w:hAnsi="DejaVu Serif" w:eastAsia="DejaVu Serif"/>
          <w:b w:val="0"/>
          <w:i w:val="0"/>
          <w:sz w:val="18"/>
        </w:rPr>
        <w:t>Kurpishev, I. B. Kurpishev’s Theory of Stratified Time: Associator Rigidity and Nonassociative Packet Geometry. 2026.</w:t>
      </w:r>
    </w:p>
    <w:p>
      <w:pPr>
        <w:pStyle w:val="ListBullet"/>
        <w:keepNext w:val="0"/>
        <w:keepLines w:val="0"/>
        <w:spacing w:before="0" w:after="60" w:line="252" w:lineRule="auto"/>
      </w:pPr>
      <w:r>
        <w:rPr>
          <w:rFonts w:ascii="DejaVu Serif" w:hAnsi="DejaVu Serif" w:eastAsia="DejaVu Serif"/>
          <w:b w:val="0"/>
          <w:i w:val="0"/>
          <w:sz w:val="18"/>
        </w:rPr>
        <w:t>Coxeter, H. S. M. Projective Geometry.</w:t>
      </w:r>
    </w:p>
    <w:p>
      <w:pPr>
        <w:pStyle w:val="ListBullet"/>
        <w:keepNext w:val="0"/>
        <w:keepLines w:val="0"/>
        <w:spacing w:before="0" w:after="60" w:line="252" w:lineRule="auto"/>
      </w:pPr>
      <w:r>
        <w:rPr>
          <w:rFonts w:ascii="DejaVu Serif" w:hAnsi="DejaVu Serif" w:eastAsia="DejaVu Serif"/>
          <w:b w:val="0"/>
          <w:i w:val="0"/>
          <w:sz w:val="18"/>
        </w:rPr>
        <w:t>Artin, E. Geometric Algebra.</w:t>
      </w:r>
    </w:p>
    <w:p>
      <w:pPr>
        <w:pStyle w:val="ListBullet"/>
        <w:keepNext w:val="0"/>
        <w:keepLines w:val="0"/>
        <w:spacing w:before="0" w:after="60" w:line="252" w:lineRule="auto"/>
      </w:pPr>
      <w:r>
        <w:rPr>
          <w:rFonts w:ascii="DejaVu Serif" w:hAnsi="DejaVu Serif" w:eastAsia="DejaVu Serif"/>
          <w:b w:val="0"/>
          <w:i w:val="0"/>
          <w:sz w:val="18"/>
        </w:rPr>
        <w:t>Bourbaki, N. Elements of Mathematics.</w:t>
      </w:r>
    </w:p>
    <w:p>
      <w:pPr>
        <w:pStyle w:val="ListBullet"/>
        <w:keepNext w:val="0"/>
        <w:keepLines w:val="0"/>
        <w:spacing w:before="0" w:after="60" w:line="252" w:lineRule="auto"/>
      </w:pPr>
      <w:r>
        <w:rPr>
          <w:rFonts w:ascii="DejaVu Serif" w:hAnsi="DejaVu Serif" w:eastAsia="DejaVu Serif"/>
          <w:b w:val="0"/>
          <w:i w:val="0"/>
          <w:sz w:val="18"/>
        </w:rPr>
        <w:t>Goresky, M.; MacPherson, R. Stratified Morse Theory.</w:t>
      </w:r>
    </w:p>
    <w:p>
      <w:pPr>
        <w:pStyle w:val="ListBullet"/>
        <w:keepNext w:val="0"/>
        <w:keepLines w:val="0"/>
        <w:spacing w:before="0" w:after="60" w:line="252" w:lineRule="auto"/>
      </w:pPr>
      <w:r>
        <w:rPr>
          <w:rFonts w:ascii="DejaVu Serif" w:hAnsi="DejaVu Serif" w:eastAsia="DejaVu Serif"/>
          <w:b w:val="0"/>
          <w:i w:val="0"/>
          <w:sz w:val="18"/>
        </w:rPr>
        <w:t>Manetti, M. Lectures on Deformations of Complex Manifolds.</w:t>
      </w:r>
    </w:p>
    <w:p>
      <w:pPr>
        <w:pStyle w:val="ListBullet"/>
        <w:keepNext w:val="0"/>
        <w:keepLines w:val="0"/>
        <w:spacing w:before="0" w:after="60" w:line="252" w:lineRule="auto"/>
      </w:pPr>
      <w:r>
        <w:rPr>
          <w:rFonts w:ascii="DejaVu Serif" w:hAnsi="DejaVu Serif" w:eastAsia="DejaVu Serif"/>
          <w:b w:val="0"/>
          <w:i w:val="0"/>
          <w:sz w:val="18"/>
        </w:rPr>
        <w:t>Mandelkern, M. Constructive Projective Geometry, arXiv:2404.16979.</w:t>
      </w:r>
    </w:p>
    <w:p>
      <w:pPr>
        <w:pStyle w:val="ListBullet"/>
        <w:keepNext w:val="0"/>
        <w:keepLines w:val="0"/>
        <w:spacing w:before="0" w:after="60" w:line="252" w:lineRule="auto"/>
      </w:pPr>
      <w:r>
        <w:rPr>
          <w:rFonts w:ascii="DejaVu Serif" w:hAnsi="DejaVu Serif" w:eastAsia="DejaVu Serif"/>
          <w:b w:val="0"/>
          <w:i w:val="0"/>
          <w:sz w:val="18"/>
        </w:rPr>
        <w:t>Stacks Project, Projective Space, Tag 01ND.</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A61C1C"/>
                <w:sz w:val="18"/>
              </w:rPr>
              <w:t xml:space="preserve">NOVELTY BOUNDARY. </w:t>
            </w:r>
            <w:r>
              <w:rPr>
                <w:rFonts w:ascii="DejaVu Serif" w:hAnsi="DejaVu Serif" w:eastAsia="DejaVu Serif"/>
                <w:b w:val="0"/>
                <w:i w:val="0"/>
                <w:sz w:val="18"/>
              </w:rPr>
              <w:t>The glossary and bibliography support precise attribution. They do not prove absolute worldwide novelty. Statements of priority require a separate bibliographic and patent search with a declared scope.</w:t>
            </w:r>
          </w:p>
        </w:tc>
      </w:tr>
    </w:tbl>
    <w:p>
      <w:pPr>
        <w:spacing w:after="20"/>
      </w:pPr>
    </w:p>
    <w:p>
      <w:r>
        <w:br w:type="page"/>
      </w:r>
    </w:p>
    <w:p>
      <w:pPr>
        <w:pStyle w:val="Heading1"/>
        <w:keepNext/>
        <w:keepLines w:val="0"/>
        <w:spacing w:before="200" w:after="80" w:line="240" w:lineRule="auto"/>
      </w:pPr>
      <w:bookmarkStart w:id="1015" w:name="T1_CH_16"/>
      <w:r>
        <w:rPr>
          <w:rFonts w:ascii="DejaVu Sans" w:hAnsi="DejaVu Sans" w:eastAsia="DejaVu Sans"/>
          <w:b/>
          <w:i w:val="0"/>
          <w:color w:val="1F4E78"/>
          <w:sz w:val="32"/>
        </w:rPr>
        <w:t>Chapter 16. Historical-Mathematical Prior Art and the Boundary of Authorial Contribution</w:t>
      </w:r>
      <w:bookmarkEnd w:id="1015"/>
    </w:p>
    <w:p>
      <w:pPr>
        <w:keepNext w:val="0"/>
        <w:keepLines w:val="0"/>
        <w:spacing w:before="0" w:after="120" w:line="259" w:lineRule="auto"/>
      </w:pPr>
      <w:r>
        <w:rPr>
          <w:rFonts w:ascii="DejaVu Serif" w:hAnsi="DejaVu Serif" w:eastAsia="DejaVu Serif"/>
          <w:b w:val="0"/>
          <w:i/>
          <w:sz w:val="18"/>
        </w:rPr>
        <w:t>Russian source locator: pp. 65–72</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The chapter distinguishes inherited mathematics from the new typed synthesis. Cross-ratio, Desargues, polarity, projectivisation, Hodge theory, and hyperbolic/Lorentzian formulae are classical. The authorial contribution lies in how C@C, Reper roles, D/Dom gates, NAPG, FOS, and KLT-RBD are assembled and audited.</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989320" cy="3018617"/>
            <wp:docPr id="19" name="Picture 19"/>
            <wp:cNvGraphicFramePr>
              <a:graphicFrameLocks noChangeAspect="1"/>
            </wp:cNvGraphicFramePr>
            <a:graphic>
              <a:graphicData uri="http://schemas.openxmlformats.org/drawingml/2006/picture">
                <pic:pic>
                  <pic:nvPicPr>
                    <pic:cNvPr id="0" name="fig16_prior.png"/>
                    <pic:cNvPicPr/>
                  </pic:nvPicPr>
                  <pic:blipFill>
                    <a:blip r:embed="rId31"/>
                    <a:stretch>
                      <a:fillRect/>
                    </a:stretch>
                  </pic:blipFill>
                  <pic:spPr>
                    <a:xfrm>
                      <a:off x="0" y="0"/>
                      <a:ext cx="5989320" cy="3018617"/>
                    </a:xfrm>
                    <a:prstGeom prst="rect"/>
                  </pic:spPr>
                </pic:pic>
              </a:graphicData>
            </a:graphic>
          </wp:inline>
        </w:drawing>
      </w:r>
    </w:p>
    <w:p>
      <w:pPr>
        <w:keepNext w:val="0"/>
        <w:keepLines/>
        <w:spacing w:before="0" w:after="140" w:line="240" w:lineRule="auto"/>
        <w:jc w:val="center"/>
      </w:pPr>
      <w:bookmarkStart w:id="1076" w:name="T1_FIG_018"/>
      <w:r>
        <w:rPr>
          <w:rFonts w:ascii="DejaVu Serif" w:hAnsi="DejaVu Serif" w:eastAsia="DejaVu Serif"/>
          <w:b w:val="0"/>
          <w:i/>
          <w:color w:val="666666"/>
          <w:sz w:val="17"/>
        </w:rPr>
        <w:t>Figure 16.1. Prior-art classes and the authorial synthesis boundary.</w:t>
      </w:r>
      <w:bookmarkEnd w:id="1076"/>
    </w:p>
    <w:p>
      <w:pPr>
        <w:pStyle w:val="Heading2"/>
        <w:keepNext/>
        <w:keepLines w:val="0"/>
        <w:spacing w:before="160" w:after="80" w:line="240" w:lineRule="auto"/>
      </w:pPr>
      <w:r>
        <w:rPr>
          <w:rFonts w:ascii="DejaVu Sans" w:hAnsi="DejaVu Sans" w:eastAsia="DejaVu Sans"/>
          <w:b/>
          <w:i w:val="0"/>
          <w:color w:val="1F4E78"/>
          <w:sz w:val="25"/>
        </w:rPr>
        <w:t>16.1. From Perspective to Projective Invariance</w:t>
      </w:r>
    </w:p>
    <w:p>
      <w:pPr>
        <w:keepNext w:val="0"/>
        <w:keepLines w:val="0"/>
        <w:spacing w:before="0" w:after="100" w:line="259" w:lineRule="auto"/>
      </w:pPr>
      <w:r>
        <w:rPr>
          <w:rFonts w:ascii="DejaVu Serif" w:hAnsi="DejaVu Serif" w:eastAsia="DejaVu Serif"/>
          <w:b w:val="0"/>
          <w:i w:val="0"/>
          <w:sz w:val="21"/>
        </w:rPr>
        <w:t>Projective geometry arose from the mathematical treatment of perspective. Desargues made central projection a structural relation preserving incidence and perspectivity. Poncelet, Chasles, Steiner, and von Staudt later separated projective geometry from metric intuition. For Volume I the central lesson is that a relation should survive changes of coordinates, scale, and viewpoint.</w:t>
      </w:r>
    </w:p>
    <w:p>
      <w:pPr>
        <w:keepNext w:val="0"/>
        <w:keepLines w:val="0"/>
        <w:spacing w:before="0" w:after="100" w:line="259" w:lineRule="auto"/>
      </w:pPr>
      <w:r>
        <w:rPr>
          <w:rFonts w:ascii="DejaVu Serif" w:hAnsi="DejaVu Serif" w:eastAsia="DejaVu Serif"/>
          <w:b w:val="0"/>
          <w:i w:val="0"/>
          <w:sz w:val="21"/>
        </w:rPr>
        <w:t>The cross-ratio and harmonic quadruple belong to the classical core. The project does not claim their invention. The authorial layer consists in choosing the Reper quadruple (R,I,U;D), assigning semantic roles, imposing the D/Dom barrier, and using a projective invariant as one component of an evidential audit.</w:t>
      </w:r>
    </w:p>
    <w:p>
      <w:pPr>
        <w:pStyle w:val="Heading2"/>
        <w:keepNext/>
        <w:keepLines w:val="0"/>
        <w:spacing w:before="160" w:after="80" w:line="240" w:lineRule="auto"/>
      </w:pPr>
      <w:r>
        <w:rPr>
          <w:rFonts w:ascii="DejaVu Sans" w:hAnsi="DejaVu Sans" w:eastAsia="DejaVu Sans"/>
          <w:b/>
          <w:i w:val="0"/>
          <w:color w:val="1F4E78"/>
          <w:sz w:val="25"/>
        </w:rPr>
        <w:t>16.2. Desargues, Coordinatisation, and Applicability</w:t>
      </w:r>
    </w:p>
    <w:p>
      <w:pPr>
        <w:keepNext w:val="0"/>
        <w:keepLines w:val="0"/>
        <w:spacing w:before="0" w:after="100" w:line="259" w:lineRule="auto"/>
      </w:pPr>
      <w:r>
        <w:rPr>
          <w:rFonts w:ascii="DejaVu Serif" w:hAnsi="DejaVu Serif" w:eastAsia="DejaVu Serif"/>
          <w:b w:val="0"/>
          <w:i w:val="0"/>
          <w:sz w:val="21"/>
        </w:rPr>
        <w:t>The classical Desargues theorem holds in projective spaces of dimension at least three. In abstract projective planes it is an additional property connected with coordinatisation over a division ring; non-Desarguesian planes exist. Therefore any use of Desargues in an abstract plane must declare a Desargues axiom, an embedding into a three-dimensional projective space, or a coordinate model.</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1474"/>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Layer</w:t>
            </w:r>
          </w:p>
        </w:tc>
        <w:tc>
          <w:tcPr>
            <w:tcW w:type="dxa" w:w="3515"/>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Classical prior art</w:t>
            </w:r>
          </w:p>
        </w:tc>
        <w:tc>
          <w:tcPr>
            <w:tcW w:type="dxa" w:w="4082"/>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Authorial layer in Volume I</w:t>
            </w:r>
          </w:p>
        </w:tc>
      </w:tr>
      <w:tr>
        <w:trPr>
          <w:cantSplit/>
        </w:trPr>
        <w:tc>
          <w:tcPr>
            <w:tcW w:type="dxa" w:w="147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Incidence</w:t>
            </w:r>
          </w:p>
        </w:tc>
        <w:tc>
          <w:tcPr>
            <w:tcW w:type="dxa" w:w="351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projective points, lines, planes</w:t>
            </w:r>
          </w:p>
        </w:tc>
        <w:tc>
          <w:tcPr>
            <w:tcW w:type="dxa" w:w="408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C@C as a typed object with state</w:t>
            </w:r>
          </w:p>
        </w:tc>
      </w:tr>
      <w:tr>
        <w:trPr>
          <w:cantSplit/>
        </w:trPr>
        <w:tc>
          <w:tcPr>
            <w:tcW w:type="dxa" w:w="147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Quadruple</w:t>
            </w:r>
          </w:p>
        </w:tc>
        <w:tc>
          <w:tcPr>
            <w:tcW w:type="dxa" w:w="351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cross-ratio and harmonic quadruple</w:t>
            </w:r>
          </w:p>
        </w:tc>
        <w:tc>
          <w:tcPr>
            <w:tcW w:type="dxa" w:w="408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Reper(R,I,U;D) and semantic roles</w:t>
            </w:r>
          </w:p>
        </w:tc>
      </w:tr>
      <w:tr>
        <w:trPr>
          <w:cantSplit/>
        </w:trPr>
        <w:tc>
          <w:tcPr>
            <w:tcW w:type="dxa" w:w="147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Desargues</w:t>
            </w:r>
          </w:p>
        </w:tc>
        <w:tc>
          <w:tcPr>
            <w:tcW w:type="dxa" w:w="351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perspectivity from a point and from a line</w:t>
            </w:r>
          </w:p>
        </w:tc>
        <w:tc>
          <w:tcPr>
            <w:tcW w:type="dxa" w:w="408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bridge between Desargues axis, polar centres, and D/Dom</w:t>
            </w:r>
          </w:p>
        </w:tc>
      </w:tr>
      <w:tr>
        <w:trPr>
          <w:cantSplit/>
        </w:trPr>
        <w:tc>
          <w:tcPr>
            <w:tcW w:type="dxa" w:w="147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Polarity</w:t>
            </w:r>
          </w:p>
        </w:tc>
        <w:tc>
          <w:tcPr>
            <w:tcW w:type="dxa" w:w="351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pole and polar of a nondegenerate conic</w:t>
            </w:r>
          </w:p>
        </w:tc>
        <w:tc>
          <w:tcPr>
            <w:tcW w:type="dxa" w:w="408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central axis as a Reper evidence-closing axis</w:t>
            </w:r>
          </w:p>
        </w:tc>
      </w:tr>
      <w:tr>
        <w:trPr>
          <w:cantSplit/>
        </w:trPr>
        <w:tc>
          <w:tcPr>
            <w:tcW w:type="dxa" w:w="147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Proof</w:t>
            </w:r>
          </w:p>
        </w:tc>
        <w:tc>
          <w:tcPr>
            <w:tcW w:type="dxa" w:w="351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axiomatic, coordinate, or synthetic deduction</w:t>
            </w:r>
          </w:p>
        </w:tc>
        <w:tc>
          <w:tcPr>
            <w:tcW w:type="dxa" w:w="408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proof status, gap nodes, RBD passport</w:t>
            </w:r>
          </w:p>
        </w:tc>
      </w:tr>
    </w:tbl>
    <w:p>
      <w:pPr>
        <w:spacing w:after="40"/>
      </w:pPr>
    </w:p>
    <w:p>
      <w:pPr>
        <w:pStyle w:val="Heading2"/>
        <w:keepNext/>
        <w:keepLines w:val="0"/>
        <w:spacing w:before="160" w:after="80" w:line="240" w:lineRule="auto"/>
      </w:pPr>
      <w:r>
        <w:rPr>
          <w:rFonts w:ascii="DejaVu Sans" w:hAnsi="DejaVu Sans" w:eastAsia="DejaVu Sans"/>
          <w:b/>
          <w:i w:val="0"/>
          <w:color w:val="1F4E78"/>
          <w:sz w:val="25"/>
        </w:rPr>
        <w:t>16.3. Erlangen Programme and Packet Morphisms</w:t>
      </w:r>
    </w:p>
    <w:p>
      <w:pPr>
        <w:keepNext w:val="0"/>
        <w:keepLines w:val="0"/>
        <w:spacing w:before="0" w:after="100" w:line="259" w:lineRule="auto"/>
      </w:pPr>
      <w:r>
        <w:rPr>
          <w:rFonts w:ascii="DejaVu Serif" w:hAnsi="DejaVu Serif" w:eastAsia="DejaVu Serif"/>
          <w:b w:val="0"/>
          <w:i w:val="0"/>
          <w:sz w:val="21"/>
        </w:rPr>
        <w:t>Klein’s Erlangen Programme views geometry as the study of invariants under transformation groups. Packet Reper logic inherits this principle but adds preservation of state, domain, foundation, and evidence status. A packet morphism must therefore state which parts of the evidence passport are preserved, transformed, weakened, or lost.</w:t>
      </w:r>
    </w:p>
    <w:p>
      <w:pPr>
        <w:pStyle w:val="Heading2"/>
        <w:keepNext/>
        <w:keepLines w:val="0"/>
        <w:spacing w:before="160" w:after="80" w:line="240" w:lineRule="auto"/>
      </w:pPr>
      <w:r>
        <w:rPr>
          <w:rFonts w:ascii="DejaVu Sans" w:hAnsi="DejaVu Sans" w:eastAsia="DejaVu Sans"/>
          <w:b/>
          <w:i w:val="0"/>
          <w:color w:val="1F4E78"/>
          <w:sz w:val="25"/>
        </w:rPr>
        <w:t>16.4. Classical Visual and Dynamical Examples</w:t>
      </w:r>
    </w:p>
    <w:tbl>
      <w:tblPr>
        <w:tblW w:type="auto" w:w="0"/>
        <w:jc w:val="center"/>
        <w:tblLayout w:type="fixed"/>
        <w:tblLook w:firstColumn="1" w:firstRow="1" w:lastColumn="0" w:lastRow="0" w:noHBand="0" w:noVBand="1" w:val="04A0"/>
      </w:tblPr>
      <w:tblGrid>
        <w:gridCol w:w="2517"/>
        <w:gridCol w:w="2517"/>
        <w:gridCol w:w="2517"/>
        <w:gridCol w:w="2517"/>
      </w:tblGrid>
      <w:tr>
        <w:trPr>
          <w:tblHeader w:val="true"/>
        </w:trPr>
        <w:tc>
          <w:tcPr>
            <w:tcW w:type="dxa" w:w="1701"/>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5"/>
              </w:rPr>
              <w:t>Source visual</w:t>
            </w:r>
          </w:p>
        </w:tc>
        <w:tc>
          <w:tcPr>
            <w:tcW w:type="dxa" w:w="2551"/>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5"/>
              </w:rPr>
              <w:t>Classical formula</w:t>
            </w:r>
          </w:p>
        </w:tc>
        <w:tc>
          <w:tcPr>
            <w:tcW w:type="dxa" w:w="3118"/>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5"/>
              </w:rPr>
              <w:t>Correct interpretation</w:t>
            </w:r>
          </w:p>
        </w:tc>
        <w:tc>
          <w:tcPr>
            <w:tcW w:type="dxa" w:w="1701"/>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5"/>
              </w:rPr>
              <w:t>Forbidden inference</w:t>
            </w:r>
          </w:p>
        </w:tc>
      </w:tr>
      <w:tr>
        <w:trPr>
          <w:cantSplit/>
        </w:trPr>
        <w:tc>
          <w:tcPr>
            <w:tcW w:type="dxa" w:w="1701"/>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5"/>
              </w:rPr>
              <w:t>Angle of parallelism</w:t>
            </w:r>
          </w:p>
        </w:tc>
        <w:tc>
          <w:tcPr>
            <w:tcW w:type="dxa" w:w="255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sin Π(d)=sech d; tan(Π/2)=e^(−d)</w:t>
            </w:r>
          </w:p>
        </w:tc>
        <w:tc>
          <w:tcPr>
            <w:tcW w:type="dxa" w:w="311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hyperbolic K=−1 relation</w:t>
            </w:r>
          </w:p>
        </w:tc>
        <w:tc>
          <w:tcPr>
            <w:tcW w:type="dxa" w:w="170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proof of a Reper model</w:t>
            </w:r>
          </w:p>
        </w:tc>
      </w:tr>
      <w:tr>
        <w:trPr>
          <w:cantSplit/>
        </w:trPr>
        <w:tc>
          <w:tcPr>
            <w:tcW w:type="dxa" w:w="1701"/>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5"/>
              </w:rPr>
              <w:t>Poincaré disk circumference</w:t>
            </w:r>
          </w:p>
        </w:tc>
        <w:tc>
          <w:tcPr>
            <w:tcW w:type="dxa" w:w="255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L(r)=2πsinh r</w:t>
            </w:r>
          </w:p>
        </w:tc>
        <w:tc>
          <w:tcPr>
            <w:tcW w:type="dxa" w:w="311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hyperbolic growth vs 2πr</w:t>
            </w:r>
          </w:p>
        </w:tc>
        <w:tc>
          <w:tcPr>
            <w:tcW w:type="dxa" w:w="170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boundary is finite distance</w:t>
            </w:r>
          </w:p>
        </w:tc>
      </w:tr>
      <w:tr>
        <w:trPr>
          <w:cantSplit/>
        </w:trPr>
        <w:tc>
          <w:tcPr>
            <w:tcW w:type="dxa" w:w="1701"/>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5"/>
              </w:rPr>
              <w:t>Circle / hyperbola</w:t>
            </w:r>
          </w:p>
        </w:tc>
        <w:tc>
          <w:tcPr>
            <w:tcW w:type="dxa" w:w="255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cos²θ+sin²θ=1; cosh²η−sinh²η=1</w:t>
            </w:r>
          </w:p>
        </w:tc>
        <w:tc>
          <w:tcPr>
            <w:tcW w:type="dxa" w:w="311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change of quadratic-form signature</w:t>
            </w:r>
          </w:p>
        </w:tc>
        <w:tc>
          <w:tcPr>
            <w:tcW w:type="dxa" w:w="170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literal sin↔sinh identity</w:t>
            </w:r>
          </w:p>
        </w:tc>
      </w:tr>
      <w:tr>
        <w:trPr>
          <w:cantSplit/>
        </w:trPr>
        <w:tc>
          <w:tcPr>
            <w:tcW w:type="dxa" w:w="1701"/>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5"/>
              </w:rPr>
              <w:t>ODE sign</w:t>
            </w:r>
          </w:p>
        </w:tc>
        <w:tc>
          <w:tcPr>
            <w:tcW w:type="dxa" w:w="255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y″=−y gives cos t; y″=+y gives cosh t</w:t>
            </w:r>
          </w:p>
        </w:tc>
        <w:tc>
          <w:tcPr>
            <w:tcW w:type="dxa" w:w="311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oscillatory vs hyperbolic regime</w:t>
            </w:r>
          </w:p>
        </w:tc>
        <w:tc>
          <w:tcPr>
            <w:tcW w:type="dxa" w:w="170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all hyperbolic geometry grows exponentially</w:t>
            </w:r>
          </w:p>
        </w:tc>
      </w:tr>
      <w:tr>
        <w:trPr>
          <w:cantSplit/>
        </w:trPr>
        <w:tc>
          <w:tcPr>
            <w:tcW w:type="dxa" w:w="1701"/>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5"/>
              </w:rPr>
              <w:t>Lorentz boost</w:t>
            </w:r>
          </w:p>
        </w:tc>
        <w:tc>
          <w:tcPr>
            <w:tcW w:type="dxa" w:w="255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t′=t coshη−x sinhη; x′=x coshη−t sinhη</w:t>
            </w:r>
          </w:p>
        </w:tc>
        <w:tc>
          <w:tcPr>
            <w:tcW w:type="dxa" w:w="311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hyperbolic rotation preserving t²−x²</w:t>
            </w:r>
          </w:p>
        </w:tc>
        <w:tc>
          <w:tcPr>
            <w:tcW w:type="dxa" w:w="170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ordinary Euclidean rotation</w:t>
            </w:r>
          </w:p>
        </w:tc>
      </w:tr>
      <w:tr>
        <w:trPr>
          <w:cantSplit/>
        </w:trPr>
        <w:tc>
          <w:tcPr>
            <w:tcW w:type="dxa" w:w="1701"/>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5"/>
              </w:rPr>
              <w:t>Rapidity</w:t>
            </w:r>
          </w:p>
        </w:tc>
        <w:tc>
          <w:tcPr>
            <w:tcW w:type="dxa" w:w="255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v=c tanhη</w:t>
            </w:r>
          </w:p>
        </w:tc>
        <w:tc>
          <w:tcPr>
            <w:tcW w:type="dxa" w:w="311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linear addition of rapidities</w:t>
            </w:r>
          </w:p>
        </w:tc>
        <w:tc>
          <w:tcPr>
            <w:tcW w:type="dxa" w:w="170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confirmation of physical PN.2</w:t>
            </w:r>
          </w:p>
        </w:tc>
      </w:tr>
    </w:tbl>
    <w:p>
      <w:pPr>
        <w:spacing w:after="40"/>
      </w:pPr>
    </w:p>
    <w:p>
      <w:pPr>
        <w:pStyle w:val="Heading2"/>
        <w:keepNext/>
        <w:keepLines w:val="0"/>
        <w:spacing w:before="160" w:after="80" w:line="240" w:lineRule="auto"/>
      </w:pPr>
      <w:r>
        <w:rPr>
          <w:rFonts w:ascii="DejaVu Sans" w:hAnsi="DejaVu Sans" w:eastAsia="DejaVu Sans"/>
          <w:b/>
          <w:i w:val="0"/>
          <w:color w:val="1F4E78"/>
          <w:sz w:val="25"/>
        </w:rPr>
        <w:t>16.5. Classification of Construction Origin</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794"/>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Code</w:t>
            </w:r>
          </w:p>
        </w:tc>
        <w:tc>
          <w:tcPr>
            <w:tcW w:type="dxa" w:w="2835"/>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Meaning</w:t>
            </w:r>
          </w:p>
        </w:tc>
        <w:tc>
          <w:tcPr>
            <w:tcW w:type="dxa" w:w="5443"/>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Required wording</w:t>
            </w:r>
          </w:p>
        </w:tc>
      </w:tr>
      <w:tr>
        <w:trPr>
          <w:cantSplit/>
        </w:trPr>
        <w:tc>
          <w:tcPr>
            <w:tcW w:type="dxa" w:w="79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CL</w:t>
            </w:r>
          </w:p>
        </w:tc>
        <w:tc>
          <w:tcPr>
            <w:tcW w:type="dxa" w:w="283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classical fact</w:t>
            </w:r>
          </w:p>
        </w:tc>
        <w:tc>
          <w:tcPr>
            <w:tcW w:type="dxa" w:w="544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attribute source and state hypotheses</w:t>
            </w:r>
          </w:p>
        </w:tc>
      </w:tr>
      <w:tr>
        <w:trPr>
          <w:cantSplit/>
        </w:trPr>
        <w:tc>
          <w:tcPr>
            <w:tcW w:type="dxa" w:w="79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AD</w:t>
            </w:r>
          </w:p>
        </w:tc>
        <w:tc>
          <w:tcPr>
            <w:tcW w:type="dxa" w:w="283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authorial definition</w:t>
            </w:r>
          </w:p>
        </w:tc>
        <w:tc>
          <w:tcPr>
            <w:tcW w:type="dxa" w:w="544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state exact carrier and semantic role</w:t>
            </w:r>
          </w:p>
        </w:tc>
      </w:tr>
      <w:tr>
        <w:trPr>
          <w:cantSplit/>
        </w:trPr>
        <w:tc>
          <w:tcPr>
            <w:tcW w:type="dxa" w:w="79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IT</w:t>
            </w:r>
          </w:p>
        </w:tc>
        <w:tc>
          <w:tcPr>
            <w:tcW w:type="dxa" w:w="283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internal theorem inside AD</w:t>
            </w:r>
          </w:p>
        </w:tc>
        <w:tc>
          <w:tcPr>
            <w:tcW w:type="dxa" w:w="544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prove within declared authorial model</w:t>
            </w:r>
          </w:p>
        </w:tc>
      </w:tr>
      <w:tr>
        <w:trPr>
          <w:cantSplit/>
        </w:trPr>
        <w:tc>
          <w:tcPr>
            <w:tcW w:type="dxa" w:w="79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CT</w:t>
            </w:r>
          </w:p>
        </w:tc>
        <w:tc>
          <w:tcPr>
            <w:tcW w:type="dxa" w:w="283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conditional theorem</w:t>
            </w:r>
          </w:p>
        </w:tc>
        <w:tc>
          <w:tcPr>
            <w:tcW w:type="dxa" w:w="544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list bridge hypotheses and blockers</w:t>
            </w:r>
          </w:p>
        </w:tc>
      </w:tr>
      <w:tr>
        <w:trPr>
          <w:cantSplit/>
        </w:trPr>
        <w:tc>
          <w:tcPr>
            <w:tcW w:type="dxa" w:w="79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OP</w:t>
            </w:r>
          </w:p>
        </w:tc>
        <w:tc>
          <w:tcPr>
            <w:tcW w:type="dxa" w:w="283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open programme</w:t>
            </w:r>
          </w:p>
        </w:tc>
        <w:tc>
          <w:tcPr>
            <w:tcW w:type="dxa" w:w="544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do not present as completed result</w:t>
            </w:r>
          </w:p>
        </w:tc>
      </w:tr>
      <w:tr>
        <w:trPr>
          <w:cantSplit/>
        </w:trPr>
        <w:tc>
          <w:tcPr>
            <w:tcW w:type="dxa" w:w="79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EMP</w:t>
            </w:r>
          </w:p>
        </w:tc>
        <w:tc>
          <w:tcPr>
            <w:tcW w:type="dxa" w:w="283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empirical claim</w:t>
            </w:r>
          </w:p>
        </w:tc>
        <w:tc>
          <w:tcPr>
            <w:tcW w:type="dxa" w:w="544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require data, protocol, uncertainty, and independent test</w:t>
            </w:r>
          </w:p>
        </w:tc>
      </w:tr>
    </w:tbl>
    <w:p>
      <w:pPr>
        <w:spacing w:after="40"/>
      </w:pPr>
    </w:p>
    <w:p>
      <w:pPr>
        <w:pStyle w:val="Heading2"/>
        <w:keepNext/>
        <w:keepLines w:val="0"/>
        <w:spacing w:before="160" w:after="80" w:line="240" w:lineRule="auto"/>
      </w:pPr>
      <w:r>
        <w:rPr>
          <w:rFonts w:ascii="DejaVu Sans" w:hAnsi="DejaVu Sans" w:eastAsia="DejaVu Sans"/>
          <w:b/>
          <w:i w:val="0"/>
          <w:color w:val="1F4E78"/>
          <w:sz w:val="25"/>
        </w:rPr>
        <w:t>16.6. Classical Core and Authorial Assembly</w:t>
      </w:r>
    </w:p>
    <w:p>
      <w:pPr>
        <w:keepNext w:val="0"/>
        <w:keepLines w:val="0"/>
        <w:spacing w:before="0" w:after="100" w:line="259" w:lineRule="auto"/>
      </w:pPr>
      <w:r>
        <w:rPr>
          <w:rFonts w:ascii="DejaVu Serif" w:hAnsi="DejaVu Serif" w:eastAsia="DejaVu Serif"/>
          <w:b w:val="0"/>
          <w:i w:val="0"/>
          <w:sz w:val="21"/>
        </w:rPr>
        <w:t>Class CL includes projective planes, Desargues in admissible models, polarity of a nondegenerate conic, cross-ratio and PGL₂ invariance, inverse limits, bilinear nonassociative algebras, quotient spaces, Grassmannians, and the Fano plane.</w:t>
      </w:r>
    </w:p>
    <w:p>
      <w:pPr>
        <w:keepNext w:val="0"/>
        <w:keepLines w:val="0"/>
        <w:spacing w:before="0" w:after="100" w:line="259" w:lineRule="auto"/>
      </w:pPr>
      <w:r>
        <w:rPr>
          <w:rFonts w:ascii="DejaVu Serif" w:hAnsi="DejaVu Serif" w:eastAsia="DejaVu Serif"/>
          <w:b w:val="0"/>
          <w:i w:val="0"/>
          <w:sz w:val="21"/>
        </w:rPr>
        <w:t>Class AD includes the semantic role distribution Reper=(R,I,U;D), the separation of D and Dom as evidence gates, C@C as the project’s minimal object, the KLT-RBD passport architecture, the authorial R⋆R object, FOS reduction, and PN.2 in its fixed packet formulation.</w:t>
      </w:r>
    </w:p>
    <w:p>
      <w:pPr>
        <w:keepNext w:val="0"/>
        <w:keepLines w:val="0"/>
        <w:spacing w:before="0" w:after="100" w:line="259" w:lineRule="auto"/>
      </w:pPr>
      <w:r>
        <w:rPr>
          <w:rFonts w:ascii="DejaVu Serif" w:hAnsi="DejaVu Serif" w:eastAsia="DejaVu Serif"/>
          <w:b w:val="0"/>
          <w:i w:val="0"/>
          <w:sz w:val="21"/>
        </w:rPr>
        <w:t>Proposition 16.1 (inheritance boundary) [PROP]. If an authorial construction uses a classical theorem T, it inherits the conclusion of T only when every hypothesis of T is verified in the authorial Dom. New semantics assigned to the symbols do not transfer the conclusion automatically.</w:t>
      </w:r>
    </w:p>
    <w:p>
      <w:pPr>
        <w:keepNext w:val="0"/>
        <w:keepLines w:val="0"/>
        <w:spacing w:before="0" w:after="100" w:line="259" w:lineRule="auto"/>
      </w:pPr>
      <w:r>
        <w:rPr>
          <w:rFonts w:ascii="DejaVu Serif" w:hAnsi="DejaVu Serif" w:eastAsia="DejaVu Serif"/>
          <w:b w:val="0"/>
          <w:i w:val="0"/>
          <w:sz w:val="21"/>
        </w:rPr>
        <w:t>Proof. A theorem is an implication H⇒C. Without verification of H in the new interpretation, modus ponens is unavailable.</w:t>
      </w:r>
    </w:p>
    <w:p>
      <w:pPr>
        <w:pStyle w:val="Heading2"/>
        <w:keepNext/>
        <w:keepLines w:val="0"/>
        <w:spacing w:before="160" w:after="80" w:line="240" w:lineRule="auto"/>
      </w:pPr>
      <w:r>
        <w:rPr>
          <w:rFonts w:ascii="DejaVu Sans" w:hAnsi="DejaVu Sans" w:eastAsia="DejaVu Sans"/>
          <w:b/>
          <w:i w:val="0"/>
          <w:color w:val="1F4E78"/>
          <w:sz w:val="25"/>
        </w:rPr>
        <w:t>16.7. Criterion for Novelty Statements</w:t>
      </w:r>
    </w:p>
    <w:p>
      <w:pPr>
        <w:keepNext w:val="0"/>
        <w:keepLines w:val="0"/>
        <w:spacing w:before="0" w:after="100" w:line="259" w:lineRule="auto"/>
      </w:pPr>
      <w:r>
        <w:rPr>
          <w:rFonts w:ascii="DejaVu Serif" w:hAnsi="DejaVu Serif" w:eastAsia="DejaVu Serif"/>
          <w:b w:val="0"/>
          <w:i w:val="0"/>
          <w:sz w:val="21"/>
        </w:rPr>
        <w:t>Novelty is formulated relative to a specific combination of carrier, morphisms, algorithm, gates, and proved result. A bibliographic search can support a priority statement but is not a mathematical proof and cannot guarantee absolute worldwide novelty.</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A61C1C"/>
                <w:sz w:val="18"/>
              </w:rPr>
              <w:t xml:space="preserve">APPROVED WORDING. </w:t>
            </w:r>
            <w:r>
              <w:rPr>
                <w:rFonts w:ascii="DejaVu Serif" w:hAnsi="DejaVu Serif" w:eastAsia="DejaVu Serif"/>
                <w:b w:val="0"/>
                <w:i w:val="0"/>
                <w:sz w:val="18"/>
              </w:rPr>
              <w:t>“The authorial contribution consists in …” is admissible when followed by the exact typed construction. “For the first time in the world” requires a separate exhaustive patent and bibliographic report and remains outside the mathematical proof of Volume I.</w:t>
            </w:r>
          </w:p>
        </w:tc>
      </w:tr>
    </w:tbl>
    <w:p>
      <w:pPr>
        <w:spacing w:after="20"/>
      </w:pPr>
    </w:p>
    <w:p>
      <w:pPr>
        <w:pStyle w:val="Heading2"/>
        <w:keepNext/>
        <w:keepLines w:val="0"/>
        <w:spacing w:before="160" w:after="80" w:line="240" w:lineRule="auto"/>
      </w:pPr>
      <w:r>
        <w:rPr>
          <w:rFonts w:ascii="DejaVu Sans" w:hAnsi="DejaVu Sans" w:eastAsia="DejaVu Sans"/>
          <w:b/>
          <w:i w:val="0"/>
          <w:color w:val="1F4E78"/>
          <w:sz w:val="25"/>
        </w:rPr>
        <w:t>16.8. External Operator Cross-Ratio Boundary</w:t>
      </w:r>
    </w:p>
    <w:p>
      <w:pPr>
        <w:keepNext w:val="0"/>
        <w:keepLines w:val="0"/>
        <w:spacing w:before="0" w:after="100" w:line="259" w:lineRule="auto"/>
      </w:pPr>
      <w:r>
        <w:rPr>
          <w:rFonts w:ascii="DejaVu Serif" w:hAnsi="DejaVu Serif" w:eastAsia="DejaVu Serif"/>
          <w:b w:val="0"/>
          <w:i w:val="0"/>
          <w:sz w:val="21"/>
        </w:rPr>
        <w:t>Generalised and noncommutative cross-ratios on polarisations and Grassmannians occur in prior work, including work associated with Zelikin and later cross-ratio mappings. The project therefore does not claim novelty in the mere existence of an operator cross-ratio. Its authorial claim concerns integration into Reper, D/Dom, CGI, and prediction certificates.</w:t>
      </w:r>
    </w:p>
    <w:p>
      <w:pPr>
        <w:pStyle w:val="Heading2"/>
        <w:keepNext/>
        <w:keepLines w:val="0"/>
        <w:spacing w:before="160" w:after="80" w:line="240" w:lineRule="auto"/>
      </w:pPr>
      <w:r>
        <w:rPr>
          <w:rFonts w:ascii="DejaVu Sans" w:hAnsi="DejaVu Sans" w:eastAsia="DejaVu Sans"/>
          <w:b/>
          <w:i w:val="0"/>
          <w:color w:val="1F4E78"/>
          <w:sz w:val="25"/>
        </w:rPr>
        <w:t>16.9. PRIOR-ART-CERT</w:t>
      </w:r>
    </w:p>
    <w:tbl>
      <w:tblPr>
        <w:tblW w:type="auto" w:w="0"/>
        <w:jc w:val="center"/>
        <w:tblLayout w:type="fixed"/>
        <w:tblLook w:firstColumn="1" w:firstRow="1" w:lastColumn="0" w:lastRow="0" w:noHBand="0" w:noVBand="1" w:val="04A0"/>
      </w:tblPr>
      <w:tblGrid>
        <w:gridCol w:w="5035"/>
        <w:gridCol w:w="5035"/>
      </w:tblGrid>
      <w:tr>
        <w:trPr>
          <w:tblHeader w:val="true"/>
        </w:trPr>
        <w:tc>
          <w:tcPr>
            <w:tcW w:type="dxa" w:w="2268"/>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7"/>
              </w:rPr>
              <w:t>Field</w:t>
            </w:r>
          </w:p>
        </w:tc>
        <w:tc>
          <w:tcPr>
            <w:tcW w:type="dxa" w:w="6803"/>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7"/>
              </w:rPr>
              <w:t>Content</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claim-id</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stable identifier and exact wording</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class</w:t>
            </w:r>
          </w:p>
        </w:tc>
        <w:tc>
          <w:tcPr>
            <w:tcW w:type="dxa" w:w="680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CL / AD / IT / CT / OP / EMP</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internal antecedents</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earlier project definitions and proof objects</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external references</w:t>
            </w:r>
          </w:p>
        </w:tc>
        <w:tc>
          <w:tcPr>
            <w:tcW w:type="dxa" w:w="680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precise source cards and mathematical locators</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comparison</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similarities, differences, inherited hypotheses</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priority blockers</w:t>
            </w:r>
          </w:p>
        </w:tc>
        <w:tc>
          <w:tcPr>
            <w:tcW w:type="dxa" w:w="680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unresolved searches and prohibited language</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approved wording</w:t>
            </w:r>
          </w:p>
        </w:tc>
        <w:tc>
          <w:tcPr>
            <w:tcW w:type="dxa" w:w="680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claim sentence permitted by the current evidence</w:t>
            </w:r>
          </w:p>
        </w:tc>
      </w:tr>
    </w:tbl>
    <w:p>
      <w:pPr>
        <w:spacing w:after="40"/>
      </w:pPr>
    </w:p>
    <w:p>
      <w:pPr>
        <w:keepNext w:val="0"/>
        <w:keepLines w:val="0"/>
        <w:spacing w:before="0" w:after="100" w:line="259" w:lineRule="auto"/>
      </w:pPr>
      <w:r>
        <w:rPr>
          <w:rFonts w:ascii="DejaVu Serif" w:hAnsi="DejaVu Serif" w:eastAsia="DejaVu Serif"/>
          <w:b w:val="0"/>
          <w:i/>
          <w:sz w:val="19"/>
        </w:rPr>
        <w:t>Phenomenological note. Authorship does not detach a thought from history. It locates a new synthesis within the history of concepts. The more precisely the boundary with predecessors is drawn, the more clearly the project’s own constructive gesture appears.</w:t>
      </w:r>
    </w:p>
    <w:p>
      <w:pPr>
        <w:pStyle w:val="Heading1"/>
        <w:keepNext/>
        <w:keepLines w:val="0"/>
        <w:spacing w:before="200" w:after="80" w:line="240" w:lineRule="auto"/>
        <w:pageBreakBefore w:val="1"/>
      </w:pPr>
      <w:r>
        <w:rPr>
          <w:rFonts w:ascii="DejaVu Sans" w:hAnsi="DejaVu Sans" w:eastAsia="DejaVu Sans"/>
          <w:b/>
          <w:i w:val="0"/>
          <w:color w:val="1F4E78"/>
          <w:sz w:val="32"/>
        </w:rPr>
        <w:t>Projective-Core Checkpoint: Result and Next Route</w:t>
      </w:r>
    </w:p>
    <w:tbl>
      <w:tblPr>
        <w:tblW w:type="auto" w:w="0"/>
        <w:jc w:val="center"/>
        <w:tblLayout w:type="fixed"/>
        <w:tblLook w:firstColumn="1" w:firstRow="1" w:lastColumn="0" w:lastRow="0" w:noHBand="0" w:noVBand="1" w:val="04A0"/>
      </w:tblPr>
      <w:tblGrid>
        <w:gridCol w:w="9638"/>
      </w:tblGrid>
      <w:tr>
        <w:trPr>
          <w:cantSplit/>
        </w:trPr>
        <w:tc>
          <w:tcPr>
            <w:tcW w:type="dxa" w:w="10070"/>
            <w:shd w:fill="EAF4EA"/>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2E7D32"/>
                <w:sz w:val="18"/>
              </w:rPr>
              <w:t xml:space="preserve">CHECKPOINT RESULT. </w:t>
            </w:r>
            <w:r>
              <w:rPr>
                <w:rFonts w:ascii="DejaVu Serif" w:hAnsi="DejaVu Serif" w:eastAsia="DejaVu Serif"/>
                <w:b w:val="0"/>
                <w:i w:val="0"/>
                <w:sz w:val="18"/>
              </w:rPr>
              <w:t>Chapters 1–16 now form one controlled English derivative. The projective, harmonic, FOS, NAPG, PILOT-01, RBD/RPD, certificate, notation, and prior-art layers are translated and linked to stable Russian page locators.</w:t>
            </w:r>
          </w:p>
        </w:tc>
      </w:tr>
    </w:tbl>
    <w:p>
      <w:pPr>
        <w:spacing w:after="20"/>
      </w:pPr>
    </w:p>
    <w:tbl>
      <w:tblPr>
        <w:tblW w:type="auto" w:w="0"/>
        <w:jc w:val="center"/>
        <w:tblLayout w:type="fixed"/>
        <w:tblLook w:firstColumn="1" w:firstRow="1" w:lastColumn="0" w:lastRow="0" w:noHBand="0" w:noVBand="1" w:val="04A0"/>
      </w:tblPr>
      <w:tblGrid>
        <w:gridCol w:w="5035"/>
        <w:gridCol w:w="5035"/>
      </w:tblGrid>
      <w:tr>
        <w:trPr>
          <w:tblHeader w:val="true"/>
        </w:trPr>
        <w:tc>
          <w:tcPr>
            <w:tcW w:type="dxa" w:w="2835"/>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7"/>
              </w:rPr>
              <w:t>Parity item</w:t>
            </w:r>
          </w:p>
        </w:tc>
        <w:tc>
          <w:tcPr>
            <w:tcW w:type="dxa" w:w="6236"/>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7"/>
              </w:rPr>
              <w:t>Result</w:t>
            </w:r>
          </w:p>
        </w:tc>
      </w:tr>
      <w:tr>
        <w:trPr>
          <w:cantSplit/>
        </w:trPr>
        <w:tc>
          <w:tcPr>
            <w:tcW w:type="dxa" w:w="2835"/>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Translated chapters</w:t>
            </w:r>
          </w:p>
        </w:tc>
        <w:tc>
          <w:tcPr>
            <w:tcW w:type="dxa" w:w="623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16/52</w:t>
            </w:r>
          </w:p>
        </w:tc>
      </w:tr>
      <w:tr>
        <w:trPr>
          <w:cantSplit/>
        </w:trPr>
        <w:tc>
          <w:tcPr>
            <w:tcW w:type="dxa" w:w="2835"/>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Projective-core chapters</w:t>
            </w:r>
          </w:p>
        </w:tc>
        <w:tc>
          <w:tcPr>
            <w:tcW w:type="dxa" w:w="623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8/8 for Chapters 9–16</w:t>
            </w:r>
          </w:p>
        </w:tc>
      </w:tr>
      <w:tr>
        <w:trPr>
          <w:cantSplit/>
        </w:trPr>
        <w:tc>
          <w:tcPr>
            <w:tcW w:type="dxa" w:w="2835"/>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Russian address layer</w:t>
            </w:r>
          </w:p>
        </w:tc>
        <w:tc>
          <w:tcPr>
            <w:tcW w:type="dxa" w:w="623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pp. 35–72 preserved</w:t>
            </w:r>
          </w:p>
        </w:tc>
      </w:tr>
      <w:tr>
        <w:trPr>
          <w:cantSplit/>
        </w:trPr>
        <w:tc>
          <w:tcPr>
            <w:tcW w:type="dxa" w:w="2835"/>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Classical/authorial boundary</w:t>
            </w:r>
          </w:p>
        </w:tc>
        <w:tc>
          <w:tcPr>
            <w:tcW w:type="dxa" w:w="623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explicit in Chapters 9, 12, 15, 16</w:t>
            </w:r>
          </w:p>
        </w:tc>
      </w:tr>
      <w:tr>
        <w:trPr>
          <w:cantSplit/>
        </w:trPr>
        <w:tc>
          <w:tcPr>
            <w:tcW w:type="dxa" w:w="2835"/>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Negative results</w:t>
            </w:r>
          </w:p>
        </w:tc>
        <w:tc>
          <w:tcPr>
            <w:tcW w:type="dxa" w:w="623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counterexamples and ABSTAIN gates preserved</w:t>
            </w:r>
          </w:p>
        </w:tc>
      </w:tr>
      <w:tr>
        <w:trPr>
          <w:cantSplit/>
        </w:trPr>
        <w:tc>
          <w:tcPr>
            <w:tcW w:type="dxa" w:w="2835"/>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Status promotion</w:t>
            </w:r>
          </w:p>
        </w:tc>
        <w:tc>
          <w:tcPr>
            <w:tcW w:type="dxa" w:w="623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none; truth_layer_promotion=0</w:t>
            </w:r>
          </w:p>
        </w:tc>
      </w:tr>
      <w:tr>
        <w:trPr>
          <w:cantSplit/>
        </w:trPr>
        <w:tc>
          <w:tcPr>
            <w:tcW w:type="dxa" w:w="2835"/>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Independent EXT-RUN</w:t>
            </w:r>
          </w:p>
        </w:tc>
        <w:tc>
          <w:tcPr>
            <w:tcW w:type="dxa" w:w="623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not completed</w:t>
            </w:r>
          </w:p>
        </w:tc>
      </w:tr>
      <w:tr>
        <w:trPr>
          <w:cantSplit/>
        </w:trPr>
        <w:tc>
          <w:tcPr>
            <w:tcW w:type="dxa" w:w="2835"/>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7"/>
              </w:rPr>
              <w:t>Next checkpoint</w:t>
            </w:r>
          </w:p>
        </w:tc>
        <w:tc>
          <w:tcPr>
            <w:tcW w:type="dxa" w:w="623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T1-EN-OPERATORS-v0.4 · Chapters 17–26</w:t>
            </w:r>
          </w:p>
        </w:tc>
      </w:tr>
    </w:tbl>
    <w:p>
      <w:pPr>
        <w:spacing w:after="40"/>
      </w:pPr>
    </w:p>
    <w:p>
      <w:pPr>
        <w:pStyle w:val="Heading2"/>
        <w:keepNext/>
        <w:keepLines w:val="0"/>
        <w:spacing w:before="160" w:after="80" w:line="240" w:lineRule="auto"/>
      </w:pPr>
      <w:r>
        <w:rPr>
          <w:rFonts w:ascii="DejaVu Sans" w:hAnsi="DejaVu Sans" w:eastAsia="DejaVu Sans"/>
          <w:b/>
          <w:i w:val="0"/>
          <w:color w:val="1F4E78"/>
          <w:sz w:val="25"/>
        </w:rPr>
        <w:t>Open Translation Blockers</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1361"/>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ID</w:t>
            </w:r>
          </w:p>
        </w:tc>
        <w:tc>
          <w:tcPr>
            <w:tcW w:type="dxa" w:w="4535"/>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Blocker</w:t>
            </w:r>
          </w:p>
        </w:tc>
        <w:tc>
          <w:tcPr>
            <w:tcW w:type="dxa" w:w="3175"/>
            <w:shd w:fill="1F4E78"/>
            <w:tcMar>
              <w:top w:w="90" w:type="dxa"/>
              <w:start w:w="100" w:type="dxa"/>
              <w:bottom w:w="90" w:type="dxa"/>
              <w:end w:w="100" w:type="dxa"/>
            </w:tcMar>
            <w:vAlign w:val="center"/>
          </w:tcPr>
          <w:p>
            <w:pPr>
              <w:keepNext w:val="0"/>
              <w:keepLines w:val="0"/>
              <w:spacing w:before="0" w:after="0" w:line="240" w:lineRule="auto"/>
              <w:jc w:val="center"/>
            </w:pPr>
            <w:r>
              <w:rPr>
                <w:rFonts w:ascii="DejaVu Sans" w:hAnsi="DejaVu Sans" w:eastAsia="DejaVu Sans"/>
                <w:b/>
                <w:i w:val="0"/>
                <w:color w:val="FFFFFF"/>
                <w:sz w:val="16"/>
              </w:rPr>
              <w:t>Effect</w:t>
            </w:r>
          </w:p>
        </w:tc>
      </w:tr>
      <w:tr>
        <w:trPr>
          <w:cantSplit/>
        </w:trPr>
        <w:tc>
          <w:tcPr>
            <w:tcW w:type="dxa" w:w="1361"/>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T1-EN-BLK-013</w:t>
            </w:r>
          </w:p>
        </w:tc>
        <w:tc>
          <w:tcPr>
            <w:tcW w:type="dxa" w:w="453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No independent signed bilingual audit has been performed.</w:t>
            </w:r>
          </w:p>
        </w:tc>
        <w:tc>
          <w:tcPr>
            <w:tcW w:type="dxa" w:w="317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Non-veto for authorial draft; veto for external certification.</w:t>
            </w:r>
          </w:p>
        </w:tc>
      </w:tr>
      <w:tr>
        <w:trPr>
          <w:cantSplit/>
        </w:trPr>
        <w:tc>
          <w:tcPr>
            <w:tcW w:type="dxa" w:w="1361"/>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T1-EN-BLK-014</w:t>
            </w:r>
          </w:p>
        </w:tc>
        <w:tc>
          <w:tcPr>
            <w:tcW w:type="dxa" w:w="453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The English page map is provisional until full assembly.</w:t>
            </w:r>
          </w:p>
        </w:tc>
        <w:tc>
          <w:tcPr>
            <w:tcW w:type="dxa" w:w="317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Russian source pages remain the only canonical locators.</w:t>
            </w:r>
          </w:p>
        </w:tc>
      </w:tr>
      <w:tr>
        <w:trPr>
          <w:cantSplit/>
        </w:trPr>
        <w:tc>
          <w:tcPr>
            <w:tcW w:type="dxa" w:w="1361"/>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T1-EN-BLK-015</w:t>
            </w:r>
          </w:p>
        </w:tc>
        <w:tc>
          <w:tcPr>
            <w:tcW w:type="dxa" w:w="453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Some historical source cards lack exact edition/page data in the frozen Russian text.</w:t>
            </w:r>
          </w:p>
        </w:tc>
        <w:tc>
          <w:tcPr>
            <w:tcW w:type="dxa" w:w="317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Keep carried metadata; no fabricated locators.</w:t>
            </w:r>
          </w:p>
        </w:tc>
      </w:tr>
      <w:tr>
        <w:trPr>
          <w:cantSplit/>
        </w:trPr>
        <w:tc>
          <w:tcPr>
            <w:tcW w:type="dxa" w:w="1361"/>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T1-EN-BLK-016</w:t>
            </w:r>
          </w:p>
        </w:tc>
        <w:tc>
          <w:tcPr>
            <w:tcW w:type="dxa" w:w="453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Physical interpretations of seven Size@Dimensions and early PN.2 remain unvalidated.</w:t>
            </w:r>
          </w:p>
        </w:tc>
        <w:tc>
          <w:tcPr>
            <w:tcW w:type="dxa" w:w="317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Maintain MODEL/PHY-HYP and ABSTAIN for physical confirmation.</w:t>
            </w:r>
          </w:p>
        </w:tc>
      </w:tr>
    </w:tbl>
    <w:p>
      <w:pPr>
        <w:spacing w:after="40"/>
      </w:pP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0" w:type="dxa"/>
              <w:start w:w="150" w:type="dxa"/>
              <w:bottom w:w="120" w:type="dxa"/>
              <w:end w:w="150" w:type="dxa"/>
            </w:tcMar>
          </w:tcPr>
          <w:p>
            <w:pPr>
              <w:keepNext w:val="0"/>
              <w:keepLines w:val="0"/>
              <w:spacing w:before="0" w:after="0" w:line="259" w:lineRule="auto"/>
              <w:jc w:val="left"/>
            </w:pPr>
            <w:r>
              <w:rPr>
                <w:rFonts w:ascii="DejaVu Sans" w:hAnsi="DejaVu Sans" w:eastAsia="DejaVu Sans"/>
                <w:b/>
                <w:i w:val="0"/>
                <w:color w:val="1F4E78"/>
                <w:sz w:val="18"/>
              </w:rPr>
              <w:t xml:space="preserve">NEXT CHECKPOINT. </w:t>
            </w:r>
            <w:r>
              <w:rPr>
                <w:rFonts w:ascii="DejaVu Serif" w:hAnsi="DejaVu Serif" w:eastAsia="DejaVu Serif"/>
                <w:b w:val="0"/>
                <w:i w:val="0"/>
                <w:sz w:val="18"/>
              </w:rPr>
              <w:t>T1-EN-OPERATORS-v0.4 will translate Chapters 17–26: complex, matrix, and operator cross-ratio; proof-cleaned Desargues–Kurpishev material; the canonical mathematical PN.2 construction; the action/change/reversal operators Δ, Ξ, Υ; and the nonassociative packet Reper algebra of Size@Dimensions.</w:t>
            </w:r>
          </w:p>
        </w:tc>
      </w:tr>
    </w:tbl>
    <w:p>
      <w:pPr>
        <w:pStyle w:val="Heading1"/>
        <w:keepNext/>
        <w:keepLines w:val="0"/>
        <w:spacing w:before="200" w:after="80" w:line="240" w:lineRule="auto"/>
        <w:pageBreakBefore w:val="1"/>
      </w:pPr>
      <w:r>
        <w:rPr>
          <w:rFonts w:ascii="DejaVu Sans" w:hAnsi="DejaVu Sans" w:eastAsia="DejaVu Sans"/>
          <w:b/>
          <w:i w:val="0"/>
          <w:color w:val="1F4E78"/>
          <w:sz w:val="32"/>
        </w:rPr>
        <w:t>T1-EN-OPERATORS-v0.4</w:t>
      </w:r>
    </w:p>
    <w:p>
      <w:pPr>
        <w:keepNext w:val="0"/>
        <w:keepLines w:val="0"/>
        <w:spacing w:before="0" w:after="160" w:line="259" w:lineRule="auto"/>
        <w:jc w:val="center"/>
      </w:pPr>
      <w:r>
        <w:rPr>
          <w:rFonts w:ascii="DejaVu Serif" w:hAnsi="DejaVu Serif" w:eastAsia="DejaVu Serif"/>
          <w:b/>
          <w:i w:val="0"/>
          <w:sz w:val="22"/>
        </w:rPr>
        <w:t>CONTROLLED ENGLISH TRANSLATION OF CHAPTERS 17–26</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DERIVATIVE BOUNDARY. </w:t>
            </w:r>
            <w:r>
              <w:rPr>
                <w:rFonts w:ascii="DejaVu Serif" w:hAnsi="DejaVu Serif" w:eastAsia="DejaVu Serif"/>
                <w:b w:val="0"/>
                <w:i w:val="0"/>
                <w:sz w:val="18"/>
              </w:rPr>
              <w:t>The following text is a controlled derivative of frozen Russian source pages 73–146. The English layer may normalize layout and terminology, but it may not alter a formula, theorem hypothesis, counterexample, domain, sufficient foundation, or evidence status. Any discovered Russian-source issue becomes a blocker for a future Russian change-set.</w:t>
            </w:r>
          </w:p>
        </w:tc>
      </w:tr>
    </w:tbl>
    <w:p>
      <w:pPr>
        <w:spacing w:after="20"/>
      </w:pPr>
    </w:p>
    <w:p>
      <w:pPr>
        <w:keepNext w:val="0"/>
        <w:keepLines w:val="0"/>
        <w:spacing w:before="80" w:after="60" w:line="259" w:lineRule="auto"/>
      </w:pPr>
      <w:r>
        <w:rPr>
          <w:rFonts w:ascii="DejaVu Serif" w:hAnsi="DejaVu Serif" w:eastAsia="DejaVu Serif"/>
          <w:b/>
          <w:i w:val="0"/>
          <w:sz w:val="18"/>
        </w:rPr>
        <w:t>Chapter parity map for the v0.4 checkpoint</w:t>
      </w:r>
    </w:p>
    <w:tbl>
      <w:tblPr>
        <w:tblW w:type="auto" w:w="0"/>
        <w:jc w:val="center"/>
        <w:tblLayout w:type="fixed"/>
        <w:tblLook w:firstColumn="1" w:firstRow="1" w:lastColumn="0" w:lastRow="0" w:noHBand="0" w:noVBand="1" w:val="04A0"/>
      </w:tblPr>
      <w:tblGrid>
        <w:gridCol w:w="2517"/>
        <w:gridCol w:w="2517"/>
        <w:gridCol w:w="2517"/>
        <w:gridCol w:w="2517"/>
      </w:tblGrid>
      <w:tr>
        <w:trPr>
          <w:tblHeader w:val="true"/>
        </w:trPr>
        <w:tc>
          <w:tcPr>
            <w:tcW w:type="dxa" w:w="624"/>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Chapter</w:t>
            </w:r>
          </w:p>
        </w:tc>
        <w:tc>
          <w:tcPr>
            <w:tcW w:type="dxa" w:w="1134"/>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Russian locator</w:t>
            </w:r>
          </w:p>
        </w:tc>
        <w:tc>
          <w:tcPr>
            <w:tcW w:type="dxa" w:w="5556"/>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English title</w:t>
            </w:r>
          </w:p>
        </w:tc>
        <w:tc>
          <w:tcPr>
            <w:tcW w:type="dxa" w:w="1757"/>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Dominant status</w:t>
            </w:r>
          </w:p>
        </w:tc>
      </w:tr>
      <w:tr>
        <w:trPr>
          <w:cantSplit/>
        </w:trPr>
        <w:tc>
          <w:tcPr>
            <w:tcW w:type="dxa" w:w="62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17</w:t>
            </w:r>
          </w:p>
        </w:tc>
        <w:tc>
          <w:tcPr>
            <w:tcW w:type="dxa" w:w="113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73–75</w:t>
            </w:r>
          </w:p>
        </w:tc>
        <w:tc>
          <w:tcPr>
            <w:tcW w:type="dxa" w:w="555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Complex Cross-Ratio and Reper Geometry on CP¹</w:t>
            </w:r>
          </w:p>
        </w:tc>
        <w:tc>
          <w:tcPr>
            <w:tcW w:type="dxa" w:w="17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CL / PROP / THM</w:t>
            </w:r>
          </w:p>
        </w:tc>
      </w:tr>
      <w:tr>
        <w:trPr>
          <w:cantSplit/>
        </w:trPr>
        <w:tc>
          <w:tcPr>
            <w:tcW w:type="dxa" w:w="62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18</w:t>
            </w:r>
          </w:p>
        </w:tc>
        <w:tc>
          <w:tcPr>
            <w:tcW w:type="dxa" w:w="113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76–77</w:t>
            </w:r>
          </w:p>
        </w:tc>
        <w:tc>
          <w:tcPr>
            <w:tcW w:type="dxa" w:w="555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Matrix and Operator Cross-Ratio</w:t>
            </w:r>
          </w:p>
        </w:tc>
        <w:tc>
          <w:tcPr>
            <w:tcW w:type="dxa" w:w="17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DEF-A / COND</w:t>
            </w:r>
          </w:p>
        </w:tc>
      </w:tr>
      <w:tr>
        <w:trPr>
          <w:cantSplit/>
        </w:trPr>
        <w:tc>
          <w:tcPr>
            <w:tcW w:type="dxa" w:w="62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19</w:t>
            </w:r>
          </w:p>
        </w:tc>
        <w:tc>
          <w:tcPr>
            <w:tcW w:type="dxa" w:w="113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78–81</w:t>
            </w:r>
          </w:p>
        </w:tc>
        <w:tc>
          <w:tcPr>
            <w:tcW w:type="dxa" w:w="555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Proof-Cleaning of the Desargues–Kurpishev Theorem</w:t>
            </w:r>
          </w:p>
        </w:tc>
        <w:tc>
          <w:tcPr>
            <w:tcW w:type="dxa" w:w="17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THM / COND / OPEN</w:t>
            </w:r>
          </w:p>
        </w:tc>
      </w:tr>
      <w:tr>
        <w:trPr>
          <w:cantSplit/>
        </w:trPr>
        <w:tc>
          <w:tcPr>
            <w:tcW w:type="dxa" w:w="62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20</w:t>
            </w:r>
          </w:p>
        </w:tc>
        <w:tc>
          <w:tcPr>
            <w:tcW w:type="dxa" w:w="113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82–86</w:t>
            </w:r>
          </w:p>
        </w:tc>
        <w:tc>
          <w:tcPr>
            <w:tcW w:type="dxa" w:w="555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Subject Index, Formula Registry, and Cross-Reference System</w:t>
            </w:r>
          </w:p>
        </w:tc>
        <w:tc>
          <w:tcPr>
            <w:tcW w:type="dxa" w:w="17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DOC / PROP / NUM</w:t>
            </w:r>
          </w:p>
        </w:tc>
      </w:tr>
      <w:tr>
        <w:trPr>
          <w:cantSplit/>
        </w:trPr>
        <w:tc>
          <w:tcPr>
            <w:tcW w:type="dxa" w:w="62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21</w:t>
            </w:r>
          </w:p>
        </w:tc>
        <w:tc>
          <w:tcPr>
            <w:tcW w:type="dxa" w:w="113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87–104</w:t>
            </w:r>
          </w:p>
        </w:tc>
        <w:tc>
          <w:tcPr>
            <w:tcW w:type="dxa" w:w="555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Canonical Mathematical Construction of Kurpishev PN.2</w:t>
            </w:r>
          </w:p>
        </w:tc>
        <w:tc>
          <w:tcPr>
            <w:tcW w:type="dxa" w:w="17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THM / COND / MODEL</w:t>
            </w:r>
          </w:p>
        </w:tc>
      </w:tr>
      <w:tr>
        <w:trPr>
          <w:cantSplit/>
        </w:trPr>
        <w:tc>
          <w:tcPr>
            <w:tcW w:type="dxa" w:w="62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22</w:t>
            </w:r>
          </w:p>
        </w:tc>
        <w:tc>
          <w:tcPr>
            <w:tcW w:type="dxa" w:w="113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105–109</w:t>
            </w:r>
          </w:p>
        </w:tc>
        <w:tc>
          <w:tcPr>
            <w:tcW w:type="dxa" w:w="555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PN.2 as a Restrictor and Driver of the KLT-RBD Predictive Method</w:t>
            </w:r>
          </w:p>
        </w:tc>
        <w:tc>
          <w:tcPr>
            <w:tcW w:type="dxa" w:w="17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PROP / NUM / EMP-PLAN</w:t>
            </w:r>
          </w:p>
        </w:tc>
      </w:tr>
      <w:tr>
        <w:trPr>
          <w:cantSplit/>
        </w:trPr>
        <w:tc>
          <w:tcPr>
            <w:tcW w:type="dxa" w:w="62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23</w:t>
            </w:r>
          </w:p>
        </w:tc>
        <w:tc>
          <w:tcPr>
            <w:tcW w:type="dxa" w:w="113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110–111</w:t>
            </w:r>
          </w:p>
        </w:tc>
        <w:tc>
          <w:tcPr>
            <w:tcW w:type="dxa" w:w="555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PN.2 Examples, Counterexamples, and Computational Tests</w:t>
            </w:r>
          </w:p>
        </w:tc>
        <w:tc>
          <w:tcPr>
            <w:tcW w:type="dxa" w:w="17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PROP / NUM</w:t>
            </w:r>
          </w:p>
        </w:tc>
      </w:tr>
      <w:tr>
        <w:trPr>
          <w:cantSplit/>
        </w:trPr>
        <w:tc>
          <w:tcPr>
            <w:tcW w:type="dxa" w:w="62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24</w:t>
            </w:r>
          </w:p>
        </w:tc>
        <w:tc>
          <w:tcPr>
            <w:tcW w:type="dxa" w:w="113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112–115</w:t>
            </w:r>
          </w:p>
        </w:tc>
        <w:tc>
          <w:tcPr>
            <w:tcW w:type="dxa" w:w="555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Export of PN.2 to Physics, Chemistry, Biology, and DNA</w:t>
            </w:r>
          </w:p>
        </w:tc>
        <w:tc>
          <w:tcPr>
            <w:tcW w:type="dxa" w:w="17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EMP-PLAN / PHY-HYP</w:t>
            </w:r>
          </w:p>
        </w:tc>
      </w:tr>
      <w:tr>
        <w:trPr>
          <w:cantSplit/>
        </w:trPr>
        <w:tc>
          <w:tcPr>
            <w:tcW w:type="dxa" w:w="62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25</w:t>
            </w:r>
          </w:p>
        </w:tc>
        <w:tc>
          <w:tcPr>
            <w:tcW w:type="dxa" w:w="113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116–124</w:t>
            </w:r>
          </w:p>
        </w:tc>
        <w:tc>
          <w:tcPr>
            <w:tcW w:type="dxa" w:w="555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Operators of Action, Change, and Reversal</w:t>
            </w:r>
          </w:p>
        </w:tc>
        <w:tc>
          <w:tcPr>
            <w:tcW w:type="dxa" w:w="17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DEF-A / THM / COND</w:t>
            </w:r>
          </w:p>
        </w:tc>
      </w:tr>
      <w:tr>
        <w:trPr>
          <w:cantSplit/>
        </w:trPr>
        <w:tc>
          <w:tcPr>
            <w:tcW w:type="dxa" w:w="62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26</w:t>
            </w:r>
          </w:p>
        </w:tc>
        <w:tc>
          <w:tcPr>
            <w:tcW w:type="dxa" w:w="113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125–146</w:t>
            </w:r>
          </w:p>
        </w:tc>
        <w:tc>
          <w:tcPr>
            <w:tcW w:type="dxa" w:w="555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Nonassociative Packet Reper Algebra of Size@Dimensions</w:t>
            </w:r>
          </w:p>
        </w:tc>
        <w:tc>
          <w:tcPr>
            <w:tcW w:type="dxa" w:w="17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THM / COND / OPEN</w:t>
            </w:r>
          </w:p>
        </w:tc>
      </w:tr>
    </w:tbl>
    <w:p>
      <w:pPr>
        <w:pStyle w:val="Heading1"/>
        <w:keepNext/>
        <w:keepLines w:val="0"/>
        <w:spacing w:before="200" w:after="80" w:line="240" w:lineRule="auto"/>
        <w:pageBreakBefore w:val="1"/>
      </w:pPr>
      <w:bookmarkStart w:id="1016" w:name="T1_CH_17"/>
      <w:r>
        <w:rPr>
          <w:rFonts w:ascii="DejaVu Sans" w:hAnsi="DejaVu Sans" w:eastAsia="DejaVu Sans"/>
          <w:b/>
          <w:i w:val="0"/>
          <w:color w:val="1F4E78"/>
          <w:sz w:val="32"/>
        </w:rPr>
        <w:t>Chapter 17. Complex Cross-Ratio and Reper Geometry on CP¹</w:t>
      </w:r>
      <w:bookmarkEnd w:id="1016"/>
    </w:p>
    <w:p>
      <w:pPr>
        <w:keepNext w:val="0"/>
        <w:keepLines w:val="0"/>
        <w:spacing w:before="0" w:after="100" w:line="259" w:lineRule="auto"/>
      </w:pPr>
      <w:r>
        <w:rPr>
          <w:rFonts w:ascii="DejaVu Serif" w:hAnsi="DejaVu Serif" w:eastAsia="DejaVu Serif"/>
          <w:b w:val="0"/>
          <w:i/>
          <w:sz w:val="18"/>
        </w:rPr>
        <w:t>Russian source locator: pp. 73–75</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A scalar Reper is moved to the complex projective line. Homogeneous coordinates allow one to treat finite points and infinity uniformly, while the stability certificate records how close the configuration is to a forbidden collision.</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760720" cy="2530876"/>
            <wp:docPr id="20" name="Picture 20"/>
            <wp:cNvGraphicFramePr>
              <a:graphicFrameLocks noChangeAspect="1"/>
            </wp:cNvGraphicFramePr>
            <a:graphic>
              <a:graphicData uri="http://schemas.openxmlformats.org/drawingml/2006/picture">
                <pic:pic>
                  <pic:nvPicPr>
                    <pic:cNvPr id="0" name="fig17_cp1.png"/>
                    <pic:cNvPicPr/>
                  </pic:nvPicPr>
                  <pic:blipFill>
                    <a:blip r:embed="rId32"/>
                    <a:stretch>
                      <a:fillRect/>
                    </a:stretch>
                  </pic:blipFill>
                  <pic:spPr>
                    <a:xfrm>
                      <a:off x="0" y="0"/>
                      <a:ext cx="5760720" cy="2530876"/>
                    </a:xfrm>
                    <a:prstGeom prst="rect"/>
                  </pic:spPr>
                </pic:pic>
              </a:graphicData>
            </a:graphic>
          </wp:inline>
        </w:drawing>
      </w:r>
    </w:p>
    <w:p>
      <w:pPr>
        <w:keepNext w:val="0"/>
        <w:keepLines/>
        <w:spacing w:before="0" w:after="140" w:line="240" w:lineRule="auto"/>
        <w:jc w:val="center"/>
      </w:pPr>
      <w:bookmarkStart w:id="1077" w:name="T1_FIG_019"/>
      <w:r>
        <w:rPr>
          <w:rFonts w:ascii="DejaVu Serif" w:hAnsi="DejaVu Serif" w:eastAsia="DejaVu Serif"/>
          <w:b w:val="0"/>
          <w:i/>
          <w:color w:val="666666"/>
          <w:sz w:val="17"/>
        </w:rPr>
        <w:t>Figure 17.1. The complex Reper requires a chart, separation estimate, and an explicit real-reduction map.</w:t>
      </w:r>
      <w:bookmarkEnd w:id="1077"/>
    </w:p>
    <w:p>
      <w:pPr>
        <w:pStyle w:val="Heading2"/>
        <w:keepNext/>
        <w:keepLines w:val="0"/>
        <w:spacing w:before="160" w:after="80" w:line="240" w:lineRule="auto"/>
      </w:pPr>
      <w:r>
        <w:rPr>
          <w:rFonts w:ascii="DejaVu Sans" w:hAnsi="DejaVu Sans" w:eastAsia="DejaVu Sans"/>
          <w:b/>
          <w:i w:val="0"/>
          <w:color w:val="1F4E78"/>
          <w:sz w:val="25"/>
        </w:rPr>
        <w:t>17.1. Homogeneous and Affine Definitions</w:t>
      </w:r>
    </w:p>
    <w:p>
      <w:pPr>
        <w:keepNext w:val="0"/>
        <w:keepLines w:val="0"/>
        <w:spacing w:before="0" w:after="100" w:line="259" w:lineRule="auto"/>
      </w:pPr>
      <w:r>
        <w:rPr>
          <w:rFonts w:ascii="DejaVu Serif" w:hAnsi="DejaVu Serif" w:eastAsia="DejaVu Serif"/>
          <w:b w:val="0"/>
          <w:i w:val="0"/>
          <w:sz w:val="20"/>
        </w:rPr>
        <w:t>Let z₁,z₂,z₃,z₄ be pairwise distinct points of CP¹. In an affine chart in which the required differences are nonzero, define</w:t>
      </w:r>
    </w:p>
    <w:p>
      <w:pPr>
        <w:keepNext w:val="0"/>
        <w:keepLines/>
        <w:spacing w:before="80" w:after="140" w:line="240" w:lineRule="auto"/>
        <w:jc w:val="center"/>
      </w:pPr>
      <w:r>
        <w:rPr>
          <w:rFonts w:ascii="DejaVu Serif" w:hAnsi="DejaVu Serif" w:eastAsia="DejaVu Serif"/>
          <w:b w:val="0"/>
          <w:i w:val="0"/>
          <w:sz w:val="22"/>
        </w:rPr>
        <w:t>cr(z₁,z₂;z₃,z₄)=((z₃−z₁)(z₄−z₂))/((z₃−z₂)(z₄−z₁)).</w:t>
      </w:r>
      <w:r>
        <w:rPr>
          <w:rFonts w:ascii="DejaVu Sans" w:hAnsi="DejaVu Sans" w:eastAsia="DejaVu Sans"/>
          <w:b w:val="0"/>
          <w:i/>
          <w:color w:val="666666"/>
          <w:sz w:val="16"/>
        </w:rPr>
        <w:t xml:space="preserve">    [RU p. 74]</w:t>
      </w:r>
    </w:p>
    <w:p>
      <w:pPr>
        <w:keepNext w:val="0"/>
        <w:keepLines w:val="0"/>
        <w:spacing w:before="0" w:after="100" w:line="259" w:lineRule="auto"/>
      </w:pPr>
      <w:r>
        <w:rPr>
          <w:rFonts w:ascii="DejaVu Serif" w:hAnsi="DejaVu Serif" w:eastAsia="DejaVu Serif"/>
          <w:b w:val="0"/>
          <w:i w:val="0"/>
          <w:sz w:val="20"/>
        </w:rPr>
        <w:t>The value is independent of the affine coordinate and is invariant under Möbius transformations. If one point is infinity, the expression is read through homogeneous determinants or the corresponding limit. Because a Reper is ordered, permutations are not neutral: the six anharmonic values must not be conflated.</w:t>
      </w:r>
    </w:p>
    <w:p>
      <w:pPr>
        <w:pStyle w:val="Heading2"/>
        <w:keepNext/>
        <w:keepLines w:val="0"/>
        <w:spacing w:before="160" w:after="80" w:line="240" w:lineRule="auto"/>
      </w:pPr>
      <w:r>
        <w:rPr>
          <w:rFonts w:ascii="DejaVu Sans" w:hAnsi="DejaVu Sans" w:eastAsia="DejaVu Sans"/>
          <w:b/>
          <w:i w:val="0"/>
          <w:color w:val="1F4E78"/>
          <w:sz w:val="25"/>
        </w:rPr>
        <w:t>17.2. Projective Invariance</w:t>
      </w:r>
    </w:p>
    <w:p>
      <w:pPr>
        <w:keepNext w:val="0"/>
        <w:keepLines w:val="0"/>
        <w:spacing w:before="0" w:after="100" w:line="259" w:lineRule="auto"/>
      </w:pPr>
      <w:r>
        <w:rPr>
          <w:rFonts w:ascii="DejaVu Serif" w:hAnsi="DejaVu Serif" w:eastAsia="DejaVu Serif"/>
          <w:b w:val="0"/>
          <w:i w:val="0"/>
          <w:sz w:val="20"/>
        </w:rPr>
        <w:t>Proposition 17.1 [PROP]. For g(z)=(az+b)/(cz+d), ad−bc≠0, and for any admissible quadruple,</w:t>
      </w:r>
    </w:p>
    <w:p>
      <w:pPr>
        <w:keepNext w:val="0"/>
        <w:keepLines/>
        <w:spacing w:before="80" w:after="140" w:line="240" w:lineRule="auto"/>
        <w:jc w:val="center"/>
      </w:pPr>
      <w:r>
        <w:rPr>
          <w:rFonts w:ascii="DejaVu Serif" w:hAnsi="DejaVu Serif" w:eastAsia="DejaVu Serif"/>
          <w:b w:val="0"/>
          <w:i w:val="0"/>
          <w:sz w:val="22"/>
        </w:rPr>
        <w:t>cr(gz₁,gz₂;gz₃,gz₄)=cr(z₁,z₂;z₃,z₄).</w:t>
      </w:r>
      <w:r>
        <w:rPr>
          <w:rFonts w:ascii="DejaVu Sans" w:hAnsi="DejaVu Sans" w:eastAsia="DejaVu Sans"/>
          <w:b w:val="0"/>
          <w:i/>
          <w:color w:val="666666"/>
          <w:sz w:val="16"/>
        </w:rPr>
        <w:t xml:space="preserve">    [RU p. 74]</w:t>
      </w:r>
    </w:p>
    <w:p>
      <w:pPr>
        <w:keepNext w:val="0"/>
        <w:keepLines w:val="0"/>
        <w:spacing w:before="0" w:after="100" w:line="259" w:lineRule="auto"/>
      </w:pPr>
      <w:r>
        <w:rPr>
          <w:rFonts w:ascii="DejaVu Serif" w:hAnsi="DejaVu Serif" w:eastAsia="DejaVu Serif"/>
          <w:b w:val="0"/>
          <w:i w:val="0"/>
          <w:sz w:val="20"/>
        </w:rPr>
        <w:t>Proof. Each transformed difference equals (ad−bc)(zᵢ−zⱼ)/((czᵢ+d)(czⱼ+d)); all determinant and denominator factors cancel pairwise.</w:t>
      </w:r>
    </w:p>
    <w:p>
      <w:pPr>
        <w:pStyle w:val="Heading2"/>
        <w:keepNext/>
        <w:keepLines w:val="0"/>
        <w:spacing w:before="160" w:after="80" w:line="240" w:lineRule="auto"/>
      </w:pPr>
      <w:r>
        <w:rPr>
          <w:rFonts w:ascii="DejaVu Sans" w:hAnsi="DejaVu Sans" w:eastAsia="DejaVu Sans"/>
          <w:b/>
          <w:i w:val="0"/>
          <w:color w:val="1F4E78"/>
          <w:sz w:val="25"/>
        </w:rPr>
        <w:t>17.3. Harmonicity, Stability, and Reality</w:t>
      </w:r>
    </w:p>
    <w:p>
      <w:pPr>
        <w:keepNext w:val="0"/>
        <w:keepLines/>
        <w:spacing w:before="80" w:after="140" w:line="240" w:lineRule="auto"/>
        <w:jc w:val="center"/>
      </w:pPr>
      <w:r>
        <w:rPr>
          <w:rFonts w:ascii="DejaVu Serif" w:hAnsi="DejaVu Serif" w:eastAsia="DejaVu Serif"/>
          <w:b w:val="0"/>
          <w:i w:val="0"/>
          <w:sz w:val="22"/>
        </w:rPr>
        <w:t>Reper_C=(R,I,U;D; K=C, Dom⊂CP¹),   λ=cr(U,I;R,D),   δ_truth=|λ+1|.</w:t>
      </w:r>
      <w:r>
        <w:rPr>
          <w:rFonts w:ascii="DejaVu Sans" w:hAnsi="DejaVu Sans" w:eastAsia="DejaVu Sans"/>
          <w:b w:val="0"/>
          <w:i/>
          <w:color w:val="666666"/>
          <w:sz w:val="16"/>
        </w:rPr>
        <w:t xml:space="preserve">    [RU p. 75]</w:t>
      </w:r>
    </w:p>
    <w:p>
      <w:pPr>
        <w:keepNext w:val="0"/>
        <w:keepLines w:val="0"/>
        <w:spacing w:before="0" w:after="100" w:line="259" w:lineRule="auto"/>
      </w:pPr>
      <w:r>
        <w:rPr>
          <w:rFonts w:ascii="DejaVu Serif" w:hAnsi="DejaVu Serif" w:eastAsia="DejaVu Serif"/>
          <w:b w:val="0"/>
          <w:i w:val="0"/>
          <w:sz w:val="20"/>
        </w:rPr>
        <w:t>The equality λ=−1 is a projectively invariant structural condition. It does not automatically define a real observable. A map real:Dom_C→Dom_R and a compatibility proof are required for a real or physical reduction.</w:t>
      </w:r>
    </w:p>
    <w:p>
      <w:pPr>
        <w:keepNext w:val="0"/>
        <w:keepLines/>
        <w:spacing w:before="80" w:after="140" w:line="240" w:lineRule="auto"/>
        <w:jc w:val="center"/>
      </w:pPr>
      <w:r>
        <w:rPr>
          <w:rFonts w:ascii="DejaVu Serif" w:hAnsi="DejaVu Serif" w:eastAsia="DejaVu Serif"/>
          <w:b w:val="0"/>
          <w:i w:val="0"/>
          <w:sz w:val="22"/>
        </w:rPr>
        <w:t>dλ/λ=(dU−dR)/(U−R)+(dI−dD)/(I−D)−(dU−dD)/(U−D)−(dI−dR)/(I−R).</w:t>
      </w:r>
      <w:r>
        <w:rPr>
          <w:rFonts w:ascii="DejaVu Sans" w:hAnsi="DejaVu Sans" w:eastAsia="DejaVu Sans"/>
          <w:b w:val="0"/>
          <w:i/>
          <w:color w:val="666666"/>
          <w:sz w:val="16"/>
        </w:rPr>
        <w:t xml:space="preserve">    [RU p. 75]</w:t>
      </w:r>
    </w:p>
    <w:p>
      <w:pPr>
        <w:keepNext w:val="0"/>
        <w:keepLines w:val="0"/>
        <w:spacing w:before="0" w:after="100" w:line="259" w:lineRule="auto"/>
      </w:pPr>
      <w:r>
        <w:rPr>
          <w:rFonts w:ascii="DejaVu Serif" w:hAnsi="DejaVu Serif" w:eastAsia="DejaVu Serif"/>
          <w:b w:val="0"/>
          <w:i w:val="0"/>
          <w:sz w:val="20"/>
        </w:rPr>
        <w:t>Theorem 17.3 [THM]. If the absolute values of the four denominator differences are bounded below by ρ&gt;0, then, to first order,</w:t>
      </w:r>
    </w:p>
    <w:p>
      <w:pPr>
        <w:keepNext w:val="0"/>
        <w:keepLines/>
        <w:spacing w:before="80" w:after="140" w:line="240" w:lineRule="auto"/>
        <w:jc w:val="center"/>
      </w:pPr>
      <w:r>
        <w:rPr>
          <w:rFonts w:ascii="DejaVu Serif" w:hAnsi="DejaVu Serif" w:eastAsia="DejaVu Serif"/>
          <w:b w:val="0"/>
          <w:i w:val="0"/>
          <w:sz w:val="22"/>
        </w:rPr>
        <w:t>|dλ|≤(2|λ|/ρ)(|dU|+|dI|+|dR|+|dD|).</w:t>
      </w:r>
      <w:r>
        <w:rPr>
          <w:rFonts w:ascii="DejaVu Sans" w:hAnsi="DejaVu Sans" w:eastAsia="DejaVu Sans"/>
          <w:b w:val="0"/>
          <w:i/>
          <w:color w:val="666666"/>
          <w:sz w:val="16"/>
        </w:rPr>
        <w:t xml:space="preserve">    [RU p. 75]</w:t>
      </w:r>
    </w:p>
    <w:p>
      <w:pPr>
        <w:keepNext w:val="0"/>
        <w:keepLines w:val="0"/>
        <w:spacing w:before="0" w:after="100" w:line="259" w:lineRule="auto"/>
      </w:pPr>
      <w:r>
        <w:rPr>
          <w:rFonts w:ascii="DejaVu Serif" w:hAnsi="DejaVu Serif" w:eastAsia="DejaVu Serif"/>
          <w:b w:val="0"/>
          <w:i w:val="0"/>
          <w:sz w:val="20"/>
        </w:rPr>
        <w:t>Hence a small δ_truth does not imply numerical robustness when ρ is small. The CP1-CERT passport records the field, homogeneous representatives, affine chart, pairwise distinctions, λ, δ_truth, ρ, propagated uncertainty, reality test, Dom, D, and status.</w:t>
      </w:r>
    </w:p>
    <w:p>
      <w:pPr>
        <w:keepNext w:val="0"/>
        <w:keepLines w:val="0"/>
        <w:spacing w:before="0" w:after="100" w:line="259" w:lineRule="auto"/>
      </w:pPr>
      <w:r>
        <w:rPr>
          <w:rFonts w:ascii="DejaVu Serif" w:hAnsi="DejaVu Serif" w:eastAsia="DejaVu Serif"/>
          <w:b w:val="0"/>
          <w:i w:val="0"/>
          <w:sz w:val="20"/>
        </w:rPr>
        <w:t>The harmonic conjugation H_{A,C}:B↦D_harm is a projective involution. If A,C,B lie in RP¹, then D_harm also lies in RP¹, including the point at infinity. The converse fails without a declared real structure.</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STATUS FIREWALL. </w:t>
            </w:r>
            <w:r>
              <w:rPr>
                <w:rFonts w:ascii="DejaVu Serif" w:hAnsi="DejaVu Serif" w:eastAsia="DejaVu Serif"/>
                <w:b w:val="0"/>
                <w:i w:val="0"/>
                <w:sz w:val="18"/>
              </w:rPr>
              <w:t>Complex projective invariance is mathematics. The interpretation of the third coordinate of a helical visualization as physical time is not a consequence of the theorem.</w:t>
            </w:r>
          </w:p>
        </w:tc>
      </w:tr>
    </w:tbl>
    <w:p>
      <w:pPr>
        <w:pStyle w:val="Heading1"/>
        <w:keepNext/>
        <w:keepLines w:val="0"/>
        <w:spacing w:before="200" w:after="80" w:line="240" w:lineRule="auto"/>
        <w:pageBreakBefore w:val="1"/>
      </w:pPr>
      <w:bookmarkStart w:id="1017" w:name="T1_CH_18"/>
      <w:r>
        <w:rPr>
          <w:rFonts w:ascii="DejaVu Sans" w:hAnsi="DejaVu Sans" w:eastAsia="DejaVu Sans"/>
          <w:b/>
          <w:i w:val="0"/>
          <w:color w:val="1F4E78"/>
          <w:sz w:val="32"/>
        </w:rPr>
        <w:t>Chapter 18. Matrix and Operator Cross-Ratio</w:t>
      </w:r>
      <w:bookmarkEnd w:id="1017"/>
    </w:p>
    <w:p>
      <w:pPr>
        <w:keepNext w:val="0"/>
        <w:keepLines w:val="0"/>
        <w:spacing w:before="0" w:after="100" w:line="259" w:lineRule="auto"/>
      </w:pPr>
      <w:r>
        <w:rPr>
          <w:rFonts w:ascii="DejaVu Serif" w:hAnsi="DejaVu Serif" w:eastAsia="DejaVu Serif"/>
          <w:b w:val="0"/>
          <w:i/>
          <w:sz w:val="18"/>
        </w:rPr>
        <w:t>Russian source locator: pp. 76–77</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Noncommuting matrices cannot be inserted into the scalar fraction without choosing the order of factors and the side on which inverses act. The definition therefore begins with an invertibility and ordering contract.</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760720" cy="2530876"/>
            <wp:docPr id="21" name="Picture 21"/>
            <wp:cNvGraphicFramePr>
              <a:graphicFrameLocks noChangeAspect="1"/>
            </wp:cNvGraphicFramePr>
            <a:graphic>
              <a:graphicData uri="http://schemas.openxmlformats.org/drawingml/2006/picture">
                <pic:pic>
                  <pic:nvPicPr>
                    <pic:cNvPr id="0" name="fig18_opcr.png"/>
                    <pic:cNvPicPr/>
                  </pic:nvPicPr>
                  <pic:blipFill>
                    <a:blip r:embed="rId33"/>
                    <a:stretch>
                      <a:fillRect/>
                    </a:stretch>
                  </pic:blipFill>
                  <pic:spPr>
                    <a:xfrm>
                      <a:off x="0" y="0"/>
                      <a:ext cx="5760720" cy="2530876"/>
                    </a:xfrm>
                    <a:prstGeom prst="rect"/>
                  </pic:spPr>
                </pic:pic>
              </a:graphicData>
            </a:graphic>
          </wp:inline>
        </w:drawing>
      </w:r>
    </w:p>
    <w:p>
      <w:pPr>
        <w:keepNext w:val="0"/>
        <w:keepLines/>
        <w:spacing w:before="0" w:after="140" w:line="240" w:lineRule="auto"/>
        <w:jc w:val="center"/>
      </w:pPr>
      <w:bookmarkStart w:id="1078" w:name="T1_FIG_020"/>
      <w:r>
        <w:rPr>
          <w:rFonts w:ascii="DejaVu Serif" w:hAnsi="DejaVu Serif" w:eastAsia="DejaVu Serif"/>
          <w:b w:val="0"/>
          <w:i/>
          <w:color w:val="666666"/>
          <w:sz w:val="17"/>
        </w:rPr>
        <w:t>Figure 18.1. The operator construction produces a conjugacy class or central diagnostic only after the domain gates are satisfied.</w:t>
      </w:r>
      <w:bookmarkEnd w:id="1078"/>
    </w:p>
    <w:p>
      <w:pPr>
        <w:pStyle w:val="Heading2"/>
        <w:keepNext/>
        <w:keepLines w:val="0"/>
        <w:spacing w:before="160" w:after="80" w:line="240" w:lineRule="auto"/>
      </w:pPr>
      <w:r>
        <w:rPr>
          <w:rFonts w:ascii="DejaVu Sans" w:hAnsi="DejaVu Sans" w:eastAsia="DejaVu Sans"/>
          <w:b/>
          <w:i w:val="0"/>
          <w:color w:val="1F4E78"/>
          <w:sz w:val="25"/>
        </w:rPr>
        <w:t>18.1. Right Operator Cross-Ratio</w:t>
      </w:r>
    </w:p>
    <w:p>
      <w:pPr>
        <w:keepNext w:val="0"/>
        <w:keepLines w:val="0"/>
        <w:spacing w:before="0" w:after="100" w:line="259" w:lineRule="auto"/>
      </w:pPr>
      <w:r>
        <w:rPr>
          <w:rFonts w:ascii="DejaVu Serif" w:hAnsi="DejaVu Serif" w:eastAsia="DejaVu Serif"/>
          <w:b w:val="0"/>
          <w:i w:val="0"/>
          <w:sz w:val="20"/>
        </w:rPr>
        <w:t>Let A,B,C,D belong to an associative unital algebra and assume C−B and D−A are invertible. One fixed right convention is</w:t>
      </w:r>
    </w:p>
    <w:p>
      <w:pPr>
        <w:keepNext w:val="0"/>
        <w:keepLines/>
        <w:spacing w:before="80" w:after="140" w:line="240" w:lineRule="auto"/>
        <w:jc w:val="center"/>
      </w:pPr>
      <w:r>
        <w:rPr>
          <w:rFonts w:ascii="DejaVu Serif" w:hAnsi="DejaVu Serif" w:eastAsia="DejaVu Serif"/>
          <w:b w:val="0"/>
          <w:i w:val="0"/>
          <w:sz w:val="22"/>
        </w:rPr>
        <w:t>CR_R(A,B;C,D)=(C−A)(C−B)⁻¹(D−B)(D−A)⁻¹.</w:t>
      </w:r>
      <w:r>
        <w:rPr>
          <w:rFonts w:ascii="DejaVu Sans" w:hAnsi="DejaVu Sans" w:eastAsia="DejaVu Sans"/>
          <w:b w:val="0"/>
          <w:i/>
          <w:color w:val="666666"/>
          <w:sz w:val="16"/>
        </w:rPr>
        <w:t xml:space="preserve">    [RU p. 76]</w:t>
      </w:r>
    </w:p>
    <w:p>
      <w:pPr>
        <w:keepNext w:val="0"/>
        <w:keepLines w:val="0"/>
        <w:spacing w:before="0" w:after="100" w:line="259" w:lineRule="auto"/>
      </w:pPr>
      <w:r>
        <w:rPr>
          <w:rFonts w:ascii="DejaVu Serif" w:hAnsi="DejaVu Serif" w:eastAsia="DejaVu Serif"/>
          <w:b w:val="0"/>
          <w:i w:val="0"/>
          <w:sz w:val="20"/>
        </w:rPr>
        <w:t>Other conventions are possible, but the convention must be frozen before computation. Left and right variants are different typed objects in a noncommutative algebra.</w:t>
      </w:r>
    </w:p>
    <w:p>
      <w:pPr>
        <w:pStyle w:val="Heading2"/>
        <w:keepNext/>
        <w:keepLines w:val="0"/>
        <w:spacing w:before="160" w:after="80" w:line="240" w:lineRule="auto"/>
      </w:pPr>
      <w:r>
        <w:rPr>
          <w:rFonts w:ascii="DejaVu Sans" w:hAnsi="DejaVu Sans" w:eastAsia="DejaVu Sans"/>
          <w:b/>
          <w:i w:val="0"/>
          <w:color w:val="1F4E78"/>
          <w:sz w:val="25"/>
        </w:rPr>
        <w:t>18.2. Conjugacy Covariance</w:t>
      </w:r>
    </w:p>
    <w:p>
      <w:pPr>
        <w:keepNext w:val="0"/>
        <w:keepLines w:val="0"/>
        <w:spacing w:before="0" w:after="100" w:line="259" w:lineRule="auto"/>
      </w:pPr>
      <w:r>
        <w:rPr>
          <w:rFonts w:ascii="DejaVu Serif" w:hAnsi="DejaVu Serif" w:eastAsia="DejaVu Serif"/>
          <w:b w:val="0"/>
          <w:i w:val="0"/>
          <w:sz w:val="20"/>
        </w:rPr>
        <w:t>Theorem 18.1 [THM]. For an invertible S and A′=SAS⁻¹, B′=SBS⁻¹, C′=SCS⁻¹, D′=SDS⁻¹,</w:t>
      </w:r>
    </w:p>
    <w:p>
      <w:pPr>
        <w:keepNext w:val="0"/>
        <w:keepLines/>
        <w:spacing w:before="80" w:after="140" w:line="240" w:lineRule="auto"/>
        <w:jc w:val="center"/>
      </w:pPr>
      <w:r>
        <w:rPr>
          <w:rFonts w:ascii="DejaVu Serif" w:hAnsi="DejaVu Serif" w:eastAsia="DejaVu Serif"/>
          <w:b w:val="0"/>
          <w:i w:val="0"/>
          <w:sz w:val="22"/>
        </w:rPr>
        <w:t>CR_R(A′,B′;C′,D′)=S·CR_R(A,B;C,D)·S⁻¹.</w:t>
      </w:r>
      <w:r>
        <w:rPr>
          <w:rFonts w:ascii="DejaVu Sans" w:hAnsi="DejaVu Sans" w:eastAsia="DejaVu Sans"/>
          <w:b w:val="0"/>
          <w:i/>
          <w:color w:val="666666"/>
          <w:sz w:val="16"/>
        </w:rPr>
        <w:t xml:space="preserve">    [RU p. 77]</w:t>
      </w:r>
    </w:p>
    <w:p>
      <w:pPr>
        <w:keepNext w:val="0"/>
        <w:keepLines w:val="0"/>
        <w:spacing w:before="0" w:after="100" w:line="259" w:lineRule="auto"/>
      </w:pPr>
      <w:r>
        <w:rPr>
          <w:rFonts w:ascii="DejaVu Serif" w:hAnsi="DejaVu Serif" w:eastAsia="DejaVu Serif"/>
          <w:b w:val="0"/>
          <w:i w:val="0"/>
          <w:sz w:val="20"/>
        </w:rPr>
        <w:t>Consequently, the conjugacy class is natural. In finite-dimensional complex models, spectrum, trace, determinant, or another central function may be used as a diagnostic only when its domain and semantics are stated.</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1814"/>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Regime</w:t>
            </w:r>
          </w:p>
        </w:tc>
        <w:tc>
          <w:tcPr>
            <w:tcW w:type="dxa" w:w="2948"/>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Condition</w:t>
            </w:r>
          </w:p>
        </w:tc>
        <w:tc>
          <w:tcPr>
            <w:tcW w:type="dxa" w:w="4309"/>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Permitted meaning</w:t>
            </w:r>
          </w:p>
        </w:tc>
      </w:tr>
      <w:tr>
        <w:trPr>
          <w:cantSplit/>
        </w:trPr>
        <w:tc>
          <w:tcPr>
            <w:tcW w:type="dxa" w:w="181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Strict matrix</w:t>
            </w:r>
          </w:p>
        </w:tc>
        <w:tc>
          <w:tcPr>
            <w:tcW w:type="dxa" w:w="294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CR_R=−I</w:t>
            </w:r>
          </w:p>
        </w:tc>
        <w:tc>
          <w:tcPr>
            <w:tcW w:type="dxa" w:w="430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operator harmonicity</w:t>
            </w:r>
          </w:p>
        </w:tc>
      </w:tr>
      <w:tr>
        <w:trPr>
          <w:cantSplit/>
        </w:trPr>
        <w:tc>
          <w:tcPr>
            <w:tcW w:type="dxa" w:w="181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Spectral</w:t>
            </w:r>
          </w:p>
        </w:tc>
        <w:tc>
          <w:tcPr>
            <w:tcW w:type="dxa" w:w="294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spec(CR_R) concentrated near −1</w:t>
            </w:r>
          </w:p>
        </w:tc>
        <w:tc>
          <w:tcPr>
            <w:tcW w:type="dxa" w:w="430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review signal; not equality</w:t>
            </w:r>
          </w:p>
        </w:tc>
      </w:tr>
      <w:tr>
        <w:trPr>
          <w:cantSplit/>
        </w:trPr>
        <w:tc>
          <w:tcPr>
            <w:tcW w:type="dxa" w:w="181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Trace</w:t>
            </w:r>
          </w:p>
        </w:tc>
        <w:tc>
          <w:tcPr>
            <w:tcW w:type="dxa" w:w="294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tr(CR_R)/n≈−1</w:t>
            </w:r>
          </w:p>
        </w:tc>
        <w:tc>
          <w:tcPr>
            <w:tcW w:type="dxa" w:w="430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compressed diagnostic</w:t>
            </w:r>
          </w:p>
        </w:tc>
      </w:tr>
      <w:tr>
        <w:trPr>
          <w:cantSplit/>
        </w:trPr>
        <w:tc>
          <w:tcPr>
            <w:tcW w:type="dxa" w:w="181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Norm</w:t>
            </w:r>
          </w:p>
        </w:tc>
        <w:tc>
          <w:tcPr>
            <w:tcW w:type="dxa" w:w="294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‖CR_R+I‖≤ε</w:t>
            </w:r>
          </w:p>
        </w:tc>
        <w:tc>
          <w:tcPr>
            <w:tcW w:type="dxa" w:w="430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approximate operator gate</w:t>
            </w:r>
          </w:p>
        </w:tc>
      </w:tr>
    </w:tbl>
    <w:p>
      <w:pPr>
        <w:spacing w:after="40"/>
      </w:pPr>
    </w:p>
    <w:p>
      <w:pPr>
        <w:keepNext w:val="0"/>
        <w:keepLines w:val="0"/>
        <w:spacing w:before="0" w:after="100" w:line="259" w:lineRule="auto"/>
      </w:pPr>
      <w:r>
        <w:rPr>
          <w:rFonts w:ascii="DejaVu Serif" w:hAnsi="DejaVu Serif" w:eastAsia="DejaVu Serif"/>
          <w:b w:val="0"/>
          <w:i w:val="0"/>
          <w:sz w:val="20"/>
        </w:rPr>
        <w:t>Theorem 18.3 [THM]. If A,B,C,D lie in a common commutative subalgebra, the right operator expression reduces to the scalar cross-ratio in the corresponding convention.</w:t>
      </w:r>
    </w:p>
    <w:p>
      <w:pPr>
        <w:keepNext w:val="0"/>
        <w:keepLines w:val="0"/>
        <w:spacing w:before="0" w:after="100" w:line="259" w:lineRule="auto"/>
      </w:pPr>
      <w:r>
        <w:rPr>
          <w:rFonts w:ascii="DejaVu Serif" w:hAnsi="DejaVu Serif" w:eastAsia="DejaVu Serif"/>
          <w:b w:val="0"/>
          <w:i w:val="0"/>
          <w:sz w:val="20"/>
        </w:rPr>
        <w:t>Counterexample 18.4. The Jordan matrix J=[[-1,1],[0,-1]] has spectrum {−1}, but J≠−I. Spectrum alone is therefore insufficient for strict operator harmonicity.</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OPCR-CERT. </w:t>
            </w:r>
            <w:r>
              <w:rPr>
                <w:rFonts w:ascii="DejaVu Serif" w:hAnsi="DejaVu Serif" w:eastAsia="DejaVu Serif"/>
                <w:b w:val="0"/>
                <w:i w:val="0"/>
                <w:sz w:val="18"/>
              </w:rPr>
              <w:t>The certificate must record algebra, multiplication order, inverse side, invertibility witnesses, norm, spectrum/trace convention, condition numbers, Dom, D, and status. Missing invertibility yields ABSTAIN-DOM.</w:t>
            </w:r>
          </w:p>
        </w:tc>
      </w:tr>
    </w:tbl>
    <w:p>
      <w:pPr>
        <w:pStyle w:val="Heading1"/>
        <w:keepNext/>
        <w:keepLines w:val="0"/>
        <w:spacing w:before="200" w:after="80" w:line="240" w:lineRule="auto"/>
        <w:pageBreakBefore w:val="1"/>
      </w:pPr>
      <w:bookmarkStart w:id="1018" w:name="T1_CH_19"/>
      <w:r>
        <w:rPr>
          <w:rFonts w:ascii="DejaVu Sans" w:hAnsi="DejaVu Sans" w:eastAsia="DejaVu Sans"/>
          <w:b/>
          <w:i w:val="0"/>
          <w:color w:val="1F4E78"/>
          <w:sz w:val="32"/>
        </w:rPr>
        <w:t>Chapter 19. Proof-Cleaning of the Desargues–Kurpishev Theorem</w:t>
      </w:r>
      <w:bookmarkEnd w:id="1018"/>
    </w:p>
    <w:p>
      <w:pPr>
        <w:keepNext w:val="0"/>
        <w:keepLines w:val="0"/>
        <w:spacing w:before="0" w:after="100" w:line="259" w:lineRule="auto"/>
      </w:pPr>
      <w:r>
        <w:rPr>
          <w:rFonts w:ascii="DejaVu Serif" w:hAnsi="DejaVu Serif" w:eastAsia="DejaVu Serif"/>
          <w:b w:val="0"/>
          <w:i/>
          <w:sz w:val="18"/>
        </w:rPr>
        <w:t>Russian source locator: pp. 78–81</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The proof is split into independently checkable obligations: existence of a polar-centre point, identification with a Desargues axis, and harmonicity. A diagram can suggest these coincidences, but it cannot establish them.</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806440" cy="2550963"/>
            <wp:docPr id="22" name="Picture 22"/>
            <wp:cNvGraphicFramePr>
              <a:graphicFrameLocks noChangeAspect="1"/>
            </wp:cNvGraphicFramePr>
            <a:graphic>
              <a:graphicData uri="http://schemas.openxmlformats.org/drawingml/2006/picture">
                <pic:pic>
                  <pic:nvPicPr>
                    <pic:cNvPr id="0" name="fig19_dk.png"/>
                    <pic:cNvPicPr/>
                  </pic:nvPicPr>
                  <pic:blipFill>
                    <a:blip r:embed="rId34"/>
                    <a:stretch>
                      <a:fillRect/>
                    </a:stretch>
                  </pic:blipFill>
                  <pic:spPr>
                    <a:xfrm>
                      <a:off x="0" y="0"/>
                      <a:ext cx="5806440" cy="2550963"/>
                    </a:xfrm>
                    <a:prstGeom prst="rect"/>
                  </pic:spPr>
                </pic:pic>
              </a:graphicData>
            </a:graphic>
          </wp:inline>
        </w:drawing>
      </w:r>
    </w:p>
    <w:p>
      <w:pPr>
        <w:keepNext w:val="0"/>
        <w:keepLines/>
        <w:spacing w:before="0" w:after="140" w:line="240" w:lineRule="auto"/>
        <w:jc w:val="center"/>
      </w:pPr>
      <w:bookmarkStart w:id="1079" w:name="T1_FIG_021"/>
      <w:r>
        <w:rPr>
          <w:rFonts w:ascii="DejaVu Serif" w:hAnsi="DejaVu Serif" w:eastAsia="DejaVu Serif"/>
          <w:b w:val="0"/>
          <w:i/>
          <w:color w:val="666666"/>
          <w:sz w:val="17"/>
        </w:rPr>
        <w:t>Figure 19.1. Proof-cleaning separates the classical constructions and the authorial bridge identities.</w:t>
      </w:r>
      <w:bookmarkEnd w:id="1079"/>
    </w:p>
    <w:p>
      <w:pPr>
        <w:pStyle w:val="Heading2"/>
        <w:keepNext/>
        <w:keepLines w:val="0"/>
        <w:spacing w:before="160" w:after="80" w:line="240" w:lineRule="auto"/>
      </w:pPr>
      <w:r>
        <w:rPr>
          <w:rFonts w:ascii="DejaVu Sans" w:hAnsi="DejaVu Sans" w:eastAsia="DejaVu Sans"/>
          <w:b/>
          <w:i w:val="0"/>
          <w:color w:val="1F4E78"/>
          <w:sz w:val="25"/>
        </w:rPr>
        <w:t>19.1. Existence and Identification Layers</w:t>
      </w:r>
    </w:p>
    <w:p>
      <w:pPr>
        <w:keepNext w:val="0"/>
        <w:keepLines w:val="0"/>
        <w:spacing w:before="0" w:after="100" w:line="259" w:lineRule="auto"/>
      </w:pPr>
      <w:r>
        <w:rPr>
          <w:rFonts w:ascii="DejaVu Serif" w:hAnsi="DejaVu Serif" w:eastAsia="DejaVu Serif"/>
          <w:b w:val="0"/>
          <w:i w:val="0"/>
          <w:sz w:val="20"/>
        </w:rPr>
        <w:t>Theorem 19.1 [THM]. Under the declared projective-plane, nondegenerate polarity, and transversality hypotheses, the two pole-centres O₁,O₂ determine a central line c, and c meets the support line p in a well-defined point D_pol.</w:t>
      </w:r>
    </w:p>
    <w:p>
      <w:pPr>
        <w:keepNext w:val="0"/>
        <w:keepLines w:val="0"/>
        <w:spacing w:before="0" w:after="100" w:line="259" w:lineRule="auto"/>
      </w:pPr>
      <w:r>
        <w:rPr>
          <w:rFonts w:ascii="DejaVu Serif" w:hAnsi="DejaVu Serif" w:eastAsia="DejaVu Serif"/>
          <w:b w:val="0"/>
          <w:i w:val="0"/>
          <w:sz w:val="20"/>
        </w:rPr>
        <w:t>Theorem 19.2 [COND]. If a pair of triangles satisfies the classical Desargues hypotheses and its axis d_Des is proved to coincide with c, then the Desargues trace on p coincides with D_pol.</w:t>
      </w:r>
    </w:p>
    <w:p>
      <w:pPr>
        <w:pStyle w:val="Heading2"/>
        <w:keepNext/>
        <w:keepLines w:val="0"/>
        <w:spacing w:before="160" w:after="80" w:line="240" w:lineRule="auto"/>
      </w:pPr>
      <w:r>
        <w:rPr>
          <w:rFonts w:ascii="DejaVu Sans" w:hAnsi="DejaVu Sans" w:eastAsia="DejaVu Sans"/>
          <w:b/>
          <w:i w:val="0"/>
          <w:color w:val="1F4E78"/>
          <w:sz w:val="25"/>
        </w:rPr>
        <w:t>19.2. Homogeneous Harmonicity Criterion</w:t>
      </w:r>
    </w:p>
    <w:p>
      <w:pPr>
        <w:keepNext w:val="0"/>
        <w:keepLines w:val="0"/>
        <w:spacing w:before="0" w:after="100" w:line="259" w:lineRule="auto"/>
      </w:pPr>
      <w:r>
        <w:rPr>
          <w:rFonts w:ascii="DejaVu Serif" w:hAnsi="DejaVu Serif" w:eastAsia="DejaVu Serif"/>
          <w:b w:val="0"/>
          <w:i w:val="0"/>
          <w:sz w:val="20"/>
        </w:rPr>
        <w:t>For homogeneous representatives a,b,c,d on P¹, harmonicity is equivalent to the coordinate-free determinant identity</w:t>
      </w:r>
    </w:p>
    <w:p>
      <w:pPr>
        <w:keepNext w:val="0"/>
        <w:keepLines/>
        <w:spacing w:before="80" w:after="140" w:line="240" w:lineRule="auto"/>
        <w:jc w:val="center"/>
      </w:pPr>
      <w:r>
        <w:rPr>
          <w:rFonts w:ascii="DejaVu Serif" w:hAnsi="DejaVu Serif" w:eastAsia="DejaVu Serif"/>
          <w:b w:val="0"/>
          <w:i w:val="0"/>
          <w:sz w:val="22"/>
        </w:rPr>
        <w:t>[b,a][d,c]+[b,c][d,a]=0.</w:t>
      </w:r>
      <w:r>
        <w:rPr>
          <w:rFonts w:ascii="DejaVu Sans" w:hAnsi="DejaVu Sans" w:eastAsia="DejaVu Sans"/>
          <w:b w:val="0"/>
          <w:i/>
          <w:color w:val="666666"/>
          <w:sz w:val="16"/>
        </w:rPr>
        <w:t xml:space="preserve">    [RU p. 80]</w:t>
      </w:r>
    </w:p>
    <w:p>
      <w:pPr>
        <w:keepNext w:val="0"/>
        <w:keepLines w:val="0"/>
        <w:spacing w:before="0" w:after="100" w:line="259" w:lineRule="auto"/>
      </w:pPr>
      <w:r>
        <w:rPr>
          <w:rFonts w:ascii="DejaVu Serif" w:hAnsi="DejaVu Serif" w:eastAsia="DejaVu Serif"/>
          <w:b w:val="0"/>
          <w:i w:val="0"/>
          <w:sz w:val="20"/>
        </w:rPr>
        <w:t>Theorem 19.3 [COND]. The Desargues–Kurpishev conclusion follows only after the separate bridge D_pol=D_harm has been proved. No incidence-only argument supplies this equality automatically.</w:t>
      </w:r>
    </w:p>
    <w:p>
      <w:pPr>
        <w:pStyle w:val="Heading2"/>
        <w:keepNext/>
        <w:keepLines w:val="0"/>
        <w:spacing w:before="160" w:after="80" w:line="240" w:lineRule="auto"/>
      </w:pPr>
      <w:r>
        <w:rPr>
          <w:rFonts w:ascii="DejaVu Sans" w:hAnsi="DejaVu Sans" w:eastAsia="DejaVu Sans"/>
          <w:b/>
          <w:i w:val="0"/>
          <w:color w:val="1F4E78"/>
          <w:sz w:val="25"/>
        </w:rPr>
        <w:t>19.3. Countermodel and Status Monotonicity</w:t>
      </w:r>
    </w:p>
    <w:p>
      <w:pPr>
        <w:keepNext w:val="0"/>
        <w:keepLines w:val="0"/>
        <w:spacing w:before="0" w:after="100" w:line="259" w:lineRule="auto"/>
      </w:pPr>
      <w:r>
        <w:rPr>
          <w:rFonts w:ascii="DejaVu Serif" w:hAnsi="DejaVu Serif" w:eastAsia="DejaVu Serif"/>
          <w:b w:val="0"/>
          <w:i w:val="0"/>
          <w:sz w:val="20"/>
        </w:rPr>
        <w:t>A coordinate countermodel may satisfy the polar and Desargues constructions while failing the harmonic determinant identity. It refutes automatic harmonicity but does not refute the conditional theorem with its explicit bridge hypotheses.</w:t>
      </w:r>
    </w:p>
    <w:p>
      <w:pPr>
        <w:keepNext w:val="0"/>
        <w:keepLines w:val="0"/>
        <w:spacing w:before="0" w:after="100" w:line="259" w:lineRule="auto"/>
      </w:pPr>
      <w:r>
        <w:rPr>
          <w:rFonts w:ascii="DejaVu Serif" w:hAnsi="DejaVu Serif" w:eastAsia="DejaVu Serif"/>
          <w:b w:val="0"/>
          <w:i w:val="0"/>
          <w:sz w:val="20"/>
        </w:rPr>
        <w:t>Theorem 19.5 [PROP]. Editorial transformations that close no new mathematical obligation cannot raise the DK status. Reformatting a proof graph is not a proof step.</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1247"/>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Proof node</w:t>
            </w:r>
          </w:p>
        </w:tc>
        <w:tc>
          <w:tcPr>
            <w:tcW w:type="dxa" w:w="5556"/>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Required evidence</w:t>
            </w:r>
          </w:p>
        </w:tc>
        <w:tc>
          <w:tcPr>
            <w:tcW w:type="dxa" w:w="2268"/>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Failure verdict</w:t>
            </w:r>
          </w:p>
        </w:tc>
      </w:tr>
      <w:tr>
        <w:trPr>
          <w:cantSplit/>
        </w:trPr>
        <w:tc>
          <w:tcPr>
            <w:tcW w:type="dxa" w:w="124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DK-1</w:t>
            </w:r>
          </w:p>
        </w:tc>
        <w:tc>
          <w:tcPr>
            <w:tcW w:type="dxa" w:w="555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nondegenerate conics/polarities and unique poles</w:t>
            </w:r>
          </w:p>
        </w:tc>
        <w:tc>
          <w:tcPr>
            <w:tcW w:type="dxa" w:w="226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ABSTAIN-DOM</w:t>
            </w:r>
          </w:p>
        </w:tc>
      </w:tr>
      <w:tr>
        <w:trPr>
          <w:cantSplit/>
        </w:trPr>
        <w:tc>
          <w:tcPr>
            <w:tcW w:type="dxa" w:w="124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DK-2</w:t>
            </w:r>
          </w:p>
        </w:tc>
        <w:tc>
          <w:tcPr>
            <w:tcW w:type="dxa" w:w="555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central line c and trace D_pol exist</w:t>
            </w:r>
          </w:p>
        </w:tc>
        <w:tc>
          <w:tcPr>
            <w:tcW w:type="dxa" w:w="226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ABSTAIN-INCIDENCE</w:t>
            </w:r>
          </w:p>
        </w:tc>
      </w:tr>
      <w:tr>
        <w:trPr>
          <w:cantSplit/>
        </w:trPr>
        <w:tc>
          <w:tcPr>
            <w:tcW w:type="dxa" w:w="124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DK-3</w:t>
            </w:r>
          </w:p>
        </w:tc>
        <w:tc>
          <w:tcPr>
            <w:tcW w:type="dxa" w:w="555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classical Desargues hypotheses</w:t>
            </w:r>
          </w:p>
        </w:tc>
        <w:tc>
          <w:tcPr>
            <w:tcW w:type="dxa" w:w="226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ABSTAIN-DESARGUES</w:t>
            </w:r>
          </w:p>
        </w:tc>
      </w:tr>
      <w:tr>
        <w:trPr>
          <w:cantSplit/>
        </w:trPr>
        <w:tc>
          <w:tcPr>
            <w:tcW w:type="dxa" w:w="124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DK-4</w:t>
            </w:r>
          </w:p>
        </w:tc>
        <w:tc>
          <w:tcPr>
            <w:tcW w:type="dxa" w:w="555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bridge c=d_Des</w:t>
            </w:r>
          </w:p>
        </w:tc>
        <w:tc>
          <w:tcPr>
            <w:tcW w:type="dxa" w:w="226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OPEN-BRIDGE</w:t>
            </w:r>
          </w:p>
        </w:tc>
      </w:tr>
      <w:tr>
        <w:trPr>
          <w:cantSplit/>
        </w:trPr>
        <w:tc>
          <w:tcPr>
            <w:tcW w:type="dxa" w:w="124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DK-5</w:t>
            </w:r>
          </w:p>
        </w:tc>
        <w:tc>
          <w:tcPr>
            <w:tcW w:type="dxa" w:w="555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bridge D_pol=D_harm / determinant identity</w:t>
            </w:r>
          </w:p>
        </w:tc>
        <w:tc>
          <w:tcPr>
            <w:tcW w:type="dxa" w:w="226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OPEN-HARMONIC</w:t>
            </w:r>
          </w:p>
        </w:tc>
      </w:tr>
    </w:tbl>
    <w:p>
      <w:pPr>
        <w:spacing w:after="40"/>
      </w:pP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CANONICAL VERDICT. </w:t>
            </w:r>
            <w:r>
              <w:rPr>
                <w:rFonts w:ascii="DejaVu Serif" w:hAnsi="DejaVu Serif" w:eastAsia="DejaVu Serif"/>
                <w:b w:val="0"/>
                <w:i w:val="0"/>
                <w:sz w:val="18"/>
              </w:rPr>
              <w:t>The theorem is a rigorous conditional result. Its unconditional geometric universality remains OPEN until the bridge hypotheses are derived from a stronger common carrier.</w:t>
            </w:r>
          </w:p>
        </w:tc>
      </w:tr>
    </w:tbl>
    <w:p>
      <w:pPr>
        <w:pStyle w:val="Heading1"/>
        <w:keepNext/>
        <w:keepLines w:val="0"/>
        <w:spacing w:before="200" w:after="80" w:line="240" w:lineRule="auto"/>
        <w:pageBreakBefore w:val="1"/>
      </w:pPr>
      <w:bookmarkStart w:id="1019" w:name="T1_CH_20"/>
      <w:r>
        <w:rPr>
          <w:rFonts w:ascii="DejaVu Sans" w:hAnsi="DejaVu Sans" w:eastAsia="DejaVu Sans"/>
          <w:b/>
          <w:i w:val="0"/>
          <w:color w:val="1F4E78"/>
          <w:sz w:val="32"/>
        </w:rPr>
        <w:t>Chapter 20. Subject Index, Formula Registry, and Cross-Reference System</w:t>
      </w:r>
      <w:bookmarkEnd w:id="1019"/>
    </w:p>
    <w:p>
      <w:pPr>
        <w:keepNext w:val="0"/>
        <w:keepLines w:val="0"/>
        <w:spacing w:before="0" w:after="100" w:line="259" w:lineRule="auto"/>
      </w:pPr>
      <w:r>
        <w:rPr>
          <w:rFonts w:ascii="DejaVu Serif" w:hAnsi="DejaVu Serif" w:eastAsia="DejaVu Serif"/>
          <w:b w:val="0"/>
          <w:i/>
          <w:sz w:val="18"/>
        </w:rPr>
        <w:t>Russian source locator: pp. 82–86</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Scientific navigation is treated as a typed graph. A citation edge carries a role—definition, proof dependency, example, counterexample, source, or status—and cannot transfer a stronger status than the target itself possesses.</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760720" cy="2530876"/>
            <wp:docPr id="23" name="Picture 23"/>
            <wp:cNvGraphicFramePr>
              <a:graphicFrameLocks noChangeAspect="1"/>
            </wp:cNvGraphicFramePr>
            <a:graphic>
              <a:graphicData uri="http://schemas.openxmlformats.org/drawingml/2006/picture">
                <pic:pic>
                  <pic:nvPicPr>
                    <pic:cNvPr id="0" name="fig20_refs.png"/>
                    <pic:cNvPicPr/>
                  </pic:nvPicPr>
                  <pic:blipFill>
                    <a:blip r:embed="rId35"/>
                    <a:stretch>
                      <a:fillRect/>
                    </a:stretch>
                  </pic:blipFill>
                  <pic:spPr>
                    <a:xfrm>
                      <a:off x="0" y="0"/>
                      <a:ext cx="5760720" cy="2530876"/>
                    </a:xfrm>
                    <a:prstGeom prst="rect"/>
                  </pic:spPr>
                </pic:pic>
              </a:graphicData>
            </a:graphic>
          </wp:inline>
        </w:drawing>
      </w:r>
    </w:p>
    <w:p>
      <w:pPr>
        <w:keepNext w:val="0"/>
        <w:keepLines/>
        <w:spacing w:before="0" w:after="140" w:line="240" w:lineRule="auto"/>
        <w:jc w:val="center"/>
      </w:pPr>
      <w:bookmarkStart w:id="1080" w:name="T1_FIG_022"/>
      <w:r>
        <w:rPr>
          <w:rFonts w:ascii="DejaVu Serif" w:hAnsi="DejaVu Serif" w:eastAsia="DejaVu Serif"/>
          <w:b w:val="0"/>
          <w:i/>
          <w:color w:val="666666"/>
          <w:sz w:val="17"/>
        </w:rPr>
        <w:t>Figure 20.1. Typed reference edges preserve direction, role, and status.</w:t>
      </w:r>
      <w:bookmarkEnd w:id="1080"/>
    </w:p>
    <w:p>
      <w:pPr>
        <w:pStyle w:val="Heading2"/>
        <w:keepNext/>
        <w:keepLines w:val="0"/>
        <w:spacing w:before="160" w:after="80" w:line="240" w:lineRule="auto"/>
      </w:pPr>
      <w:r>
        <w:rPr>
          <w:rFonts w:ascii="DejaVu Sans" w:hAnsi="DejaVu Sans" w:eastAsia="DejaVu Sans"/>
          <w:b/>
          <w:i w:val="0"/>
          <w:color w:val="1F4E78"/>
          <w:sz w:val="25"/>
        </w:rPr>
        <w:t>20.1. Reference Graph</w:t>
      </w:r>
    </w:p>
    <w:p>
      <w:pPr>
        <w:keepNext w:val="0"/>
        <w:keepLines w:val="0"/>
        <w:spacing w:before="0" w:after="100" w:line="259" w:lineRule="auto"/>
      </w:pPr>
      <w:r>
        <w:rPr>
          <w:rFonts w:ascii="DejaVu Serif" w:hAnsi="DejaVu Serif" w:eastAsia="DejaVu Serif"/>
          <w:b w:val="0"/>
          <w:i w:val="0"/>
          <w:sz w:val="20"/>
        </w:rPr>
        <w:t>Definition 20.1. The cross-reference graph is G_ref=(V,E), where a vertex is a stable scientific object and an edge contains source-id, target-id, edge-type, locator, Dom, and status metadata.</w:t>
      </w:r>
    </w:p>
    <w:p>
      <w:pPr>
        <w:keepNext w:val="0"/>
        <w:keepLines w:val="0"/>
        <w:spacing w:before="0" w:after="100" w:line="259" w:lineRule="auto"/>
      </w:pPr>
      <w:r>
        <w:rPr>
          <w:rFonts w:ascii="DejaVu Serif" w:hAnsi="DejaVu Serif" w:eastAsia="DejaVu Serif"/>
          <w:b w:val="0"/>
          <w:i w:val="0"/>
          <w:sz w:val="20"/>
        </w:rPr>
        <w:t>Theorem 20.1 [THM]. If every proof-dependency edge points from a later object to an earlier already-defined object, the verified proof kernel is acyclic. A cycle of bare mutual definitions without a simultaneous fixed-point definition is a defect, not depth.</w:t>
      </w:r>
    </w:p>
    <w:p>
      <w:pPr>
        <w:pStyle w:val="Heading2"/>
        <w:keepNext/>
        <w:keepLines w:val="0"/>
        <w:spacing w:before="160" w:after="80" w:line="240" w:lineRule="auto"/>
      </w:pPr>
      <w:r>
        <w:rPr>
          <w:rFonts w:ascii="DejaVu Sans" w:hAnsi="DejaVu Sans" w:eastAsia="DejaVu Sans"/>
          <w:b/>
          <w:i w:val="0"/>
          <w:color w:val="1F4E78"/>
          <w:sz w:val="25"/>
        </w:rPr>
        <w:t>20.2. No Status Transfer</w:t>
      </w:r>
    </w:p>
    <w:p>
      <w:pPr>
        <w:keepNext w:val="0"/>
        <w:keepLines w:val="0"/>
        <w:spacing w:before="0" w:after="100" w:line="259" w:lineRule="auto"/>
      </w:pPr>
      <w:r>
        <w:rPr>
          <w:rFonts w:ascii="DejaVu Serif" w:hAnsi="DejaVu Serif" w:eastAsia="DejaVu Serif"/>
          <w:b w:val="0"/>
          <w:i w:val="0"/>
          <w:sz w:val="20"/>
        </w:rPr>
        <w:t>Proposition 20.2 [PROP]. A reference to a proved statement does not make the referring statement proved. The referring object must independently verify that the theorem hypotheses hold in its own Dom and that its transformation preserves the conclusion.</w:t>
      </w:r>
    </w:p>
    <w:p>
      <w:pPr>
        <w:keepNext w:val="0"/>
        <w:keepLines w:val="0"/>
        <w:spacing w:before="0" w:after="100" w:line="259" w:lineRule="auto"/>
      </w:pPr>
      <w:r>
        <w:rPr>
          <w:rFonts w:ascii="DejaVu Serif" w:hAnsi="DejaVu Serif" w:eastAsia="DejaVu Serif"/>
          <w:b w:val="0"/>
          <w:i w:val="0"/>
          <w:sz w:val="20"/>
        </w:rPr>
        <w:t>Theorem 20.3 [PROP]. If an edit changes a vertex a, only its reverse dependency cone must be re-audited, provided all stable identifiers remain unchanged. This locality is the basis of change-set discipline.</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1701"/>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Object type</w:t>
            </w:r>
          </w:p>
        </w:tc>
        <w:tc>
          <w:tcPr>
            <w:tcW w:type="dxa" w:w="2948"/>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Stable address</w:t>
            </w:r>
          </w:p>
        </w:tc>
        <w:tc>
          <w:tcPr>
            <w:tcW w:type="dxa" w:w="4422"/>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Minimum audit</w:t>
            </w:r>
          </w:p>
        </w:tc>
      </w:tr>
      <w:tr>
        <w:trPr>
          <w:cantSplit/>
        </w:trPr>
        <w:tc>
          <w:tcPr>
            <w:tcW w:type="dxa" w:w="170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formula</w:t>
            </w:r>
          </w:p>
        </w:tc>
        <w:tc>
          <w:tcPr>
            <w:tcW w:type="dxa" w:w="294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F001–F086 + first RU page</w:t>
            </w:r>
          </w:p>
        </w:tc>
        <w:tc>
          <w:tcPr>
            <w:tcW w:type="dxa" w:w="442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symbol type, Dom, source</w:t>
            </w:r>
          </w:p>
        </w:tc>
      </w:tr>
      <w:tr>
        <w:trPr>
          <w:cantSplit/>
        </w:trPr>
        <w:tc>
          <w:tcPr>
            <w:tcW w:type="dxa" w:w="170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formal statement</w:t>
            </w:r>
          </w:p>
        </w:tc>
        <w:tc>
          <w:tcPr>
            <w:tcW w:type="dxa" w:w="294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type + number + RU page</w:t>
            </w:r>
          </w:p>
        </w:tc>
        <w:tc>
          <w:tcPr>
            <w:tcW w:type="dxa" w:w="442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hypotheses, conclusion, status</w:t>
            </w:r>
          </w:p>
        </w:tc>
      </w:tr>
      <w:tr>
        <w:trPr>
          <w:cantSplit/>
        </w:trPr>
        <w:tc>
          <w:tcPr>
            <w:tcW w:type="dxa" w:w="170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figure</w:t>
            </w:r>
          </w:p>
        </w:tc>
        <w:tc>
          <w:tcPr>
            <w:tcW w:type="dxa" w:w="294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number or archive locator + RU page</w:t>
            </w:r>
          </w:p>
        </w:tc>
        <w:tc>
          <w:tcPr>
            <w:tcW w:type="dxa" w:w="442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caption and evidential role</w:t>
            </w:r>
          </w:p>
        </w:tc>
      </w:tr>
      <w:tr>
        <w:trPr>
          <w:cantSplit/>
        </w:trPr>
        <w:tc>
          <w:tcPr>
            <w:tcW w:type="dxa" w:w="170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table</w:t>
            </w:r>
          </w:p>
        </w:tc>
        <w:tc>
          <w:tcPr>
            <w:tcW w:type="dxa" w:w="294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stable T-ID + RU page</w:t>
            </w:r>
          </w:p>
        </w:tc>
        <w:tc>
          <w:tcPr>
            <w:tcW w:type="dxa" w:w="442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headers, units, source</w:t>
            </w:r>
          </w:p>
        </w:tc>
      </w:tr>
      <w:tr>
        <w:trPr>
          <w:cantSplit/>
        </w:trPr>
        <w:tc>
          <w:tcPr>
            <w:tcW w:type="dxa" w:w="170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certificate</w:t>
            </w:r>
          </w:p>
        </w:tc>
        <w:tc>
          <w:tcPr>
            <w:tcW w:type="dxa" w:w="294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certificate ID + hashes</w:t>
            </w:r>
          </w:p>
        </w:tc>
        <w:tc>
          <w:tcPr>
            <w:tcW w:type="dxa" w:w="442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inputs, test, output, limits</w:t>
            </w:r>
          </w:p>
        </w:tc>
      </w:tr>
    </w:tbl>
    <w:p>
      <w:pPr>
        <w:spacing w:after="40"/>
      </w:pP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INDEX-CERT. </w:t>
            </w:r>
            <w:r>
              <w:rPr>
                <w:rFonts w:ascii="DejaVu Serif" w:hAnsi="DejaVu Serif" w:eastAsia="DejaVu Serif"/>
                <w:b w:val="0"/>
                <w:i w:val="0"/>
                <w:sz w:val="18"/>
              </w:rPr>
              <w:t>A complete index is a reproducibility aid. It does not supply a missing proof or close a scientific blocker.</w:t>
            </w:r>
          </w:p>
        </w:tc>
      </w:tr>
    </w:tbl>
    <w:p>
      <w:pPr>
        <w:pStyle w:val="Heading1"/>
        <w:keepNext/>
        <w:keepLines w:val="0"/>
        <w:spacing w:before="200" w:after="80" w:line="240" w:lineRule="auto"/>
        <w:pageBreakBefore w:val="1"/>
      </w:pPr>
      <w:bookmarkStart w:id="1020" w:name="T1_CH_21"/>
      <w:r>
        <w:rPr>
          <w:rFonts w:ascii="DejaVu Sans" w:hAnsi="DejaVu Sans" w:eastAsia="DejaVu Sans"/>
          <w:b/>
          <w:i w:val="0"/>
          <w:color w:val="1F4E78"/>
          <w:sz w:val="32"/>
        </w:rPr>
        <w:t>Chapter 21. Canonical Mathematical Construction of Kurpishev PN.2</w:t>
      </w:r>
      <w:bookmarkEnd w:id="1020"/>
    </w:p>
    <w:p>
      <w:pPr>
        <w:keepNext w:val="0"/>
        <w:keepLines w:val="0"/>
        <w:spacing w:before="0" w:after="100" w:line="259" w:lineRule="auto"/>
      </w:pPr>
      <w:r>
        <w:rPr>
          <w:rFonts w:ascii="DejaVu Serif" w:hAnsi="DejaVu Serif" w:eastAsia="DejaVu Serif"/>
          <w:b w:val="0"/>
          <w:i/>
          <w:sz w:val="18"/>
        </w:rPr>
        <w:t>Russian source locator: pp. 87–104</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PN.2 concerns one estimator facing two hidden structural branches. The estimator must approximate both the resulting state and a coordinate that distinguishes the branches. Two elementary midpoint bounds then force a product lower bound.</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852160" cy="2571049"/>
            <wp:docPr id="24" name="Picture 24"/>
            <wp:cNvGraphicFramePr>
              <a:graphicFrameLocks noChangeAspect="1"/>
            </wp:cNvGraphicFramePr>
            <a:graphic>
              <a:graphicData uri="http://schemas.openxmlformats.org/drawingml/2006/picture">
                <pic:pic>
                  <pic:nvPicPr>
                    <pic:cNvPr id="0" name="fig21_pn2.png"/>
                    <pic:cNvPicPr/>
                  </pic:nvPicPr>
                  <pic:blipFill>
                    <a:blip r:embed="rId36"/>
                    <a:stretch>
                      <a:fillRect/>
                    </a:stretch>
                  </pic:blipFill>
                  <pic:spPr>
                    <a:xfrm>
                      <a:off x="0" y="0"/>
                      <a:ext cx="5852160" cy="2571049"/>
                    </a:xfrm>
                    <a:prstGeom prst="rect"/>
                  </pic:spPr>
                </pic:pic>
              </a:graphicData>
            </a:graphic>
          </wp:inline>
        </w:drawing>
      </w:r>
    </w:p>
    <w:p>
      <w:pPr>
        <w:keepNext w:val="0"/>
        <w:keepLines/>
        <w:spacing w:before="0" w:after="140" w:line="240" w:lineRule="auto"/>
        <w:jc w:val="center"/>
      </w:pPr>
      <w:bookmarkStart w:id="1081" w:name="T1_FIG_023"/>
      <w:r>
        <w:rPr>
          <w:rFonts w:ascii="DejaVu Serif" w:hAnsi="DejaVu Serif" w:eastAsia="DejaVu Serif"/>
          <w:b w:val="0"/>
          <w:i/>
          <w:color w:val="666666"/>
          <w:sz w:val="17"/>
        </w:rPr>
        <w:t>Figure 21.1. Hidden bracketing creates two state targets and two structural targets for one estimator.</w:t>
      </w:r>
      <w:bookmarkEnd w:id="1081"/>
    </w:p>
    <w:p>
      <w:pPr>
        <w:pStyle w:val="Heading2"/>
        <w:keepNext/>
        <w:keepLines w:val="0"/>
        <w:spacing w:before="160" w:after="80" w:line="240" w:lineRule="auto"/>
      </w:pPr>
      <w:r>
        <w:rPr>
          <w:rFonts w:ascii="DejaVu Sans" w:hAnsi="DejaVu Sans" w:eastAsia="DejaVu Sans"/>
          <w:b/>
          <w:i w:val="0"/>
          <w:color w:val="1F4E78"/>
          <w:sz w:val="25"/>
        </w:rPr>
        <w:t>21.1. Algebraic Carrier and Hidden Alternative</w:t>
      </w:r>
    </w:p>
    <w:p>
      <w:pPr>
        <w:keepNext w:val="0"/>
        <w:keepLines w:val="0"/>
        <w:spacing w:before="0" w:after="100" w:line="259" w:lineRule="auto"/>
      </w:pPr>
      <w:r>
        <w:rPr>
          <w:rFonts w:ascii="DejaVu Serif" w:hAnsi="DejaVu Serif" w:eastAsia="DejaVu Serif"/>
          <w:b w:val="0"/>
          <w:i w:val="0"/>
          <w:sz w:val="20"/>
        </w:rPr>
        <w:t>Let A be a normed real or complex vector space with a bilinear operation ⊙. For u=(x,y,z), define</w:t>
      </w:r>
    </w:p>
    <w:p>
      <w:pPr>
        <w:keepNext w:val="0"/>
        <w:keepLines/>
        <w:spacing w:before="80" w:after="140" w:line="240" w:lineRule="auto"/>
        <w:jc w:val="center"/>
      </w:pPr>
      <w:r>
        <w:rPr>
          <w:rFonts w:ascii="DejaVu Serif" w:hAnsi="DejaVu Serif" w:eastAsia="DejaVu Serif"/>
          <w:b w:val="0"/>
          <w:i w:val="0"/>
          <w:sz w:val="22"/>
        </w:rPr>
        <w:t>r_L(u)=(x⊙y)⊙z,   r_R(u)=x⊙(y⊙z),   K(u)=r_L(u)−r_R(u).</w:t>
      </w:r>
      <w:r>
        <w:rPr>
          <w:rFonts w:ascii="DejaVu Sans" w:hAnsi="DejaVu Sans" w:eastAsia="DejaVu Sans"/>
          <w:b w:val="0"/>
          <w:i/>
          <w:color w:val="666666"/>
          <w:sz w:val="16"/>
        </w:rPr>
        <w:t xml:space="preserve">    [RU p. 87]</w:t>
      </w:r>
    </w:p>
    <w:p>
      <w:pPr>
        <w:keepNext w:val="0"/>
        <w:keepLines w:val="0"/>
        <w:spacing w:before="0" w:after="100" w:line="259" w:lineRule="auto"/>
      </w:pPr>
      <w:r>
        <w:rPr>
          <w:rFonts w:ascii="DejaVu Serif" w:hAnsi="DejaVu Serif" w:eastAsia="DejaVu Serif"/>
          <w:b w:val="0"/>
          <w:i w:val="0"/>
          <w:sz w:val="20"/>
        </w:rPr>
        <w:t>The branch b∈{b_L,b_R} is hidden from the estimator. A structural coordinate 𝔇 must genuinely distinguish the two protocols; ordinary vector-space dimension and the maximal depth of a three-leaf tree do not do so automatically.</w:t>
      </w:r>
    </w:p>
    <w:p>
      <w:pPr>
        <w:pStyle w:val="Heading2"/>
        <w:keepNext/>
        <w:keepLines w:val="0"/>
        <w:spacing w:before="160" w:after="80" w:line="240" w:lineRule="auto"/>
      </w:pPr>
      <w:r>
        <w:rPr>
          <w:rFonts w:ascii="DejaVu Sans" w:hAnsi="DejaVu Sans" w:eastAsia="DejaVu Sans"/>
          <w:b/>
          <w:i w:val="0"/>
          <w:color w:val="1F4E78"/>
          <w:sz w:val="25"/>
        </w:rPr>
        <w:t>21.2. Errors and Gaps</w:t>
      </w:r>
    </w:p>
    <w:p>
      <w:pPr>
        <w:keepNext w:val="0"/>
        <w:keepLines/>
        <w:spacing w:before="80" w:after="140" w:line="240" w:lineRule="auto"/>
        <w:jc w:val="center"/>
      </w:pPr>
      <w:r>
        <w:rPr>
          <w:rFonts w:ascii="DejaVu Serif" w:hAnsi="DejaVu Serif" w:eastAsia="DejaVu Serif"/>
          <w:b w:val="0"/>
          <w:i w:val="0"/>
          <w:sz w:val="22"/>
        </w:rPr>
        <w:t>e_S(u;ŝ)=max{|ŝ−S(r_L(u))|, |ŝ−S(r_R(u))|}.</w:t>
      </w:r>
      <w:r>
        <w:rPr>
          <w:rFonts w:ascii="DejaVu Sans" w:hAnsi="DejaVu Sans" w:eastAsia="DejaVu Sans"/>
          <w:b w:val="0"/>
          <w:i/>
          <w:color w:val="666666"/>
          <w:sz w:val="16"/>
        </w:rPr>
        <w:t xml:space="preserve">    [RU p. 89]</w:t>
      </w:r>
    </w:p>
    <w:p>
      <w:pPr>
        <w:keepNext w:val="0"/>
        <w:keepLines/>
        <w:spacing w:before="80" w:after="140" w:line="240" w:lineRule="auto"/>
        <w:jc w:val="center"/>
      </w:pPr>
      <w:r>
        <w:rPr>
          <w:rFonts w:ascii="DejaVu Serif" w:hAnsi="DejaVu Serif" w:eastAsia="DejaVu Serif"/>
          <w:b w:val="0"/>
          <w:i w:val="0"/>
          <w:sz w:val="22"/>
        </w:rPr>
        <w:t>e_D(u;d̂)=max{|d̂−𝔇(b_L)|, |d̂−𝔇(b_R)|}.</w:t>
      </w:r>
      <w:r>
        <w:rPr>
          <w:rFonts w:ascii="DejaVu Sans" w:hAnsi="DejaVu Sans" w:eastAsia="DejaVu Sans"/>
          <w:b w:val="0"/>
          <w:i/>
          <w:color w:val="666666"/>
          <w:sz w:val="16"/>
        </w:rPr>
        <w:t xml:space="preserve">    [RU p. 89]</w:t>
      </w:r>
    </w:p>
    <w:p>
      <w:pPr>
        <w:keepNext w:val="0"/>
        <w:keepLines/>
        <w:spacing w:before="80" w:after="140" w:line="240" w:lineRule="auto"/>
        <w:jc w:val="center"/>
      </w:pPr>
      <w:r>
        <w:rPr>
          <w:rFonts w:ascii="DejaVu Serif" w:hAnsi="DejaVu Serif" w:eastAsia="DejaVu Serif"/>
          <w:b w:val="0"/>
          <w:i w:val="0"/>
          <w:sz w:val="22"/>
        </w:rPr>
        <w:t>e_R(u;r̂)=max{‖r̂−r_L(u)‖, ‖r̂−r_R(u)‖}.</w:t>
      </w:r>
      <w:r>
        <w:rPr>
          <w:rFonts w:ascii="DejaVu Sans" w:hAnsi="DejaVu Sans" w:eastAsia="DejaVu Sans"/>
          <w:b w:val="0"/>
          <w:i/>
          <w:color w:val="666666"/>
          <w:sz w:val="16"/>
        </w:rPr>
        <w:t xml:space="preserve">    [RU p. 89]</w:t>
      </w:r>
    </w:p>
    <w:p>
      <w:pPr>
        <w:keepNext w:val="0"/>
        <w:keepLines/>
        <w:spacing w:before="80" w:after="140" w:line="240" w:lineRule="auto"/>
        <w:jc w:val="center"/>
      </w:pPr>
      <w:r>
        <w:rPr>
          <w:rFonts w:ascii="DejaVu Serif" w:hAnsi="DejaVu Serif" w:eastAsia="DejaVu Serif"/>
          <w:b w:val="0"/>
          <w:i w:val="0"/>
          <w:sz w:val="22"/>
        </w:rPr>
        <w:t>Δ_S(u)=|S(r_L(u))−S(r_R(u))|,   Δ_D=|𝔇(b_L)−𝔇(b_R)|,   Δ_R(u)=‖K(u)‖.</w:t>
      </w:r>
      <w:r>
        <w:rPr>
          <w:rFonts w:ascii="DejaVu Sans" w:hAnsi="DejaVu Sans" w:eastAsia="DejaVu Sans"/>
          <w:b w:val="0"/>
          <w:i/>
          <w:color w:val="666666"/>
          <w:sz w:val="16"/>
        </w:rPr>
        <w:t xml:space="preserve">    [RU p. 89]</w:t>
      </w:r>
    </w:p>
    <w:p>
      <w:pPr>
        <w:pStyle w:val="Heading2"/>
        <w:keepNext/>
        <w:keepLines w:val="0"/>
        <w:spacing w:before="160" w:after="80" w:line="240" w:lineRule="auto"/>
      </w:pPr>
      <w:r>
        <w:rPr>
          <w:rFonts w:ascii="DejaVu Sans" w:hAnsi="DejaVu Sans" w:eastAsia="DejaVu Sans"/>
          <w:b/>
          <w:i w:val="0"/>
          <w:color w:val="1F4E78"/>
          <w:sz w:val="25"/>
        </w:rPr>
        <w:t>21.3. Model Axioms</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850"/>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Axiom</w:t>
            </w:r>
          </w:p>
        </w:tc>
        <w:tc>
          <w:tcPr>
            <w:tcW w:type="dxa" w:w="4819"/>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Content</w:t>
            </w:r>
          </w:p>
        </w:tc>
        <w:tc>
          <w:tcPr>
            <w:tcW w:type="dxa" w:w="3402"/>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Why required</w:t>
            </w:r>
          </w:p>
        </w:tc>
      </w:tr>
      <w:tr>
        <w:trPr>
          <w:cantSplit/>
        </w:trPr>
        <w:tc>
          <w:tcPr>
            <w:tcW w:type="dxa" w:w="850"/>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A1</w:t>
            </w:r>
          </w:p>
        </w:tc>
        <w:tc>
          <w:tcPr>
            <w:tcW w:type="dxa" w:w="481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normed carrier; bilinear ⊙; both branches defined on Ω</w:t>
            </w:r>
          </w:p>
        </w:tc>
        <w:tc>
          <w:tcPr>
            <w:tcW w:type="dxa" w:w="340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well-typed state errors</w:t>
            </w:r>
          </w:p>
        </w:tc>
      </w:tr>
      <w:tr>
        <w:trPr>
          <w:cantSplit/>
        </w:trPr>
        <w:tc>
          <w:tcPr>
            <w:tcW w:type="dxa" w:w="850"/>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A2</w:t>
            </w:r>
          </w:p>
        </w:tc>
        <w:tc>
          <w:tcPr>
            <w:tcW w:type="dxa" w:w="481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two admissible branches; true branch hidden</w:t>
            </w:r>
          </w:p>
        </w:tc>
        <w:tc>
          <w:tcPr>
            <w:tcW w:type="dxa" w:w="340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information restriction</w:t>
            </w:r>
          </w:p>
        </w:tc>
      </w:tr>
      <w:tr>
        <w:trPr>
          <w:cantSplit/>
        </w:trPr>
        <w:tc>
          <w:tcPr>
            <w:tcW w:type="dxa" w:w="850"/>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A3</w:t>
            </w:r>
          </w:p>
        </w:tc>
        <w:tc>
          <w:tcPr>
            <w:tcW w:type="dxa" w:w="481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Δ_D&gt;0 and justified structural meaning</w:t>
            </w:r>
          </w:p>
        </w:tc>
        <w:tc>
          <w:tcPr>
            <w:tcW w:type="dxa" w:w="340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nondegenerate structure gap</w:t>
            </w:r>
          </w:p>
        </w:tc>
      </w:tr>
      <w:tr>
        <w:trPr>
          <w:cantSplit/>
        </w:trPr>
        <w:tc>
          <w:tcPr>
            <w:tcW w:type="dxa" w:w="850"/>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A4</w:t>
            </w:r>
          </w:p>
        </w:tc>
        <w:tc>
          <w:tcPr>
            <w:tcW w:type="dxa" w:w="481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one estimator for both branches</w:t>
            </w:r>
          </w:p>
        </w:tc>
        <w:tc>
          <w:tcPr>
            <w:tcW w:type="dxa" w:w="340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prevents branch disclosure</w:t>
            </w:r>
          </w:p>
        </w:tc>
      </w:tr>
      <w:tr>
        <w:trPr>
          <w:cantSplit/>
        </w:trPr>
        <w:tc>
          <w:tcPr>
            <w:tcW w:type="dxa" w:w="850"/>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A5-S</w:t>
            </w:r>
          </w:p>
        </w:tc>
        <w:tc>
          <w:tcPr>
            <w:tcW w:type="dxa" w:w="481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scalar observable separates the branch outputs</w:t>
            </w:r>
          </w:p>
        </w:tc>
        <w:tc>
          <w:tcPr>
            <w:tcW w:type="dxa" w:w="340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needed only for scalar form</w:t>
            </w:r>
          </w:p>
        </w:tc>
      </w:tr>
      <w:tr>
        <w:trPr>
          <w:cantSplit/>
        </w:trPr>
        <w:tc>
          <w:tcPr>
            <w:tcW w:type="dxa" w:w="850"/>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A6</w:t>
            </w:r>
          </w:p>
        </w:tc>
        <w:tc>
          <w:tcPr>
            <w:tcW w:type="dxa" w:w="481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positive infimum of ‖K(u)‖/m(u) on Ω</w:t>
            </w:r>
          </w:p>
        </w:tc>
        <w:tc>
          <w:tcPr>
            <w:tcW w:type="dxa" w:w="340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needed for a uniform constant</w:t>
            </w:r>
          </w:p>
        </w:tc>
      </w:tr>
    </w:tbl>
    <w:p>
      <w:pPr>
        <w:spacing w:after="40"/>
      </w:pPr>
    </w:p>
    <w:p>
      <w:pPr>
        <w:pStyle w:val="Heading2"/>
        <w:keepNext/>
        <w:keepLines w:val="0"/>
        <w:spacing w:before="160" w:after="80" w:line="240" w:lineRule="auto"/>
      </w:pPr>
      <w:r>
        <w:rPr>
          <w:rFonts w:ascii="DejaVu Sans" w:hAnsi="DejaVu Sans" w:eastAsia="DejaVu Sans"/>
          <w:b/>
          <w:i w:val="0"/>
          <w:color w:val="1F4E78"/>
          <w:sz w:val="25"/>
        </w:rPr>
        <w:t>21.4. Two-Point Minimax Lemma and PN.2</w:t>
      </w:r>
    </w:p>
    <w:p>
      <w:pPr>
        <w:keepNext w:val="0"/>
        <w:keepLines w:val="0"/>
        <w:spacing w:before="0" w:after="100" w:line="259" w:lineRule="auto"/>
      </w:pPr>
      <w:r>
        <w:rPr>
          <w:rFonts w:ascii="DejaVu Serif" w:hAnsi="DejaVu Serif" w:eastAsia="DejaVu Serif"/>
          <w:b w:val="0"/>
          <w:i w:val="0"/>
          <w:sz w:val="20"/>
        </w:rPr>
        <w:t>Lemma 21.1 [CL]. For any a,b,q in a metric space, max{d(q,a),d(q,b)}≥d(a,b)/2. This follows immediately from the triangle inequality.</w:t>
      </w:r>
    </w:p>
    <w:p>
      <w:pPr>
        <w:keepNext w:val="0"/>
        <w:keepLines w:val="0"/>
        <w:spacing w:before="0" w:after="100" w:line="259" w:lineRule="auto"/>
      </w:pPr>
      <w:r>
        <w:rPr>
          <w:rFonts w:ascii="DejaVu Serif" w:hAnsi="DejaVu Serif" w:eastAsia="DejaVu Serif"/>
          <w:b w:val="0"/>
          <w:i w:val="0"/>
          <w:sz w:val="20"/>
        </w:rPr>
        <w:t>Theorem 21.2 (local minimax PN.2) [THM]. Under A1–A4, for every u∈Ω and any estimator that does not use the hidden branch,</w:t>
      </w:r>
    </w:p>
    <w:p>
      <w:pPr>
        <w:keepNext w:val="0"/>
        <w:keepLines/>
        <w:spacing w:before="80" w:after="140" w:line="240" w:lineRule="auto"/>
        <w:jc w:val="center"/>
      </w:pPr>
      <w:r>
        <w:rPr>
          <w:rFonts w:ascii="DejaVu Serif" w:hAnsi="DejaVu Serif" w:eastAsia="DejaVu Serif"/>
          <w:b w:val="0"/>
          <w:i w:val="0"/>
          <w:sz w:val="22"/>
        </w:rPr>
        <w:t>e_S(u;ŝ)·e_D(u;d̂) ≥ ¼ Δ_S(u)Δ_D.   (PN.2-S)</w:t>
      </w:r>
      <w:r>
        <w:rPr>
          <w:rFonts w:ascii="DejaVu Sans" w:hAnsi="DejaVu Sans" w:eastAsia="DejaVu Sans"/>
          <w:b w:val="0"/>
          <w:i/>
          <w:color w:val="666666"/>
          <w:sz w:val="16"/>
        </w:rPr>
        <w:t xml:space="preserve">    [RU p. 90]</w:t>
      </w:r>
    </w:p>
    <w:p>
      <w:pPr>
        <w:keepNext w:val="0"/>
        <w:keepLines/>
        <w:spacing w:before="80" w:after="140" w:line="240" w:lineRule="auto"/>
        <w:jc w:val="center"/>
      </w:pPr>
      <w:r>
        <w:rPr>
          <w:rFonts w:ascii="DejaVu Serif" w:hAnsi="DejaVu Serif" w:eastAsia="DejaVu Serif"/>
          <w:b w:val="0"/>
          <w:i w:val="0"/>
          <w:sz w:val="22"/>
        </w:rPr>
        <w:t>e_R(u;r̂)·e_D(u;d̂) ≥ ¼ ‖K(u)‖Δ_D.   (PN.2-R)</w:t>
      </w:r>
      <w:r>
        <w:rPr>
          <w:rFonts w:ascii="DejaVu Sans" w:hAnsi="DejaVu Sans" w:eastAsia="DejaVu Sans"/>
          <w:b w:val="0"/>
          <w:i/>
          <w:color w:val="666666"/>
          <w:sz w:val="16"/>
        </w:rPr>
        <w:t xml:space="preserve">    [RU p. 90]</w:t>
      </w:r>
    </w:p>
    <w:p>
      <w:pPr>
        <w:keepNext w:val="0"/>
        <w:keepLines/>
        <w:spacing w:before="80" w:after="140" w:line="240" w:lineRule="auto"/>
        <w:jc w:val="center"/>
      </w:pPr>
      <w:r>
        <w:rPr>
          <w:rFonts w:ascii="DejaVu Serif" w:hAnsi="DejaVu Serif" w:eastAsia="DejaVu Serif"/>
          <w:b w:val="0"/>
          <w:i w:val="0"/>
          <w:sz w:val="22"/>
        </w:rPr>
        <w:t>if Δ_S(u)≥c‖K(u)‖, then e_S e_D ≥ (c/4)‖K(u)‖Δ_D.   (PN.2-K)</w:t>
      </w:r>
      <w:r>
        <w:rPr>
          <w:rFonts w:ascii="DejaVu Sans" w:hAnsi="DejaVu Sans" w:eastAsia="DejaVu Sans"/>
          <w:b w:val="0"/>
          <w:i/>
          <w:color w:val="666666"/>
          <w:sz w:val="16"/>
        </w:rPr>
        <w:t xml:space="preserve">    [RU p. 90]</w:t>
      </w:r>
    </w:p>
    <w:p>
      <w:pPr>
        <w:keepNext w:val="0"/>
        <w:keepLines w:val="0"/>
        <w:spacing w:before="0" w:after="100" w:line="259" w:lineRule="auto"/>
      </w:pPr>
      <w:r>
        <w:rPr>
          <w:rFonts w:ascii="DejaVu Serif" w:hAnsi="DejaVu Serif" w:eastAsia="DejaVu Serif"/>
          <w:b w:val="0"/>
          <w:i w:val="0"/>
          <w:sz w:val="20"/>
        </w:rPr>
        <w:t>Proof. The two-point lemma gives a factor 1/2 for the state or scalar target and a second factor 1/2 for the structural target. Multiplication yields 1/4.</w:t>
      </w:r>
    </w:p>
    <w:p>
      <w:pPr>
        <w:pStyle w:val="Heading2"/>
        <w:keepNext/>
        <w:keepLines w:val="0"/>
        <w:spacing w:before="160" w:after="80" w:line="240" w:lineRule="auto"/>
      </w:pPr>
      <w:r>
        <w:rPr>
          <w:rFonts w:ascii="DejaVu Sans" w:hAnsi="DejaVu Sans" w:eastAsia="DejaVu Sans"/>
          <w:b/>
          <w:i w:val="0"/>
          <w:color w:val="1F4E78"/>
          <w:sz w:val="25"/>
        </w:rPr>
        <w:t>21.5. Uniform Form and Direction of Bounds</w:t>
      </w:r>
    </w:p>
    <w:p>
      <w:pPr>
        <w:keepNext w:val="0"/>
        <w:keepLines/>
        <w:spacing w:before="80" w:after="140" w:line="240" w:lineRule="auto"/>
        <w:jc w:val="center"/>
      </w:pPr>
      <w:r>
        <w:rPr>
          <w:rFonts w:ascii="DejaVu Serif" w:hAnsi="DejaVu Serif" w:eastAsia="DejaVu Serif"/>
          <w:b w:val="0"/>
          <w:i w:val="0"/>
          <w:sz w:val="22"/>
        </w:rPr>
        <w:t>ε_−=inf_{u∈Ω} ‖K(u)‖/m(u) &gt; 0.</w:t>
      </w:r>
      <w:r>
        <w:rPr>
          <w:rFonts w:ascii="DejaVu Sans" w:hAnsi="DejaVu Sans" w:eastAsia="DejaVu Sans"/>
          <w:b w:val="0"/>
          <w:i/>
          <w:color w:val="666666"/>
          <w:sz w:val="16"/>
        </w:rPr>
        <w:t xml:space="preserve">    [RU p. 91]</w:t>
      </w:r>
    </w:p>
    <w:p>
      <w:pPr>
        <w:keepNext w:val="0"/>
        <w:keepLines/>
        <w:spacing w:before="80" w:after="140" w:line="240" w:lineRule="auto"/>
        <w:jc w:val="center"/>
      </w:pPr>
      <w:r>
        <w:rPr>
          <w:rFonts w:ascii="DejaVu Serif" w:hAnsi="DejaVu Serif" w:eastAsia="DejaVu Serif"/>
          <w:b w:val="0"/>
          <w:i w:val="0"/>
          <w:sz w:val="22"/>
        </w:rPr>
        <w:t>e_R e_D ≥ (ε_−Δ_D/4)m(u).</w:t>
      </w:r>
      <w:r>
        <w:rPr>
          <w:rFonts w:ascii="DejaVu Sans" w:hAnsi="DejaVu Sans" w:eastAsia="DejaVu Sans"/>
          <w:b w:val="0"/>
          <w:i/>
          <w:color w:val="666666"/>
          <w:sz w:val="16"/>
        </w:rPr>
        <w:t xml:space="preserve">    [RU p. 91]</w:t>
      </w:r>
    </w:p>
    <w:p>
      <w:pPr>
        <w:keepNext w:val="0"/>
        <w:keepLines w:val="0"/>
        <w:spacing w:before="0" w:after="100" w:line="259" w:lineRule="auto"/>
      </w:pPr>
      <w:r>
        <w:rPr>
          <w:rFonts w:ascii="DejaVu Serif" w:hAnsi="DejaVu Serif" w:eastAsia="DejaVu Serif"/>
          <w:b w:val="0"/>
          <w:i w:val="0"/>
          <w:sz w:val="20"/>
        </w:rPr>
        <w:t>A supremum ε_+=sup ‖K(u)‖/m(u) gives an upper bound on ‖K‖, not the lower bound required by PN.2. This correction is part of the canonical theorem package.</w:t>
      </w:r>
    </w:p>
    <w:p>
      <w:pPr>
        <w:pStyle w:val="Heading2"/>
        <w:keepNext/>
        <w:keepLines w:val="0"/>
        <w:spacing w:before="160" w:after="80" w:line="240" w:lineRule="auto"/>
      </w:pPr>
      <w:r>
        <w:rPr>
          <w:rFonts w:ascii="DejaVu Sans" w:hAnsi="DejaVu Sans" w:eastAsia="DejaVu Sans"/>
          <w:b/>
          <w:i w:val="0"/>
          <w:color w:val="1F4E78"/>
          <w:sz w:val="25"/>
        </w:rPr>
        <w:t>21.6. Applicability and Non-Equivalences</w:t>
      </w:r>
    </w:p>
    <w:p>
      <w:pPr>
        <w:pStyle w:val="ListBullet"/>
        <w:keepNext w:val="0"/>
        <w:keepLines w:val="0"/>
        <w:spacing w:before="0" w:after="60" w:line="252" w:lineRule="auto"/>
      </w:pPr>
      <w:r>
        <w:rPr>
          <w:rFonts w:ascii="DejaVu Serif" w:hAnsi="DejaVu Serif" w:eastAsia="DejaVu Serif"/>
          <w:b w:val="0"/>
          <w:i w:val="0"/>
          <w:sz w:val="19"/>
        </w:rPr>
        <w:t>No positive bound is obtained on the associative sector K(u)=0.</w:t>
      </w:r>
    </w:p>
    <w:p>
      <w:pPr>
        <w:pStyle w:val="ListBullet"/>
        <w:keepNext w:val="0"/>
        <w:keepLines w:val="0"/>
        <w:spacing w:before="0" w:after="60" w:line="252" w:lineRule="auto"/>
      </w:pPr>
      <w:r>
        <w:rPr>
          <w:rFonts w:ascii="DejaVu Serif" w:hAnsi="DejaVu Serif" w:eastAsia="DejaVu Serif"/>
          <w:b w:val="0"/>
          <w:i w:val="0"/>
          <w:sz w:val="19"/>
        </w:rPr>
        <w:t>No positive structural bound is obtained when Δ_D=0.</w:t>
      </w:r>
    </w:p>
    <w:p>
      <w:pPr>
        <w:pStyle w:val="ListBullet"/>
        <w:keepNext w:val="0"/>
        <w:keepLines w:val="0"/>
        <w:spacing w:before="0" w:after="60" w:line="252" w:lineRule="auto"/>
      </w:pPr>
      <w:r>
        <w:rPr>
          <w:rFonts w:ascii="DejaVu Serif" w:hAnsi="DejaVu Serif" w:eastAsia="DejaVu Serif"/>
          <w:b w:val="0"/>
          <w:i w:val="0"/>
          <w:sz w:val="19"/>
        </w:rPr>
        <w:t>The scalar form may vanish when S does not separate r_L and r_R, even if K(u)≠0.</w:t>
      </w:r>
    </w:p>
    <w:p>
      <w:pPr>
        <w:pStyle w:val="ListBullet"/>
        <w:keepNext w:val="0"/>
        <w:keepLines w:val="0"/>
        <w:spacing w:before="0" w:after="60" w:line="252" w:lineRule="auto"/>
      </w:pPr>
      <w:r>
        <w:rPr>
          <w:rFonts w:ascii="DejaVu Serif" w:hAnsi="DejaVu Serif" w:eastAsia="DejaVu Serif"/>
          <w:b w:val="0"/>
          <w:i w:val="0"/>
          <w:sz w:val="19"/>
        </w:rPr>
        <w:t>The theorem does not apply when the true branch is disclosed to the estimator.</w:t>
      </w:r>
    </w:p>
    <w:p>
      <w:pPr>
        <w:pStyle w:val="ListBullet"/>
        <w:keepNext w:val="0"/>
        <w:keepLines w:val="0"/>
        <w:spacing w:before="0" w:after="60" w:line="252" w:lineRule="auto"/>
      </w:pPr>
      <w:r>
        <w:rPr>
          <w:rFonts w:ascii="DejaVu Serif" w:hAnsi="DejaVu Serif" w:eastAsia="DejaVu Serif"/>
          <w:b w:val="0"/>
          <w:i w:val="0"/>
          <w:sz w:val="19"/>
        </w:rPr>
        <w:t>PN.2 is not the Robertson–Schrödinger relation and is not an Ozawa noise–disturbance relation without an explicit quantum measurement representation.</w:t>
      </w:r>
    </w:p>
    <w:p>
      <w:pPr>
        <w:pStyle w:val="ListBullet"/>
        <w:keepNext w:val="0"/>
        <w:keepLines w:val="0"/>
        <w:spacing w:before="0" w:after="60" w:line="252" w:lineRule="auto"/>
      </w:pPr>
      <w:r>
        <w:rPr>
          <w:rFonts w:ascii="DejaVu Serif" w:hAnsi="DejaVu Serif" w:eastAsia="DejaVu Serif"/>
          <w:b w:val="0"/>
          <w:i w:val="0"/>
          <w:sz w:val="19"/>
        </w:rPr>
        <w:t>Equality of norms ‖r_L‖=‖r_R‖ does not imply K(u)=0; multiplicative-norm algebras provide counterexamples.</w:t>
      </w:r>
    </w:p>
    <w:p>
      <w:pPr>
        <w:pStyle w:val="Heading2"/>
        <w:keepNext/>
        <w:keepLines w:val="0"/>
        <w:spacing w:before="160" w:after="80" w:line="240" w:lineRule="auto"/>
      </w:pPr>
      <w:r>
        <w:rPr>
          <w:rFonts w:ascii="DejaVu Sans" w:hAnsi="DejaVu Sans" w:eastAsia="DejaVu Sans"/>
          <w:b/>
          <w:i w:val="0"/>
          <w:color w:val="1F4E78"/>
          <w:sz w:val="25"/>
        </w:rPr>
        <w:t>21.7. Explicit A₂ Witness</w:t>
      </w:r>
    </w:p>
    <w:p>
      <w:pPr>
        <w:keepNext w:val="0"/>
        <w:keepLines w:val="0"/>
        <w:spacing w:before="0" w:after="100" w:line="259" w:lineRule="auto"/>
      </w:pPr>
      <w:r>
        <w:rPr>
          <w:rFonts w:ascii="DejaVu Serif" w:hAnsi="DejaVu Serif" w:eastAsia="DejaVu Serif"/>
          <w:b w:val="0"/>
          <w:i w:val="0"/>
          <w:sz w:val="20"/>
        </w:rPr>
        <w:t>The canonical two-dimensional nonassociative witness uses a basis e₁,e₂ with a frozen multiplication table chosen so that one triple has a nonzero associator. Four cases are retained: an associative zero case, a nonassociative case invisible to the selected scalar observable, a globally c-separating case, and a compact domain with ε_−&gt;0.</w:t>
      </w:r>
    </w:p>
    <w:tbl>
      <w:tblPr>
        <w:tblW w:type="auto" w:w="0"/>
        <w:jc w:val="center"/>
        <w:tblLayout w:type="fixed"/>
        <w:tblLook w:firstColumn="1" w:firstRow="1" w:lastColumn="0" w:lastRow="0" w:noHBand="0" w:noVBand="1" w:val="04A0"/>
      </w:tblPr>
      <w:tblGrid>
        <w:gridCol w:w="2517"/>
        <w:gridCol w:w="2517"/>
        <w:gridCol w:w="2517"/>
        <w:gridCol w:w="2517"/>
      </w:tblGrid>
      <w:tr>
        <w:trPr>
          <w:tblHeader w:val="true"/>
        </w:trPr>
        <w:tc>
          <w:tcPr>
            <w:tcW w:type="dxa" w:w="2381"/>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Case</w:t>
            </w:r>
          </w:p>
        </w:tc>
        <w:tc>
          <w:tcPr>
            <w:tcW w:type="dxa" w:w="1361"/>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K</w:t>
            </w:r>
          </w:p>
        </w:tc>
        <w:tc>
          <w:tcPr>
            <w:tcW w:type="dxa" w:w="2268"/>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Scalar gap</w:t>
            </w:r>
          </w:p>
        </w:tc>
        <w:tc>
          <w:tcPr>
            <w:tcW w:type="dxa" w:w="3061"/>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Permitted conclusion</w:t>
            </w:r>
          </w:p>
        </w:tc>
      </w:tr>
      <w:tr>
        <w:trPr>
          <w:cantSplit/>
        </w:trPr>
        <w:tc>
          <w:tcPr>
            <w:tcW w:type="dxa" w:w="238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associative zero</w:t>
            </w:r>
          </w:p>
        </w:tc>
        <w:tc>
          <w:tcPr>
            <w:tcW w:type="dxa" w:w="136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0</w:t>
            </w:r>
          </w:p>
        </w:tc>
        <w:tc>
          <w:tcPr>
            <w:tcW w:type="dxa" w:w="226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0</w:t>
            </w:r>
          </w:p>
        </w:tc>
        <w:tc>
          <w:tcPr>
            <w:tcW w:type="dxa" w:w="306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PN.2 lower bound is zero</w:t>
            </w:r>
          </w:p>
        </w:tc>
      </w:tr>
      <w:tr>
        <w:trPr>
          <w:cantSplit/>
        </w:trPr>
        <w:tc>
          <w:tcPr>
            <w:tcW w:type="dxa" w:w="238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nonassociative / scalar blind</w:t>
            </w:r>
          </w:p>
        </w:tc>
        <w:tc>
          <w:tcPr>
            <w:tcW w:type="dxa" w:w="136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≠0</w:t>
            </w:r>
          </w:p>
        </w:tc>
        <w:tc>
          <w:tcPr>
            <w:tcW w:type="dxa" w:w="226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Δ_S=0</w:t>
            </w:r>
          </w:p>
        </w:tc>
        <w:tc>
          <w:tcPr>
            <w:tcW w:type="dxa" w:w="306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use full-state PN.2-R</w:t>
            </w:r>
          </w:p>
        </w:tc>
      </w:tr>
      <w:tr>
        <w:trPr>
          <w:cantSplit/>
        </w:trPr>
        <w:tc>
          <w:tcPr>
            <w:tcW w:type="dxa" w:w="238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c-separating observable</w:t>
            </w:r>
          </w:p>
        </w:tc>
        <w:tc>
          <w:tcPr>
            <w:tcW w:type="dxa" w:w="136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≠0</w:t>
            </w:r>
          </w:p>
        </w:tc>
        <w:tc>
          <w:tcPr>
            <w:tcW w:type="dxa" w:w="226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Δ_S≥c‖K‖</w:t>
            </w:r>
          </w:p>
        </w:tc>
        <w:tc>
          <w:tcPr>
            <w:tcW w:type="dxa" w:w="306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PN.2-K</w:t>
            </w:r>
          </w:p>
        </w:tc>
      </w:tr>
      <w:tr>
        <w:trPr>
          <w:cantSplit/>
        </w:trPr>
        <w:tc>
          <w:tcPr>
            <w:tcW w:type="dxa" w:w="238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compact coercive Ω</w:t>
            </w:r>
          </w:p>
        </w:tc>
        <w:tc>
          <w:tcPr>
            <w:tcW w:type="dxa" w:w="136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‖K‖≥ε_−m</w:t>
            </w:r>
          </w:p>
        </w:tc>
        <w:tc>
          <w:tcPr>
            <w:tcW w:type="dxa" w:w="226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positive</w:t>
            </w:r>
          </w:p>
        </w:tc>
        <w:tc>
          <w:tcPr>
            <w:tcW w:type="dxa" w:w="306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uniform conditional bound</w:t>
            </w:r>
          </w:p>
        </w:tc>
      </w:tr>
    </w:tbl>
    <w:p>
      <w:pPr>
        <w:spacing w:after="40"/>
      </w:pP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PHYSICAL BOUNDARY. </w:t>
            </w:r>
            <w:r>
              <w:rPr>
                <w:rFonts w:ascii="DejaVu Serif" w:hAnsi="DejaVu Serif" w:eastAsia="DejaVu Serif"/>
                <w:b w:val="0"/>
                <w:i w:val="0"/>
                <w:sz w:val="18"/>
              </w:rPr>
              <w:t>The theorem is proved inside a hidden-bracketing model. A physical use requires a representation of branches, observables, units, experimental controls, and an independent protocol.</w:t>
            </w:r>
          </w:p>
        </w:tc>
      </w:tr>
    </w:tbl>
    <w:p>
      <w:pPr>
        <w:pStyle w:val="Heading1"/>
        <w:keepNext/>
        <w:keepLines w:val="0"/>
        <w:spacing w:before="200" w:after="80" w:line="240" w:lineRule="auto"/>
        <w:pageBreakBefore w:val="1"/>
      </w:pPr>
      <w:bookmarkStart w:id="1021" w:name="T1_CH_22"/>
      <w:r>
        <w:rPr>
          <w:rFonts w:ascii="DejaVu Sans" w:hAnsi="DejaVu Sans" w:eastAsia="DejaVu Sans"/>
          <w:b/>
          <w:i w:val="0"/>
          <w:color w:val="1F4E78"/>
          <w:sz w:val="32"/>
        </w:rPr>
        <w:t>Chapter 22. PN.2 as a Restrictor and Driver of the KLT-RBD Predictive Method</w:t>
      </w:r>
      <w:bookmarkEnd w:id="1021"/>
    </w:p>
    <w:p>
      <w:pPr>
        <w:keepNext w:val="0"/>
        <w:keepLines w:val="0"/>
        <w:spacing w:before="0" w:after="100" w:line="259" w:lineRule="auto"/>
      </w:pPr>
      <w:r>
        <w:rPr>
          <w:rFonts w:ascii="DejaVu Serif" w:hAnsi="DejaVu Serif" w:eastAsia="DejaVu Serif"/>
          <w:b w:val="0"/>
          <w:i/>
          <w:sz w:val="18"/>
        </w:rPr>
        <w:t>Russian source locator: pp. 105–109</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PN.2 is used as a guardrail: it prevents a prediction engine from collapsing genuinely different admissible branches into one overconfident answer. The output may therefore be a single candidate, a set, or ABSTAIN.</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806440" cy="2550963"/>
            <wp:docPr id="25" name="Picture 25"/>
            <wp:cNvGraphicFramePr>
              <a:graphicFrameLocks noChangeAspect="1"/>
            </wp:cNvGraphicFramePr>
            <a:graphic>
              <a:graphicData uri="http://schemas.openxmlformats.org/drawingml/2006/picture">
                <pic:pic>
                  <pic:nvPicPr>
                    <pic:cNvPr id="0" name="fig22_pred.png"/>
                    <pic:cNvPicPr/>
                  </pic:nvPicPr>
                  <pic:blipFill>
                    <a:blip r:embed="rId37"/>
                    <a:stretch>
                      <a:fillRect/>
                    </a:stretch>
                  </pic:blipFill>
                  <pic:spPr>
                    <a:xfrm>
                      <a:off x="0" y="0"/>
                      <a:ext cx="5806440" cy="2550963"/>
                    </a:xfrm>
                    <a:prstGeom prst="rect"/>
                  </pic:spPr>
                </pic:pic>
              </a:graphicData>
            </a:graphic>
          </wp:inline>
        </w:drawing>
      </w:r>
    </w:p>
    <w:p>
      <w:pPr>
        <w:keepNext w:val="0"/>
        <w:keepLines/>
        <w:spacing w:before="0" w:after="140" w:line="240" w:lineRule="auto"/>
        <w:jc w:val="center"/>
      </w:pPr>
      <w:bookmarkStart w:id="1082" w:name="T1_FIG_024"/>
      <w:r>
        <w:rPr>
          <w:rFonts w:ascii="DejaVu Serif" w:hAnsi="DejaVu Serif" w:eastAsia="DejaVu Serif"/>
          <w:b w:val="0"/>
          <w:i/>
          <w:color w:val="666666"/>
          <w:sz w:val="17"/>
        </w:rPr>
        <w:t>Figure 22.1. Prediction is authorized only after D/Dom, PN.2, calibration, and blocker gates.</w:t>
      </w:r>
      <w:bookmarkEnd w:id="1082"/>
    </w:p>
    <w:p>
      <w:pPr>
        <w:pStyle w:val="Heading2"/>
        <w:keepNext/>
        <w:keepLines w:val="0"/>
        <w:spacing w:before="160" w:after="80" w:line="240" w:lineRule="auto"/>
      </w:pPr>
      <w:r>
        <w:rPr>
          <w:rFonts w:ascii="DejaVu Sans" w:hAnsi="DejaVu Sans" w:eastAsia="DejaVu Sans"/>
          <w:b/>
          <w:i w:val="0"/>
          <w:color w:val="1F4E78"/>
          <w:sz w:val="25"/>
        </w:rPr>
        <w:t>22.1. Branch Reper and PN.2 Certificate</w:t>
      </w:r>
    </w:p>
    <w:p>
      <w:pPr>
        <w:keepNext w:val="0"/>
        <w:keepLines w:val="0"/>
        <w:spacing w:before="0" w:after="100" w:line="259" w:lineRule="auto"/>
      </w:pPr>
      <w:r>
        <w:rPr>
          <w:rFonts w:ascii="DejaVu Serif" w:hAnsi="DejaVu Serif" w:eastAsia="DejaVu Serif"/>
          <w:b w:val="0"/>
          <w:i w:val="0"/>
          <w:sz w:val="20"/>
        </w:rPr>
        <w:t>Each candidate branch u receives a Reper passport, its state result, structural coordinate, PN.2 gaps, provenance, and blocker vector. The certificate does not choose the branch; it records what cannot be simultaneously reconstructed without branch information.</w:t>
      </w:r>
    </w:p>
    <w:p>
      <w:pPr>
        <w:pStyle w:val="Heading2"/>
        <w:keepNext/>
        <w:keepLines w:val="0"/>
        <w:spacing w:before="160" w:after="80" w:line="240" w:lineRule="auto"/>
      </w:pPr>
      <w:r>
        <w:rPr>
          <w:rFonts w:ascii="DejaVu Sans" w:hAnsi="DejaVu Sans" w:eastAsia="DejaVu Sans"/>
          <w:b/>
          <w:i w:val="0"/>
          <w:color w:val="1F4E78"/>
          <w:sz w:val="25"/>
        </w:rPr>
        <w:t>22.2. Admissible Prediction Set</w:t>
      </w:r>
    </w:p>
    <w:p>
      <w:pPr>
        <w:keepNext w:val="0"/>
        <w:keepLines/>
        <w:spacing w:before="80" w:after="140" w:line="240" w:lineRule="auto"/>
        <w:jc w:val="center"/>
      </w:pPr>
      <w:r>
        <w:rPr>
          <w:rFonts w:ascii="DejaVu Serif" w:hAnsi="DejaVu Serif" w:eastAsia="DejaVu Serif"/>
          <w:b w:val="0"/>
          <w:i w:val="0"/>
          <w:sz w:val="22"/>
        </w:rPr>
        <w:t>A_L(D)={u : Dom(u)=PASS, D(u)=PASS, blockers(u)=0, calibration(u)=PASS}.</w:t>
      </w:r>
      <w:r>
        <w:rPr>
          <w:rFonts w:ascii="DejaVu Sans" w:hAnsi="DejaVu Sans" w:eastAsia="DejaVu Sans"/>
          <w:b w:val="0"/>
          <w:i/>
          <w:color w:val="666666"/>
          <w:sz w:val="16"/>
        </w:rPr>
        <w:t xml:space="preserve">    [RU p. 106]</w:t>
      </w:r>
    </w:p>
    <w:p>
      <w:pPr>
        <w:keepNext w:val="0"/>
        <w:keepLines w:val="0"/>
        <w:spacing w:before="0" w:after="100" w:line="259" w:lineRule="auto"/>
      </w:pPr>
      <w:r>
        <w:rPr>
          <w:rFonts w:ascii="DejaVu Serif" w:hAnsi="DejaVu Serif" w:eastAsia="DejaVu Serif"/>
          <w:b w:val="0"/>
          <w:i w:val="0"/>
          <w:sz w:val="20"/>
        </w:rPr>
        <w:t>Theorem 22.1 [THM]. A deterministic winner exists only if A_L(D) is nonempty and the predeclared ordering has a unique maximizer. An empty set yields ABSTAIN-EMPTY; a tie yields SET-CANDIDATE unless a separate tie-break rule is frozen.</w:t>
      </w:r>
    </w:p>
    <w:p>
      <w:pPr>
        <w:pStyle w:val="Heading2"/>
        <w:keepNext/>
        <w:keepLines w:val="0"/>
        <w:spacing w:before="160" w:after="80" w:line="240" w:lineRule="auto"/>
      </w:pPr>
      <w:r>
        <w:rPr>
          <w:rFonts w:ascii="DejaVu Sans" w:hAnsi="DejaVu Sans" w:eastAsia="DejaVu Sans"/>
          <w:b/>
          <w:i w:val="0"/>
          <w:color w:val="1F4E78"/>
          <w:sz w:val="25"/>
        </w:rPr>
        <w:t>22.3. Matched-Null and CGI Calibration</w:t>
      </w:r>
    </w:p>
    <w:p>
      <w:pPr>
        <w:keepNext w:val="0"/>
        <w:keepLines w:val="0"/>
        <w:spacing w:before="0" w:after="100" w:line="259" w:lineRule="auto"/>
      </w:pPr>
      <w:r>
        <w:rPr>
          <w:rFonts w:ascii="DejaVu Serif" w:hAnsi="DejaVu Serif" w:eastAsia="DejaVu Serif"/>
          <w:b w:val="0"/>
          <w:i w:val="0"/>
          <w:sz w:val="20"/>
        </w:rPr>
        <w:t>KMA flags and harmonic proximity may guide search but do not prove a candidate. A matched-null protocol keeps the same object, preprocessing, and admissible transformations while breaking the claimed structure under a frozen randomization group.</w:t>
      </w:r>
    </w:p>
    <w:p>
      <w:pPr>
        <w:keepNext w:val="0"/>
        <w:keepLines/>
        <w:spacing w:before="80" w:after="140" w:line="240" w:lineRule="auto"/>
        <w:jc w:val="center"/>
      </w:pPr>
      <w:r>
        <w:rPr>
          <w:rFonts w:ascii="DejaVu Serif" w:hAnsi="DejaVu Serif" w:eastAsia="DejaVu Serif"/>
          <w:b w:val="0"/>
          <w:i w:val="0"/>
          <w:sz w:val="22"/>
        </w:rPr>
        <w:t>p̂=(1+#\{T_b≥T_obs\})/(B+1).</w:t>
      </w:r>
      <w:r>
        <w:rPr>
          <w:rFonts w:ascii="DejaVu Sans" w:hAnsi="DejaVu Sans" w:eastAsia="DejaVu Sans"/>
          <w:b w:val="0"/>
          <w:i/>
          <w:color w:val="666666"/>
          <w:sz w:val="16"/>
        </w:rPr>
        <w:t xml:space="preserve">    [RU p. 107]</w:t>
      </w:r>
    </w:p>
    <w:p>
      <w:pPr>
        <w:keepNext w:val="0"/>
        <w:keepLines w:val="0"/>
        <w:spacing w:before="0" w:after="100" w:line="259" w:lineRule="auto"/>
      </w:pPr>
      <w:r>
        <w:rPr>
          <w:rFonts w:ascii="DejaVu Serif" w:hAnsi="DejaVu Serif" w:eastAsia="DejaVu Serif"/>
          <w:b w:val="0"/>
          <w:i w:val="0"/>
          <w:sz w:val="20"/>
        </w:rPr>
        <w:t>The plus-one correction prevents a zero Monte Carlo p-value. Validity requires a null group under which the transformed data are exchangeable or invariant; this is an empirical-plan assumption, not a consequence of λ.</w:t>
      </w:r>
    </w:p>
    <w:p>
      <w:pPr>
        <w:keepNext w:val="0"/>
        <w:keepLines w:val="0"/>
        <w:spacing w:before="0" w:after="100" w:line="259" w:lineRule="auto"/>
      </w:pPr>
      <w:r>
        <w:rPr>
          <w:rFonts w:ascii="DejaVu Serif" w:hAnsi="DejaVu Serif" w:eastAsia="DejaVu Serif"/>
          <w:b w:val="0"/>
          <w:i w:val="0"/>
          <w:sz w:val="20"/>
        </w:rPr>
        <w:t>For CGI=N/S with positive calibrated denominator S, increasing a nonnegative defect term in N cannot improve CGI. Perturbation estimates require explicit lower bounds on S.</w:t>
      </w:r>
    </w:p>
    <w:p>
      <w:pPr>
        <w:pStyle w:val="Heading2"/>
        <w:keepNext/>
        <w:keepLines w:val="0"/>
        <w:spacing w:before="160" w:after="80" w:line="240" w:lineRule="auto"/>
      </w:pPr>
      <w:r>
        <w:rPr>
          <w:rFonts w:ascii="DejaVu Sans" w:hAnsi="DejaVu Sans" w:eastAsia="DejaVu Sans"/>
          <w:b/>
          <w:i w:val="0"/>
          <w:color w:val="1F4E78"/>
          <w:sz w:val="25"/>
        </w:rPr>
        <w:t>22.4. Stability and Status Monotonicity</w:t>
      </w:r>
    </w:p>
    <w:p>
      <w:pPr>
        <w:keepNext w:val="0"/>
        <w:keepLines w:val="0"/>
        <w:spacing w:before="0" w:after="100" w:line="259" w:lineRule="auto"/>
      </w:pPr>
      <w:r>
        <w:rPr>
          <w:rFonts w:ascii="DejaVu Serif" w:hAnsi="DejaVu Serif" w:eastAsia="DejaVu Serif"/>
          <w:b w:val="0"/>
          <w:i w:val="0"/>
          <w:sz w:val="20"/>
        </w:rPr>
        <w:t>Theorem 22.5 [COND]. If all gate margins are positive and the score/candidate maps are Lipschitz on a neighborhood, sufficiently small perturbations preserve membership in the admissible set. Theorem 22.6 additionally requires a positive winner margin to preserve a unique winner.</w:t>
      </w:r>
    </w:p>
    <w:p>
      <w:pPr>
        <w:keepNext w:val="0"/>
        <w:keepLines w:val="0"/>
        <w:spacing w:before="0" w:after="100" w:line="259" w:lineRule="auto"/>
      </w:pPr>
      <w:r>
        <w:rPr>
          <w:rFonts w:ascii="DejaVu Serif" w:hAnsi="DejaVu Serif" w:eastAsia="DejaVu Serif"/>
          <w:b w:val="0"/>
          <w:i w:val="0"/>
          <w:sz w:val="20"/>
        </w:rPr>
        <w:t>Lemma 22.9 [PROP]. Typography, field order, or file renaming cannot promote a certificate. Proposition 22.10 [PROP]. Closing a positive gate can improve only the corresponding status component; it cannot bypass another open gate.</w:t>
      </w:r>
    </w:p>
    <w:p>
      <w:pPr>
        <w:pStyle w:val="Heading2"/>
        <w:keepNext/>
        <w:keepLines w:val="0"/>
        <w:spacing w:before="160" w:after="80" w:line="240" w:lineRule="auto"/>
      </w:pPr>
      <w:r>
        <w:rPr>
          <w:rFonts w:ascii="DejaVu Sans" w:hAnsi="DejaVu Sans" w:eastAsia="DejaVu Sans"/>
          <w:b/>
          <w:i w:val="0"/>
          <w:color w:val="1F4E78"/>
          <w:sz w:val="25"/>
        </w:rPr>
        <w:t>22.5. Selective Set-Valued Predictor</w:t>
      </w:r>
    </w:p>
    <w:tbl>
      <w:tblPr>
        <w:tblW w:type="auto" w:w="0"/>
        <w:jc w:val="center"/>
        <w:tblLayout w:type="fixed"/>
        <w:tblLook w:firstColumn="1" w:firstRow="1" w:lastColumn="0" w:lastRow="0" w:noHBand="0" w:noVBand="1" w:val="04A0"/>
      </w:tblPr>
      <w:tblGrid>
        <w:gridCol w:w="5035"/>
        <w:gridCol w:w="5035"/>
      </w:tblGrid>
      <w:tr>
        <w:trPr>
          <w:tblHeader w:val="true"/>
        </w:trPr>
        <w:tc>
          <w:tcPr>
            <w:tcW w:type="dxa" w:w="5329"/>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7"/>
              </w:rPr>
              <w:t>Condition</w:t>
            </w:r>
          </w:p>
        </w:tc>
        <w:tc>
          <w:tcPr>
            <w:tcW w:type="dxa" w:w="3742"/>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7"/>
              </w:rPr>
              <w:t>Output</w:t>
            </w:r>
          </w:p>
        </w:tc>
      </w:tr>
      <w:tr>
        <w:trPr>
          <w:cantSplit/>
        </w:trPr>
        <w:tc>
          <w:tcPr>
            <w:tcW w:type="dxa" w:w="532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one admissible candidate and unique frozen winner</w:t>
            </w:r>
          </w:p>
        </w:tc>
        <w:tc>
          <w:tcPr>
            <w:tcW w:type="dxa" w:w="374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SINGLE-CANDIDATE</w:t>
            </w:r>
          </w:p>
        </w:tc>
      </w:tr>
      <w:tr>
        <w:trPr>
          <w:cantSplit/>
        </w:trPr>
        <w:tc>
          <w:tcPr>
            <w:tcW w:type="dxa" w:w="532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several admissible non-dominated candidates</w:t>
            </w:r>
          </w:p>
        </w:tc>
        <w:tc>
          <w:tcPr>
            <w:tcW w:type="dxa" w:w="374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SET-CANDIDATE</w:t>
            </w:r>
          </w:p>
        </w:tc>
      </w:tr>
      <w:tr>
        <w:trPr>
          <w:cantSplit/>
        </w:trPr>
        <w:tc>
          <w:tcPr>
            <w:tcW w:type="dxa" w:w="532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no candidate passes mandatory gates</w:t>
            </w:r>
          </w:p>
        </w:tc>
        <w:tc>
          <w:tcPr>
            <w:tcW w:type="dxa" w:w="374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ABSTAIN-EMPTY</w:t>
            </w:r>
          </w:p>
        </w:tc>
      </w:tr>
      <w:tr>
        <w:trPr>
          <w:cantSplit/>
        </w:trPr>
        <w:tc>
          <w:tcPr>
            <w:tcW w:type="dxa" w:w="532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data or adapter missing</w:t>
            </w:r>
          </w:p>
        </w:tc>
        <w:tc>
          <w:tcPr>
            <w:tcW w:type="dxa" w:w="374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ABSTAIN-DOM</w:t>
            </w:r>
          </w:p>
        </w:tc>
      </w:tr>
      <w:tr>
        <w:trPr>
          <w:cantSplit/>
        </w:trPr>
        <w:tc>
          <w:tcPr>
            <w:tcW w:type="dxa" w:w="532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unresolved proof or causal blocker</w:t>
            </w:r>
          </w:p>
        </w:tc>
        <w:tc>
          <w:tcPr>
            <w:tcW w:type="dxa" w:w="374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7"/>
              </w:rPr>
              <w:t>ABSTAIN-BLOCKED</w:t>
            </w:r>
          </w:p>
        </w:tc>
      </w:tr>
    </w:tbl>
    <w:p>
      <w:pPr>
        <w:spacing w:after="40"/>
      </w:pP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RISK DECOMPOSITION. </w:t>
            </w:r>
            <w:r>
              <w:rPr>
                <w:rFonts w:ascii="DejaVu Serif" w:hAnsi="DejaVu Serif" w:eastAsia="DejaVu Serif"/>
                <w:b w:val="0"/>
                <w:i w:val="0"/>
                <w:sz w:val="18"/>
              </w:rPr>
              <w:t>A high ranking score cannot compensate for a failed validity gate. Gate risk and ranking loss are separate quantities.</w:t>
            </w:r>
          </w:p>
        </w:tc>
      </w:tr>
    </w:tbl>
    <w:p>
      <w:pPr>
        <w:pStyle w:val="Heading1"/>
        <w:keepNext/>
        <w:keepLines w:val="0"/>
        <w:spacing w:before="200" w:after="80" w:line="240" w:lineRule="auto"/>
        <w:pageBreakBefore w:val="1"/>
      </w:pPr>
      <w:bookmarkStart w:id="1022" w:name="T1_CH_23"/>
      <w:r>
        <w:rPr>
          <w:rFonts w:ascii="DejaVu Sans" w:hAnsi="DejaVu Sans" w:eastAsia="DejaVu Sans"/>
          <w:b/>
          <w:i w:val="0"/>
          <w:color w:val="1F4E78"/>
          <w:sz w:val="32"/>
        </w:rPr>
        <w:t>Chapter 23. PN.2 Examples, Counterexamples, and Computational Tests</w:t>
      </w:r>
      <w:bookmarkEnd w:id="1022"/>
    </w:p>
    <w:p>
      <w:pPr>
        <w:keepNext w:val="0"/>
        <w:keepLines w:val="0"/>
        <w:spacing w:before="0" w:after="100" w:line="259" w:lineRule="auto"/>
      </w:pPr>
      <w:r>
        <w:rPr>
          <w:rFonts w:ascii="DejaVu Serif" w:hAnsi="DejaVu Serif" w:eastAsia="DejaVu Serif"/>
          <w:b w:val="0"/>
          <w:i/>
          <w:sz w:val="18"/>
        </w:rPr>
        <w:t>Russian source locator: pp. 110–111</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Small explicit models show exactly which assumption creates a positive lower bound and which shortcut destroys it. Numerical checks certify arithmetic inside the model; they do not certify a physical interpretation.</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715000" cy="2510790"/>
            <wp:docPr id="26" name="Picture 26"/>
            <wp:cNvGraphicFramePr>
              <a:graphicFrameLocks noChangeAspect="1"/>
            </wp:cNvGraphicFramePr>
            <a:graphic>
              <a:graphicData uri="http://schemas.openxmlformats.org/drawingml/2006/picture">
                <pic:pic>
                  <pic:nvPicPr>
                    <pic:cNvPr id="0" name="fig23_tests.png"/>
                    <pic:cNvPicPr/>
                  </pic:nvPicPr>
                  <pic:blipFill>
                    <a:blip r:embed="rId38"/>
                    <a:stretch>
                      <a:fillRect/>
                    </a:stretch>
                  </pic:blipFill>
                  <pic:spPr>
                    <a:xfrm>
                      <a:off x="0" y="0"/>
                      <a:ext cx="5715000" cy="2510790"/>
                    </a:xfrm>
                    <a:prstGeom prst="rect"/>
                  </pic:spPr>
                </pic:pic>
              </a:graphicData>
            </a:graphic>
          </wp:inline>
        </w:drawing>
      </w:r>
    </w:p>
    <w:p>
      <w:pPr>
        <w:keepNext w:val="0"/>
        <w:keepLines/>
        <w:spacing w:before="0" w:after="140" w:line="240" w:lineRule="auto"/>
        <w:jc w:val="center"/>
      </w:pPr>
      <w:bookmarkStart w:id="1083" w:name="T1_FIG_025"/>
      <w:r>
        <w:rPr>
          <w:rFonts w:ascii="DejaVu Serif" w:hAnsi="DejaVu Serif" w:eastAsia="DejaVu Serif"/>
          <w:b w:val="0"/>
          <w:i/>
          <w:color w:val="666666"/>
          <w:sz w:val="17"/>
        </w:rPr>
        <w:t>Figure 23.1. A test matrix must contain positive witnesses, matched nulls, and counterexamples.</w:t>
      </w:r>
      <w:bookmarkEnd w:id="1083"/>
    </w:p>
    <w:p>
      <w:pPr>
        <w:pStyle w:val="Heading2"/>
        <w:keepNext/>
        <w:keepLines w:val="0"/>
        <w:spacing w:before="160" w:after="80" w:line="240" w:lineRule="auto"/>
      </w:pPr>
      <w:r>
        <w:rPr>
          <w:rFonts w:ascii="DejaVu Sans" w:hAnsi="DejaVu Sans" w:eastAsia="DejaVu Sans"/>
          <w:b/>
          <w:i w:val="0"/>
          <w:color w:val="1F4E78"/>
          <w:sz w:val="25"/>
        </w:rPr>
        <w:t>23.1. Test Matrix</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2835"/>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Test</w:t>
            </w:r>
          </w:p>
        </w:tc>
        <w:tc>
          <w:tcPr>
            <w:tcW w:type="dxa" w:w="3969"/>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Purpose</w:t>
            </w:r>
          </w:p>
        </w:tc>
        <w:tc>
          <w:tcPr>
            <w:tcW w:type="dxa" w:w="2268"/>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Expected verdict</w:t>
            </w:r>
          </w:p>
        </w:tc>
      </w:tr>
      <w:tr>
        <w:trPr>
          <w:cantSplit/>
        </w:trPr>
        <w:tc>
          <w:tcPr>
            <w:tcW w:type="dxa" w:w="283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two-dimensional nonassociative witness</w:t>
            </w:r>
          </w:p>
        </w:tc>
        <w:tc>
          <w:tcPr>
            <w:tcW w:type="dxa" w:w="396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verify K≠0 and exact branch outputs</w:t>
            </w:r>
          </w:p>
        </w:tc>
        <w:tc>
          <w:tcPr>
            <w:tcW w:type="dxa" w:w="226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PASS-NUM</w:t>
            </w:r>
          </w:p>
        </w:tc>
      </w:tr>
      <w:tr>
        <w:trPr>
          <w:cantSplit/>
        </w:trPr>
        <w:tc>
          <w:tcPr>
            <w:tcW w:type="dxa" w:w="283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associative zero model</w:t>
            </w:r>
          </w:p>
        </w:tc>
        <w:tc>
          <w:tcPr>
            <w:tcW w:type="dxa" w:w="396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confirm the bound collapses to zero</w:t>
            </w:r>
          </w:p>
        </w:tc>
        <w:tc>
          <w:tcPr>
            <w:tcW w:type="dxa" w:w="226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PASS-NULL</w:t>
            </w:r>
          </w:p>
        </w:tc>
      </w:tr>
      <w:tr>
        <w:trPr>
          <w:cantSplit/>
        </w:trPr>
        <w:tc>
          <w:tcPr>
            <w:tcW w:type="dxa" w:w="283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equal-norm / nonzero associator</w:t>
            </w:r>
          </w:p>
        </w:tc>
        <w:tc>
          <w:tcPr>
            <w:tcW w:type="dxa" w:w="396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refute norm-only scalar detection</w:t>
            </w:r>
          </w:p>
        </w:tc>
        <w:tc>
          <w:tcPr>
            <w:tcW w:type="dxa" w:w="226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COUNTEREXAMPLE</w:t>
            </w:r>
          </w:p>
        </w:tc>
      </w:tr>
      <w:tr>
        <w:trPr>
          <w:cantSplit/>
        </w:trPr>
        <w:tc>
          <w:tcPr>
            <w:tcW w:type="dxa" w:w="283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compact Ω</w:t>
            </w:r>
          </w:p>
        </w:tc>
        <w:tc>
          <w:tcPr>
            <w:tcW w:type="dxa" w:w="396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verify interval lower bound ε_−</w:t>
            </w:r>
          </w:p>
        </w:tc>
        <w:tc>
          <w:tcPr>
            <w:tcW w:type="dxa" w:w="226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PASS-INTERVAL</w:t>
            </w:r>
          </w:p>
        </w:tc>
      </w:tr>
      <w:tr>
        <w:trPr>
          <w:cantSplit/>
        </w:trPr>
        <w:tc>
          <w:tcPr>
            <w:tcW w:type="dxa" w:w="283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matched-null with plus-one correction</w:t>
            </w:r>
          </w:p>
        </w:tc>
        <w:tc>
          <w:tcPr>
            <w:tcW w:type="dxa" w:w="396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calibration sanity check</w:t>
            </w:r>
          </w:p>
        </w:tc>
        <w:tc>
          <w:tcPr>
            <w:tcW w:type="dxa" w:w="226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EMP-PLAN / NUM</w:t>
            </w:r>
          </w:p>
        </w:tc>
      </w:tr>
      <w:tr>
        <w:trPr>
          <w:cantSplit/>
        </w:trPr>
        <w:tc>
          <w:tcPr>
            <w:tcW w:type="dxa" w:w="283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CGI perturbation</w:t>
            </w:r>
          </w:p>
        </w:tc>
        <w:tc>
          <w:tcPr>
            <w:tcW w:type="dxa" w:w="396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test denominator and monotonicity margins</w:t>
            </w:r>
          </w:p>
        </w:tc>
        <w:tc>
          <w:tcPr>
            <w:tcW w:type="dxa" w:w="226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PASS-NUM</w:t>
            </w:r>
          </w:p>
        </w:tc>
      </w:tr>
    </w:tbl>
    <w:p>
      <w:pPr>
        <w:spacing w:after="40"/>
      </w:pPr>
    </w:p>
    <w:p>
      <w:pPr>
        <w:pStyle w:val="Heading2"/>
        <w:keepNext/>
        <w:keepLines w:val="0"/>
        <w:spacing w:before="160" w:after="80" w:line="240" w:lineRule="auto"/>
      </w:pPr>
      <w:r>
        <w:rPr>
          <w:rFonts w:ascii="DejaVu Sans" w:hAnsi="DejaVu Sans" w:eastAsia="DejaVu Sans"/>
          <w:b/>
          <w:i w:val="0"/>
          <w:color w:val="1F4E78"/>
          <w:sz w:val="25"/>
        </w:rPr>
        <w:t>23.2. Optimality of 1/4</w:t>
      </w:r>
    </w:p>
    <w:p>
      <w:pPr>
        <w:keepNext w:val="0"/>
        <w:keepLines w:val="0"/>
        <w:spacing w:before="0" w:after="100" w:line="259" w:lineRule="auto"/>
      </w:pPr>
      <w:r>
        <w:rPr>
          <w:rFonts w:ascii="DejaVu Serif" w:hAnsi="DejaVu Serif" w:eastAsia="DejaVu Serif"/>
          <w:b w:val="0"/>
          <w:i w:val="0"/>
          <w:sz w:val="20"/>
        </w:rPr>
        <w:t>Proposition 23.1 [PROP]. In the unrestricted two-point simultaneous-recovery problem, the coefficient 1/4 is sharp: midpoint estimators attain both half-distance bounds simultaneously.</w:t>
      </w:r>
    </w:p>
    <w:p>
      <w:pPr>
        <w:pStyle w:val="Heading2"/>
        <w:keepNext/>
        <w:keepLines w:val="0"/>
        <w:spacing w:before="160" w:after="80" w:line="240" w:lineRule="auto"/>
      </w:pPr>
      <w:r>
        <w:rPr>
          <w:rFonts w:ascii="DejaVu Sans" w:hAnsi="DejaVu Sans" w:eastAsia="DejaVu Sans"/>
          <w:b/>
          <w:i w:val="0"/>
          <w:color w:val="1F4E78"/>
          <w:sz w:val="25"/>
        </w:rPr>
        <w:t>23.3. Infimum, Supremum, and Compactness</w:t>
      </w:r>
    </w:p>
    <w:p>
      <w:pPr>
        <w:keepNext w:val="0"/>
        <w:keepLines w:val="0"/>
        <w:spacing w:before="0" w:after="100" w:line="259" w:lineRule="auto"/>
      </w:pPr>
      <w:r>
        <w:rPr>
          <w:rFonts w:ascii="DejaVu Serif" w:hAnsi="DejaVu Serif" w:eastAsia="DejaVu Serif"/>
          <w:b w:val="0"/>
          <w:i w:val="0"/>
          <w:sz w:val="20"/>
        </w:rPr>
        <w:t>A supremum of the normalized associator controls the largest defect and cannot provide a uniform positive lower bound. If Ω is compact and f(u)=‖K(u)‖/m(u) is continuous and strictly positive, then f attains a positive minimum ε_−.</w:t>
      </w:r>
    </w:p>
    <w:p>
      <w:pPr>
        <w:pStyle w:val="Heading2"/>
        <w:keepNext/>
        <w:keepLines w:val="0"/>
        <w:spacing w:before="160" w:after="80" w:line="240" w:lineRule="auto"/>
      </w:pPr>
      <w:r>
        <w:rPr>
          <w:rFonts w:ascii="DejaVu Sans" w:hAnsi="DejaVu Sans" w:eastAsia="DejaVu Sans"/>
          <w:b/>
          <w:i w:val="0"/>
          <w:color w:val="1F4E78"/>
          <w:sz w:val="25"/>
        </w:rPr>
        <w:t>23.4. Interval Certificate</w:t>
      </w:r>
    </w:p>
    <w:p>
      <w:pPr>
        <w:keepNext w:val="0"/>
        <w:keepLines w:val="0"/>
        <w:spacing w:before="0" w:after="100" w:line="259" w:lineRule="auto"/>
      </w:pPr>
      <w:r>
        <w:rPr>
          <w:rFonts w:ascii="DejaVu Serif" w:hAnsi="DejaVu Serif" w:eastAsia="DejaVu Serif"/>
          <w:b w:val="0"/>
          <w:i w:val="0"/>
          <w:sz w:val="20"/>
        </w:rPr>
        <w:t>An interval certificate encloses every multiplication, norm, branch gap, and final lower bound with directed rounding. A floating-point point estimate without an error enclosure has status NUM-CHECK, not an exact proof object.</w:t>
      </w:r>
    </w:p>
    <w:p>
      <w:pPr>
        <w:spacing w:before="40" w:after="40"/>
      </w:pPr>
      <w:r>
        <w:rPr>
          <w:b/>
          <w:color w:val="B91C1C"/>
          <w:sz w:val="18"/>
        </w:rPr>
        <w:t>CERTIFICATE BOUNDARY. </w:t>
      </w:r>
      <w:r>
        <w:rPr>
          <w:sz w:val="18"/>
        </w:rPr>
        <w:t xml:space="preserve"> Zero observed failures in a finite test set does not prove universal correctness. The test domain, seed, tolerance, arithmetic model, and uncovered cases remain part of the certificate.</w:t>
      </w:r>
    </w:p>
    <w:p>
      <w:pPr>
        <w:pStyle w:val="Heading1"/>
        <w:keepNext/>
        <w:keepLines w:val="0"/>
        <w:spacing w:before="200" w:after="80" w:line="240" w:lineRule="auto"/>
        <w:pageBreakBefore w:val="1"/>
      </w:pPr>
      <w:bookmarkStart w:id="1023" w:name="T1_CH_24"/>
      <w:r>
        <w:rPr>
          <w:rFonts w:ascii="DejaVu Sans" w:hAnsi="DejaVu Sans" w:eastAsia="DejaVu Sans"/>
          <w:b/>
          <w:i w:val="0"/>
          <w:color w:val="1F4E78"/>
          <w:sz w:val="32"/>
        </w:rPr>
        <w:t>Chapter 24. Export of PN.2 to Physics, Chemistry, Biology, and DNA: Boundaries and Verification Programme</w:t>
      </w:r>
      <w:bookmarkEnd w:id="1023"/>
    </w:p>
    <w:p>
      <w:pPr>
        <w:keepNext w:val="0"/>
        <w:keepLines w:val="0"/>
        <w:spacing w:before="0" w:after="100" w:line="259" w:lineRule="auto"/>
      </w:pPr>
      <w:r>
        <w:rPr>
          <w:rFonts w:ascii="DejaVu Serif" w:hAnsi="DejaVu Serif" w:eastAsia="DejaVu Serif"/>
          <w:b w:val="0"/>
          <w:i/>
          <w:sz w:val="18"/>
        </w:rPr>
        <w:t>Russian source locator: pp. 112–115</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A theorem about an abstract hidden branch does not inherit a subject-matter meaning by renaming its variables. Every export requires a typed adapter, dimensions and units, a null model, controls, data provenance, and an independent test.</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806440" cy="2550963"/>
            <wp:docPr id="27" name="Picture 27"/>
            <wp:cNvGraphicFramePr>
              <a:graphicFrameLocks noChangeAspect="1"/>
            </wp:cNvGraphicFramePr>
            <a:graphic>
              <a:graphicData uri="http://schemas.openxmlformats.org/drawingml/2006/picture">
                <pic:pic>
                  <pic:nvPicPr>
                    <pic:cNvPr id="0" name="fig24_export.png"/>
                    <pic:cNvPicPr/>
                  </pic:nvPicPr>
                  <pic:blipFill>
                    <a:blip r:embed="rId39"/>
                    <a:stretch>
                      <a:fillRect/>
                    </a:stretch>
                  </pic:blipFill>
                  <pic:spPr>
                    <a:xfrm>
                      <a:off x="0" y="0"/>
                      <a:ext cx="5806440" cy="2550963"/>
                    </a:xfrm>
                    <a:prstGeom prst="rect"/>
                  </pic:spPr>
                </pic:pic>
              </a:graphicData>
            </a:graphic>
          </wp:inline>
        </w:drawing>
      </w:r>
    </w:p>
    <w:p>
      <w:pPr>
        <w:keepNext w:val="0"/>
        <w:keepLines/>
        <w:spacing w:before="0" w:after="140" w:line="240" w:lineRule="auto"/>
        <w:jc w:val="center"/>
      </w:pPr>
      <w:bookmarkStart w:id="1084" w:name="T1_FIG_026"/>
      <w:r>
        <w:rPr>
          <w:rFonts w:ascii="DejaVu Serif" w:hAnsi="DejaVu Serif" w:eastAsia="DejaVu Serif"/>
          <w:b w:val="0"/>
          <w:i/>
          <w:color w:val="666666"/>
          <w:sz w:val="17"/>
        </w:rPr>
        <w:t>Figure 24.1. The export firewall separates an abstract theorem from an empirical observation.</w:t>
      </w:r>
      <w:bookmarkEnd w:id="1084"/>
    </w:p>
    <w:p>
      <w:pPr>
        <w:pStyle w:val="Heading2"/>
        <w:keepNext/>
        <w:keepLines w:val="0"/>
        <w:spacing w:before="160" w:after="80" w:line="240" w:lineRule="auto"/>
      </w:pPr>
      <w:r>
        <w:rPr>
          <w:rFonts w:ascii="DejaVu Sans" w:hAnsi="DejaVu Sans" w:eastAsia="DejaVu Sans"/>
          <w:b/>
          <w:i w:val="0"/>
          <w:color w:val="1F4E78"/>
          <w:sz w:val="25"/>
        </w:rPr>
        <w:t>24.1. Non-Transferability of Proof Status</w:t>
      </w:r>
    </w:p>
    <w:p>
      <w:pPr>
        <w:keepNext w:val="0"/>
        <w:keepLines w:val="0"/>
        <w:spacing w:before="0" w:after="100" w:line="259" w:lineRule="auto"/>
      </w:pPr>
      <w:r>
        <w:rPr>
          <w:rFonts w:ascii="DejaVu Serif" w:hAnsi="DejaVu Serif" w:eastAsia="DejaVu Serif"/>
          <w:b w:val="0"/>
          <w:i w:val="0"/>
          <w:sz w:val="20"/>
        </w:rPr>
        <w:t>Theorem 24.1 [THM]. The proved status of an abstract minimax theorem is not transported to a physical, chemical, biological, or genomic claim unless a subject adapter is defined and every adapter obligation is proved or independently validated.</w:t>
      </w:r>
    </w:p>
    <w:p>
      <w:pPr>
        <w:pStyle w:val="Heading2"/>
        <w:keepNext/>
        <w:keepLines w:val="0"/>
        <w:spacing w:before="160" w:after="80" w:line="240" w:lineRule="auto"/>
      </w:pPr>
      <w:r>
        <w:rPr>
          <w:rFonts w:ascii="DejaVu Sans" w:hAnsi="DejaVu Sans" w:eastAsia="DejaVu Sans"/>
          <w:b/>
          <w:i w:val="0"/>
          <w:color w:val="1F4E78"/>
          <w:sz w:val="25"/>
        </w:rPr>
        <w:t>24.2. Typed Export Passport</w:t>
      </w:r>
    </w:p>
    <w:tbl>
      <w:tblPr>
        <w:tblW w:type="auto" w:w="0"/>
        <w:jc w:val="center"/>
        <w:tblLayout w:type="fixed"/>
        <w:tblLook w:firstColumn="1" w:firstRow="1" w:lastColumn="0" w:lastRow="0" w:noHBand="0" w:noVBand="1" w:val="04A0"/>
      </w:tblPr>
      <w:tblGrid>
        <w:gridCol w:w="5035"/>
        <w:gridCol w:w="5035"/>
      </w:tblGrid>
      <w:tr>
        <w:trPr>
          <w:tblHeader w:val="true"/>
        </w:trPr>
        <w:tc>
          <w:tcPr>
            <w:tcW w:type="dxa" w:w="2041"/>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Field</w:t>
            </w:r>
          </w:p>
        </w:tc>
        <w:tc>
          <w:tcPr>
            <w:tcW w:type="dxa" w:w="7030"/>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Required content</w:t>
            </w:r>
          </w:p>
        </w:tc>
      </w:tr>
      <w:tr>
        <w:trPr>
          <w:cantSplit/>
        </w:trPr>
        <w:tc>
          <w:tcPr>
            <w:tcW w:type="dxa" w:w="204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carrier</w:t>
            </w:r>
          </w:p>
        </w:tc>
        <w:tc>
          <w:tcPr>
            <w:tcW w:type="dxa" w:w="7030"/>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measured or simulated object and sampling unit</w:t>
            </w:r>
          </w:p>
        </w:tc>
      </w:tr>
      <w:tr>
        <w:trPr>
          <w:cantSplit/>
        </w:trPr>
        <w:tc>
          <w:tcPr>
            <w:tcW w:type="dxa" w:w="204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branch map</w:t>
            </w:r>
          </w:p>
        </w:tc>
        <w:tc>
          <w:tcPr>
            <w:tcW w:type="dxa" w:w="7030"/>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what constitutes b_L and b_R in the subject domain</w:t>
            </w:r>
          </w:p>
        </w:tc>
      </w:tr>
      <w:tr>
        <w:trPr>
          <w:cantSplit/>
        </w:trPr>
        <w:tc>
          <w:tcPr>
            <w:tcW w:type="dxa" w:w="204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observable map</w:t>
            </w:r>
          </w:p>
        </w:tc>
        <w:tc>
          <w:tcPr>
            <w:tcW w:type="dxa" w:w="7030"/>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 full-state metric, units, calibration</w:t>
            </w:r>
          </w:p>
        </w:tc>
      </w:tr>
      <w:tr>
        <w:trPr>
          <w:cantSplit/>
        </w:trPr>
        <w:tc>
          <w:tcPr>
            <w:tcW w:type="dxa" w:w="204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structural coordinate</w:t>
            </w:r>
          </w:p>
        </w:tc>
        <w:tc>
          <w:tcPr>
            <w:tcW w:type="dxa" w:w="7030"/>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𝔇 and proof that Δ_D&gt;0</w:t>
            </w:r>
          </w:p>
        </w:tc>
      </w:tr>
      <w:tr>
        <w:trPr>
          <w:cantSplit/>
        </w:trPr>
        <w:tc>
          <w:tcPr>
            <w:tcW w:type="dxa" w:w="204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domain</w:t>
            </w:r>
          </w:p>
        </w:tc>
        <w:tc>
          <w:tcPr>
            <w:tcW w:type="dxa" w:w="7030"/>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inclusion/exclusion rules and validity range</w:t>
            </w:r>
          </w:p>
        </w:tc>
      </w:tr>
      <w:tr>
        <w:trPr>
          <w:cantSplit/>
        </w:trPr>
        <w:tc>
          <w:tcPr>
            <w:tcW w:type="dxa" w:w="204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null model</w:t>
            </w:r>
          </w:p>
        </w:tc>
        <w:tc>
          <w:tcPr>
            <w:tcW w:type="dxa" w:w="7030"/>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matched object, transformation group, nuisance handling</w:t>
            </w:r>
          </w:p>
        </w:tc>
      </w:tr>
      <w:tr>
        <w:trPr>
          <w:cantSplit/>
        </w:trPr>
        <w:tc>
          <w:tcPr>
            <w:tcW w:type="dxa" w:w="204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data</w:t>
            </w:r>
          </w:p>
        </w:tc>
        <w:tc>
          <w:tcPr>
            <w:tcW w:type="dxa" w:w="7030"/>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version, provenance, licenses, covariance, missingness</w:t>
            </w:r>
          </w:p>
        </w:tc>
      </w:tr>
      <w:tr>
        <w:trPr>
          <w:cantSplit/>
        </w:trPr>
        <w:tc>
          <w:tcPr>
            <w:tcW w:type="dxa" w:w="204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test</w:t>
            </w:r>
          </w:p>
        </w:tc>
        <w:tc>
          <w:tcPr>
            <w:tcW w:type="dxa" w:w="7030"/>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primary endpoint, multiplicity correction, falsification rule</w:t>
            </w:r>
          </w:p>
        </w:tc>
      </w:tr>
      <w:tr>
        <w:trPr>
          <w:cantSplit/>
        </w:trPr>
        <w:tc>
          <w:tcPr>
            <w:tcW w:type="dxa" w:w="204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independence</w:t>
            </w:r>
          </w:p>
        </w:tc>
        <w:tc>
          <w:tcPr>
            <w:tcW w:type="dxa" w:w="7030"/>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blind split, external runner, immutable hashes</w:t>
            </w:r>
          </w:p>
        </w:tc>
      </w:tr>
    </w:tbl>
    <w:p>
      <w:pPr>
        <w:spacing w:after="40"/>
      </w:pPr>
    </w:p>
    <w:p>
      <w:pPr>
        <w:pStyle w:val="Heading2"/>
        <w:keepNext/>
        <w:keepLines w:val="0"/>
        <w:spacing w:before="160" w:after="80" w:line="240" w:lineRule="auto"/>
      </w:pPr>
      <w:r>
        <w:rPr>
          <w:rFonts w:ascii="DejaVu Sans" w:hAnsi="DejaVu Sans" w:eastAsia="DejaVu Sans"/>
          <w:b/>
          <w:i w:val="0"/>
          <w:color w:val="1F4E78"/>
          <w:sz w:val="25"/>
        </w:rPr>
        <w:t>24.3. Subject Protocols</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1417"/>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Domain</w:t>
            </w:r>
          </w:p>
        </w:tc>
        <w:tc>
          <w:tcPr>
            <w:tcW w:type="dxa" w:w="5953"/>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Permitted programme</w:t>
            </w:r>
          </w:p>
        </w:tc>
        <w:tc>
          <w:tcPr>
            <w:tcW w:type="dxa" w:w="1701"/>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Current status</w:t>
            </w:r>
          </w:p>
        </w:tc>
      </w:tr>
      <w:tr>
        <w:trPr>
          <w:cantSplit/>
        </w:trPr>
        <w:tc>
          <w:tcPr>
            <w:tcW w:type="dxa" w:w="141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Physics</w:t>
            </w:r>
          </w:p>
        </w:tc>
        <w:tc>
          <w:tcPr>
            <w:tcW w:type="dxa" w:w="595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define two operationally indistinguishable structural branches and a calibrated observable</w:t>
            </w:r>
          </w:p>
        </w:tc>
        <w:tc>
          <w:tcPr>
            <w:tcW w:type="dxa" w:w="170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PHY-HYP / EMP-PLAN</w:t>
            </w:r>
          </w:p>
        </w:tc>
      </w:tr>
      <w:tr>
        <w:trPr>
          <w:cantSplit/>
        </w:trPr>
        <w:tc>
          <w:tcPr>
            <w:tcW w:type="dxa" w:w="141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Chemistry</w:t>
            </w:r>
          </w:p>
        </w:tc>
        <w:tc>
          <w:tcPr>
            <w:tcW w:type="dxa" w:w="595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compare alternative reaction/structure protocols under matched conditions and exact stoichiometric gates</w:t>
            </w:r>
          </w:p>
        </w:tc>
        <w:tc>
          <w:tcPr>
            <w:tcW w:type="dxa" w:w="170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MODEL / EMP-PLAN</w:t>
            </w:r>
          </w:p>
        </w:tc>
      </w:tr>
      <w:tr>
        <w:trPr>
          <w:cantSplit/>
        </w:trPr>
        <w:tc>
          <w:tcPr>
            <w:tcW w:type="dxa" w:w="141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Biology</w:t>
            </w:r>
          </w:p>
        </w:tc>
        <w:tc>
          <w:tcPr>
            <w:tcW w:type="dxa" w:w="595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declare biological unit, hierarchical dependence, batch effects, and intervention limits</w:t>
            </w:r>
          </w:p>
        </w:tc>
        <w:tc>
          <w:tcPr>
            <w:tcW w:type="dxa" w:w="170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EMP-PLAN</w:t>
            </w:r>
          </w:p>
        </w:tc>
      </w:tr>
      <w:tr>
        <w:trPr>
          <w:cantSplit/>
        </w:trPr>
        <w:tc>
          <w:tcPr>
            <w:tcW w:type="dxa" w:w="141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DNA</w:t>
            </w:r>
          </w:p>
        </w:tc>
        <w:tc>
          <w:tcPr>
            <w:tcW w:type="dxa" w:w="595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freeze assembly, annotation, alignment, structural coordinate, and multiple-testing plan</w:t>
            </w:r>
          </w:p>
        </w:tc>
        <w:tc>
          <w:tcPr>
            <w:tcW w:type="dxa" w:w="170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EMP-PLAN</w:t>
            </w:r>
          </w:p>
        </w:tc>
      </w:tr>
    </w:tbl>
    <w:p>
      <w:pPr>
        <w:spacing w:after="40"/>
      </w:pPr>
    </w:p>
    <w:p>
      <w:pPr>
        <w:pStyle w:val="Heading2"/>
        <w:keepNext/>
        <w:keepLines w:val="0"/>
        <w:spacing w:before="160" w:after="80" w:line="240" w:lineRule="auto"/>
      </w:pPr>
      <w:r>
        <w:rPr>
          <w:rFonts w:ascii="DejaVu Sans" w:hAnsi="DejaVu Sans" w:eastAsia="DejaVu Sans"/>
          <w:b/>
          <w:i w:val="0"/>
          <w:color w:val="1F4E78"/>
          <w:sz w:val="25"/>
        </w:rPr>
        <w:t>24.4. Falsification and Stop Rules</w:t>
      </w:r>
    </w:p>
    <w:p>
      <w:pPr>
        <w:pStyle w:val="ListBullet"/>
        <w:keepNext w:val="0"/>
        <w:keepLines w:val="0"/>
        <w:spacing w:before="0" w:after="60" w:line="252" w:lineRule="auto"/>
      </w:pPr>
      <w:r>
        <w:rPr>
          <w:rFonts w:ascii="DejaVu Serif" w:hAnsi="DejaVu Serif" w:eastAsia="DejaVu Serif"/>
          <w:b w:val="0"/>
          <w:i w:val="0"/>
          <w:sz w:val="19"/>
        </w:rPr>
        <w:t>Failure of the adapter to define both branches in the same empirical carrier blocks the export.</w:t>
      </w:r>
    </w:p>
    <w:p>
      <w:pPr>
        <w:pStyle w:val="ListBullet"/>
        <w:keepNext w:val="0"/>
        <w:keepLines w:val="0"/>
        <w:spacing w:before="0" w:after="60" w:line="252" w:lineRule="auto"/>
      </w:pPr>
      <w:r>
        <w:rPr>
          <w:rFonts w:ascii="DejaVu Serif" w:hAnsi="DejaVu Serif" w:eastAsia="DejaVu Serif"/>
          <w:b w:val="0"/>
          <w:i w:val="0"/>
          <w:sz w:val="19"/>
        </w:rPr>
        <w:t>If the structural coordinate does not separate the branches, the subject PN.2 claim is falsified in that implementation.</w:t>
      </w:r>
    </w:p>
    <w:p>
      <w:pPr>
        <w:pStyle w:val="ListBullet"/>
        <w:keepNext w:val="0"/>
        <w:keepLines w:val="0"/>
        <w:spacing w:before="0" w:after="60" w:line="252" w:lineRule="auto"/>
      </w:pPr>
      <w:r>
        <w:rPr>
          <w:rFonts w:ascii="DejaVu Serif" w:hAnsi="DejaVu Serif" w:eastAsia="DejaVu Serif"/>
          <w:b w:val="0"/>
          <w:i w:val="0"/>
          <w:sz w:val="19"/>
        </w:rPr>
        <w:t>If the full-state or scalar gap is absent in the declared domain, the positive lower-bound claim is rejected.</w:t>
      </w:r>
    </w:p>
    <w:p>
      <w:pPr>
        <w:pStyle w:val="ListBullet"/>
        <w:keepNext w:val="0"/>
        <w:keepLines w:val="0"/>
        <w:spacing w:before="0" w:after="60" w:line="252" w:lineRule="auto"/>
      </w:pPr>
      <w:r>
        <w:rPr>
          <w:rFonts w:ascii="DejaVu Serif" w:hAnsi="DejaVu Serif" w:eastAsia="DejaVu Serif"/>
          <w:b w:val="0"/>
          <w:i w:val="0"/>
          <w:sz w:val="19"/>
        </w:rPr>
        <w:t>Post hoc selection of an observable, subgroup, or null transformation invalidates the preregistered claim unless independently corrected.</w:t>
      </w:r>
    </w:p>
    <w:p>
      <w:pPr>
        <w:pStyle w:val="ListBullet"/>
        <w:keepNext w:val="0"/>
        <w:keepLines w:val="0"/>
        <w:spacing w:before="0" w:after="60" w:line="252" w:lineRule="auto"/>
      </w:pPr>
      <w:r>
        <w:rPr>
          <w:rFonts w:ascii="DejaVu Serif" w:hAnsi="DejaVu Serif" w:eastAsia="DejaVu Serif"/>
          <w:b w:val="0"/>
          <w:i w:val="0"/>
          <w:sz w:val="19"/>
        </w:rPr>
        <w:t>An independent EXT-RUN is required before any EMP-OBS promotion.</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EXPORT-CERT. </w:t>
            </w:r>
            <w:r>
              <w:rPr>
                <w:rFonts w:ascii="DejaVu Serif" w:hAnsi="DejaVu Serif" w:eastAsia="DejaVu Serif"/>
                <w:b w:val="0"/>
                <w:i w:val="0"/>
                <w:sz w:val="18"/>
              </w:rPr>
              <w:t>The export certificate stores the abstract theorem ID, adapter version, data and code hashes, preregistration, exclusions, multiplicity rule, result, and an exact statement of what the result does not establish.</w:t>
            </w:r>
          </w:p>
        </w:tc>
      </w:tr>
    </w:tbl>
    <w:p>
      <w:pPr>
        <w:pStyle w:val="Heading1"/>
        <w:keepNext/>
        <w:keepLines w:val="0"/>
        <w:spacing w:before="200" w:after="80" w:line="240" w:lineRule="auto"/>
        <w:pageBreakBefore w:val="1"/>
      </w:pPr>
      <w:bookmarkStart w:id="1024" w:name="T1_CH_25"/>
      <w:r>
        <w:rPr>
          <w:rFonts w:ascii="DejaVu Sans" w:hAnsi="DejaVu Sans" w:eastAsia="DejaVu Sans"/>
          <w:b/>
          <w:i w:val="0"/>
          <w:color w:val="1F4E78"/>
          <w:sz w:val="32"/>
        </w:rPr>
        <w:t>Chapter 25. Operators of Action, Change, and Reversal</w:t>
      </w:r>
      <w:bookmarkEnd w:id="1024"/>
    </w:p>
    <w:p>
      <w:pPr>
        <w:keepNext w:val="0"/>
        <w:keepLines w:val="0"/>
        <w:spacing w:before="0" w:after="100" w:line="259" w:lineRule="auto"/>
      </w:pPr>
      <w:r>
        <w:rPr>
          <w:rFonts w:ascii="DejaVu Serif" w:hAnsi="DejaVu Serif" w:eastAsia="DejaVu Serif"/>
          <w:b w:val="0"/>
          <w:i/>
          <w:sz w:val="18"/>
        </w:rPr>
        <w:t>Russian source locator: pp. 116–124</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Action creates an impulse, reversal/insertion turns an admissible impulse into a state, and change evolves the state. Treating all three as one operator produces ill-typed compositions and false inverse symbols.</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806440" cy="2550963"/>
            <wp:docPr id="28" name="Picture 28"/>
            <wp:cNvGraphicFramePr>
              <a:graphicFrameLocks noChangeAspect="1"/>
            </wp:cNvGraphicFramePr>
            <a:graphic>
              <a:graphicData uri="http://schemas.openxmlformats.org/drawingml/2006/picture">
                <pic:pic>
                  <pic:nvPicPr>
                    <pic:cNvPr id="0" name="fig25_ops.png"/>
                    <pic:cNvPicPr/>
                  </pic:nvPicPr>
                  <pic:blipFill>
                    <a:blip r:embed="rId40"/>
                    <a:stretch>
                      <a:fillRect/>
                    </a:stretch>
                  </pic:blipFill>
                  <pic:spPr>
                    <a:xfrm>
                      <a:off x="0" y="0"/>
                      <a:ext cx="5806440" cy="2550963"/>
                    </a:xfrm>
                    <a:prstGeom prst="rect"/>
                  </pic:spPr>
                </pic:pic>
              </a:graphicData>
            </a:graphic>
          </wp:inline>
        </w:drawing>
      </w:r>
    </w:p>
    <w:p>
      <w:pPr>
        <w:keepNext w:val="0"/>
        <w:keepLines/>
        <w:spacing w:before="0" w:after="140" w:line="240" w:lineRule="auto"/>
        <w:jc w:val="center"/>
      </w:pPr>
      <w:bookmarkStart w:id="1085" w:name="T1_FIG_027"/>
      <w:r>
        <w:rPr>
          <w:rFonts w:ascii="DejaVu Serif" w:hAnsi="DejaVu Serif" w:eastAsia="DejaVu Serif"/>
          <w:b w:val="0"/>
          <w:i/>
          <w:color w:val="666666"/>
          <w:sz w:val="17"/>
        </w:rPr>
        <w:t>Figure 25.1. The typed route from source through action and insertion to semigroup evolution.</w:t>
      </w:r>
      <w:bookmarkEnd w:id="1085"/>
    </w:p>
    <w:p>
      <w:pPr>
        <w:pStyle w:val="Heading2"/>
        <w:keepNext/>
        <w:keepLines w:val="0"/>
        <w:spacing w:before="160" w:after="80" w:line="240" w:lineRule="auto"/>
      </w:pPr>
      <w:r>
        <w:rPr>
          <w:rFonts w:ascii="DejaVu Sans" w:hAnsi="DejaVu Sans" w:eastAsia="DejaVu Sans"/>
          <w:b/>
          <w:i w:val="0"/>
          <w:color w:val="1F4E78"/>
          <w:sz w:val="25"/>
        </w:rPr>
        <w:t>25.1. Typed Data</w:t>
      </w:r>
    </w:p>
    <w:p>
      <w:pPr>
        <w:keepNext w:val="0"/>
        <w:keepLines/>
        <w:spacing w:before="80" w:after="140" w:line="240" w:lineRule="auto"/>
        <w:jc w:val="center"/>
      </w:pPr>
      <w:r>
        <w:rPr>
          <w:rFonts w:ascii="DejaVu Serif" w:hAnsi="DejaVu Serif" w:eastAsia="DejaVu Serif"/>
          <w:b w:val="0"/>
          <w:i w:val="0"/>
          <w:sz w:val="22"/>
        </w:rPr>
        <w:t>Δ_ord:P_ord→I,   Δ_sp:P_sp→I,   Υ:D_Υ⊆I→X,   Ξ_t:X→X.</w:t>
      </w:r>
      <w:r>
        <w:rPr>
          <w:rFonts w:ascii="DejaVu Sans" w:hAnsi="DejaVu Sans" w:eastAsia="DejaVu Sans"/>
          <w:b w:val="0"/>
          <w:i/>
          <w:color w:val="666666"/>
          <w:sz w:val="16"/>
        </w:rPr>
        <w:t xml:space="preserve">    [RU pp. 116–118]</w:t>
      </w:r>
    </w:p>
    <w:p>
      <w:pPr>
        <w:keepNext w:val="0"/>
        <w:keepLines w:val="0"/>
        <w:spacing w:before="0" w:after="100" w:line="259" w:lineRule="auto"/>
      </w:pPr>
      <w:r>
        <w:rPr>
          <w:rFonts w:ascii="DejaVu Serif" w:hAnsi="DejaVu Serif" w:eastAsia="DejaVu Serif"/>
          <w:b w:val="0"/>
          <w:i w:val="0"/>
          <w:sz w:val="20"/>
        </w:rPr>
        <w:t>The ordinary and spontaneous action maps share the impulse codomain I but may have different source spaces. Spontaneity is relative to a support relation and an information field; it is not a metaphysical claim of causelessness.</w:t>
      </w:r>
    </w:p>
    <w:p>
      <w:pPr>
        <w:pStyle w:val="Heading2"/>
        <w:keepNext/>
        <w:keepLines w:val="0"/>
        <w:spacing w:before="160" w:after="80" w:line="240" w:lineRule="auto"/>
      </w:pPr>
      <w:r>
        <w:rPr>
          <w:rFonts w:ascii="DejaVu Sans" w:hAnsi="DejaVu Sans" w:eastAsia="DejaVu Sans"/>
          <w:b/>
          <w:i w:val="0"/>
          <w:color w:val="1F4E78"/>
          <w:sz w:val="25"/>
        </w:rPr>
        <w:t>25.2. Relative Spontaneity</w:t>
      </w:r>
    </w:p>
    <w:p>
      <w:pPr>
        <w:keepNext w:val="0"/>
        <w:keepLines/>
        <w:spacing w:before="80" w:after="140" w:line="240" w:lineRule="auto"/>
        <w:jc w:val="center"/>
      </w:pPr>
      <w:r>
        <w:rPr>
          <w:rFonts w:ascii="DejaVu Serif" w:hAnsi="DejaVu Serif" w:eastAsia="DejaVu Serif"/>
          <w:b w:val="0"/>
          <w:i w:val="0"/>
          <w:sz w:val="22"/>
        </w:rPr>
        <w:t>I_ord={i∈I : ∃s∈S_− with (s,i)∈Supp}.</w:t>
      </w:r>
      <w:r>
        <w:rPr>
          <w:rFonts w:ascii="DejaVu Sans" w:hAnsi="DejaVu Sans" w:eastAsia="DejaVu Sans"/>
          <w:b w:val="0"/>
          <w:i/>
          <w:color w:val="666666"/>
          <w:sz w:val="16"/>
        </w:rPr>
        <w:t xml:space="preserve">    [RU p. 117]</w:t>
      </w:r>
    </w:p>
    <w:p>
      <w:pPr>
        <w:keepNext w:val="0"/>
        <w:keepLines w:val="0"/>
        <w:spacing w:before="0" w:after="100" w:line="259" w:lineRule="auto"/>
      </w:pPr>
      <w:r>
        <w:rPr>
          <w:rFonts w:ascii="DejaVu Serif" w:hAnsi="DejaVu Serif" w:eastAsia="DejaVu Serif"/>
          <w:b w:val="0"/>
          <w:i w:val="0"/>
          <w:sz w:val="20"/>
        </w:rPr>
        <w:t>An impulse is spontaneous relative to (S_−,Supp) when it does not belong to I_ord. Enlarging the information field or support relation may reclassify it. Proposition 25.10 [PROP] formalizes this epistemic monotonicity.</w:t>
      </w:r>
    </w:p>
    <w:p>
      <w:pPr>
        <w:pStyle w:val="Heading2"/>
        <w:keepNext/>
        <w:keepLines w:val="0"/>
        <w:spacing w:before="160" w:after="80" w:line="240" w:lineRule="auto"/>
      </w:pPr>
      <w:r>
        <w:rPr>
          <w:rFonts w:ascii="DejaVu Sans" w:hAnsi="DejaVu Sans" w:eastAsia="DejaVu Sans"/>
          <w:b/>
          <w:i w:val="0"/>
          <w:color w:val="1F4E78"/>
          <w:sz w:val="25"/>
        </w:rPr>
        <w:t>25.3. Partial Insertion and Admissible Sources</w:t>
      </w:r>
    </w:p>
    <w:p>
      <w:pPr>
        <w:keepNext w:val="0"/>
        <w:keepLines/>
        <w:spacing w:before="80" w:after="140" w:line="240" w:lineRule="auto"/>
        <w:jc w:val="center"/>
      </w:pPr>
      <w:r>
        <w:rPr>
          <w:rFonts w:ascii="DejaVu Serif" w:hAnsi="DejaVu Serif" w:eastAsia="DejaVu Serif"/>
          <w:b w:val="0"/>
          <w:i w:val="0"/>
          <w:sz w:val="22"/>
        </w:rPr>
        <w:t>P_ad=Δ_sp⁻¹(D_Υ)={p∈P_sp : Δ_sp(p)∈D_Υ}.</w:t>
      </w:r>
      <w:r>
        <w:rPr>
          <w:rFonts w:ascii="DejaVu Sans" w:hAnsi="DejaVu Sans" w:eastAsia="DejaVu Sans"/>
          <w:b w:val="0"/>
          <w:i/>
          <w:color w:val="666666"/>
          <w:sz w:val="16"/>
        </w:rPr>
        <w:t xml:space="preserve">    [RU p. 117]</w:t>
      </w:r>
    </w:p>
    <w:p>
      <w:pPr>
        <w:keepNext w:val="0"/>
        <w:keepLines w:val="0"/>
        <w:spacing w:before="0" w:after="100" w:line="259" w:lineRule="auto"/>
      </w:pPr>
      <w:r>
        <w:rPr>
          <w:rFonts w:ascii="DejaVu Serif" w:hAnsi="DejaVu Serif" w:eastAsia="DejaVu Serif"/>
          <w:b w:val="0"/>
          <w:i w:val="0"/>
          <w:sz w:val="20"/>
        </w:rPr>
        <w:t>If P_ad is empty, a subsequent universal statement is formally true but scientifically vacuous. Nonemptiness is therefore a separate proof obligation.</w:t>
      </w:r>
    </w:p>
    <w:p>
      <w:pPr>
        <w:pStyle w:val="Heading2"/>
        <w:keepNext/>
        <w:keepLines w:val="0"/>
        <w:spacing w:before="160" w:after="80" w:line="240" w:lineRule="auto"/>
      </w:pPr>
      <w:r>
        <w:rPr>
          <w:rFonts w:ascii="DejaVu Sans" w:hAnsi="DejaVu Sans" w:eastAsia="DejaVu Sans"/>
          <w:b/>
          <w:i w:val="0"/>
          <w:color w:val="1F4E78"/>
          <w:sz w:val="25"/>
        </w:rPr>
        <w:t>25.4. Semigroup of Change</w:t>
      </w:r>
    </w:p>
    <w:p>
      <w:pPr>
        <w:keepNext w:val="0"/>
        <w:keepLines/>
        <w:spacing w:before="80" w:after="140" w:line="240" w:lineRule="auto"/>
        <w:jc w:val="center"/>
      </w:pPr>
      <w:r>
        <w:rPr>
          <w:rFonts w:ascii="DejaVu Serif" w:hAnsi="DejaVu Serif" w:eastAsia="DejaVu Serif"/>
          <w:b w:val="0"/>
          <w:i w:val="0"/>
          <w:sz w:val="22"/>
        </w:rPr>
        <w:t>Ξ₀=id_X,   Ξ_{s+t}=Ξ_s∘Ξ_t,   s,t≥0.</w:t>
      </w:r>
      <w:r>
        <w:rPr>
          <w:rFonts w:ascii="DejaVu Sans" w:hAnsi="DejaVu Sans" w:eastAsia="DejaVu Sans"/>
          <w:b w:val="0"/>
          <w:i/>
          <w:color w:val="666666"/>
          <w:sz w:val="16"/>
        </w:rPr>
        <w:t xml:space="preserve">    [RU p. 118]</w:t>
      </w:r>
    </w:p>
    <w:p>
      <w:pPr>
        <w:keepNext w:val="0"/>
        <w:keepLines w:val="0"/>
        <w:spacing w:before="0" w:after="100" w:line="259" w:lineRule="auto"/>
      </w:pPr>
      <w:r>
        <w:rPr>
          <w:rFonts w:ascii="DejaVu Serif" w:hAnsi="DejaVu Serif" w:eastAsia="DejaVu Serif"/>
          <w:b w:val="0"/>
          <w:i w:val="0"/>
          <w:sz w:val="20"/>
        </w:rPr>
        <w:t>These are algebraic semigroup axioms. Continuity, differentiability, linearity, a generator, or well-posedness of a differential equation do not follow without additional hypotheses.</w:t>
      </w:r>
    </w:p>
    <w:p>
      <w:pPr>
        <w:pStyle w:val="Heading2"/>
        <w:keepNext/>
        <w:keepLines w:val="0"/>
        <w:spacing w:before="160" w:after="80" w:line="240" w:lineRule="auto"/>
      </w:pPr>
      <w:r>
        <w:rPr>
          <w:rFonts w:ascii="DejaVu Sans" w:hAnsi="DejaVu Sans" w:eastAsia="DejaVu Sans"/>
          <w:b/>
          <w:i w:val="0"/>
          <w:color w:val="1F4E78"/>
          <w:sz w:val="25"/>
        </w:rPr>
        <w:t>25.5. Three Meanings of Υ⁻¹</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1814"/>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Case</w:t>
            </w:r>
          </w:p>
        </w:tc>
        <w:tc>
          <w:tcPr>
            <w:tcW w:type="dxa" w:w="3515"/>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Meaning of Υ⁻¹</w:t>
            </w:r>
          </w:p>
        </w:tc>
        <w:tc>
          <w:tcPr>
            <w:tcW w:type="dxa" w:w="3742"/>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Allowed use</w:t>
            </w:r>
          </w:p>
        </w:tc>
      </w:tr>
      <w:tr>
        <w:trPr>
          <w:cantSplit/>
        </w:trPr>
        <w:tc>
          <w:tcPr>
            <w:tcW w:type="dxa" w:w="181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Υ bijective</w:t>
            </w:r>
          </w:p>
        </w:tc>
        <w:tc>
          <w:tcPr>
            <w:tcW w:type="dxa" w:w="351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global inverse X→D_Υ</w:t>
            </w:r>
          </w:p>
        </w:tc>
        <w:tc>
          <w:tcPr>
            <w:tcW w:type="dxa" w:w="374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ordinary composition</w:t>
            </w:r>
          </w:p>
        </w:tc>
      </w:tr>
      <w:tr>
        <w:trPr>
          <w:cantSplit/>
        </w:trPr>
        <w:tc>
          <w:tcPr>
            <w:tcW w:type="dxa" w:w="181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Υ injective only</w:t>
            </w:r>
          </w:p>
        </w:tc>
        <w:tc>
          <w:tcPr>
            <w:tcW w:type="dxa" w:w="351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inverse defined on im Υ</w:t>
            </w:r>
          </w:p>
        </w:tc>
        <w:tc>
          <w:tcPr>
            <w:tcW w:type="dxa" w:w="374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restrict domain explicitly</w:t>
            </w:r>
          </w:p>
        </w:tc>
      </w:tr>
      <w:tr>
        <w:trPr>
          <w:cantSplit/>
        </w:trPr>
        <w:tc>
          <w:tcPr>
            <w:tcW w:type="dxa" w:w="181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Υ noninjective</w:t>
            </w:r>
          </w:p>
        </w:tc>
        <w:tc>
          <w:tcPr>
            <w:tcW w:type="dxa" w:w="351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set-valued preimage</w:t>
            </w:r>
          </w:p>
        </w:tc>
        <w:tc>
          <w:tcPr>
            <w:tcW w:type="dxa" w:w="374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use a relation or selector; not a function</w:t>
            </w:r>
          </w:p>
        </w:tc>
      </w:tr>
    </w:tbl>
    <w:p>
      <w:pPr>
        <w:spacing w:after="40"/>
      </w:pPr>
    </w:p>
    <w:p>
      <w:pPr>
        <w:keepNext w:val="0"/>
        <w:keepLines w:val="0"/>
        <w:spacing w:before="0" w:after="100" w:line="259" w:lineRule="auto"/>
      </w:pPr>
      <w:r>
        <w:rPr>
          <w:rFonts w:ascii="DejaVu Serif" w:hAnsi="DejaVu Serif" w:eastAsia="DejaVu Serif"/>
          <w:b w:val="0"/>
          <w:i w:val="0"/>
          <w:sz w:val="20"/>
        </w:rPr>
        <w:t>Theorem 25.1 [THM]. On P_ad, the composition x_t=Ξ_t(Υ(Δ_sp(p))) is type-correct. Recovery of p from x_t requires separate injectivity or a declared multivalued inverse; it is not implied by the forward construction.</w:t>
      </w:r>
    </w:p>
    <w:p>
      <w:pPr>
        <w:keepNext w:val="0"/>
        <w:keepLines w:val="0"/>
        <w:spacing w:before="0" w:after="100" w:line="259" w:lineRule="auto"/>
      </w:pPr>
      <w:r>
        <w:rPr>
          <w:rFonts w:ascii="DejaVu Serif" w:hAnsi="DejaVu Serif" w:eastAsia="DejaVu Serif"/>
          <w:b w:val="0"/>
          <w:i w:val="0"/>
          <w:sz w:val="20"/>
        </w:rPr>
        <w:t>Theorem 25.9 [THM]. The formula Δ_sp=Δ∘Υ⁻¹ is type-correct only after specifying a domain on which Υ⁻¹ is an actual function and the codomain of Υ⁻¹ matches the domain of Δ. Otherwise the formula is undefined or relational.</w:t>
      </w:r>
    </w:p>
    <w:p>
      <w:pPr>
        <w:pStyle w:val="Heading2"/>
        <w:keepNext/>
        <w:keepLines w:val="0"/>
        <w:spacing w:before="160" w:after="80" w:line="240" w:lineRule="auto"/>
      </w:pPr>
      <w:r>
        <w:rPr>
          <w:rFonts w:ascii="DejaVu Sans" w:hAnsi="DejaVu Sans" w:eastAsia="DejaVu Sans"/>
          <w:b/>
          <w:i w:val="0"/>
          <w:color w:val="1F4E78"/>
          <w:sz w:val="25"/>
        </w:rPr>
        <w:t>25.6. Counterexamples and Stability</w:t>
      </w:r>
    </w:p>
    <w:p>
      <w:pPr>
        <w:pStyle w:val="ListBullet"/>
        <w:keepNext w:val="0"/>
        <w:keepLines w:val="0"/>
        <w:spacing w:before="0" w:after="60" w:line="252" w:lineRule="auto"/>
      </w:pPr>
      <w:r>
        <w:rPr>
          <w:rFonts w:ascii="DejaVu Serif" w:hAnsi="DejaVu Serif" w:eastAsia="DejaVu Serif"/>
          <w:b w:val="0"/>
          <w:i w:val="0"/>
          <w:sz w:val="19"/>
        </w:rPr>
        <w:t>A noninjective Υ maps two impulses to one state; a single-valued inverse does not exist.</w:t>
      </w:r>
    </w:p>
    <w:p>
      <w:pPr>
        <w:pStyle w:val="ListBullet"/>
        <w:keepNext w:val="0"/>
        <w:keepLines w:val="0"/>
        <w:spacing w:before="0" w:after="60" w:line="252" w:lineRule="auto"/>
      </w:pPr>
      <w:r>
        <w:rPr>
          <w:rFonts w:ascii="DejaVu Serif" w:hAnsi="DejaVu Serif" w:eastAsia="DejaVu Serif"/>
          <w:b w:val="0"/>
          <w:i w:val="0"/>
          <w:sz w:val="19"/>
        </w:rPr>
        <w:t>A partial domain D_Υ=(0,∞) makes negative impulses inadmissible even when Δ_sp is total.</w:t>
      </w:r>
    </w:p>
    <w:p>
      <w:pPr>
        <w:pStyle w:val="ListBullet"/>
        <w:keepNext w:val="0"/>
        <w:keepLines w:val="0"/>
        <w:spacing w:before="0" w:after="60" w:line="252" w:lineRule="auto"/>
      </w:pPr>
      <w:r>
        <w:rPr>
          <w:rFonts w:ascii="DejaVu Serif" w:hAnsi="DejaVu Serif" w:eastAsia="DejaVu Serif"/>
          <w:b w:val="0"/>
          <w:i w:val="0"/>
          <w:sz w:val="19"/>
        </w:rPr>
        <w:t>An empty D_Υ produces a vacuous theorem and no executable action.</w:t>
      </w:r>
    </w:p>
    <w:p>
      <w:pPr>
        <w:pStyle w:val="ListBullet"/>
        <w:keepNext w:val="0"/>
        <w:keepLines w:val="0"/>
        <w:spacing w:before="0" w:after="60" w:line="252" w:lineRule="auto"/>
      </w:pPr>
      <w:r>
        <w:rPr>
          <w:rFonts w:ascii="DejaVu Serif" w:hAnsi="DejaVu Serif" w:eastAsia="DejaVu Serif"/>
          <w:b w:val="0"/>
          <w:i w:val="0"/>
          <w:sz w:val="19"/>
        </w:rPr>
        <w:t>A Lipschitz inverse on an admissible image yields stable recovery; continuity alone need not.</w:t>
      </w:r>
    </w:p>
    <w:p>
      <w:pPr>
        <w:pStyle w:val="Heading2"/>
        <w:keepNext/>
        <w:keepLines w:val="0"/>
        <w:spacing w:before="160" w:after="80" w:line="240" w:lineRule="auto"/>
      </w:pPr>
      <w:r>
        <w:rPr>
          <w:rFonts w:ascii="DejaVu Sans" w:hAnsi="DejaVu Sans" w:eastAsia="DejaVu Sans"/>
          <w:b/>
          <w:i w:val="0"/>
          <w:color w:val="1F4E78"/>
          <w:sz w:val="25"/>
        </w:rPr>
        <w:t>25.7. Interface with Reper and NAPG</w:t>
      </w:r>
    </w:p>
    <w:p>
      <w:pPr>
        <w:keepNext w:val="0"/>
        <w:keepLines w:val="0"/>
        <w:spacing w:before="0" w:after="100" w:line="259" w:lineRule="auto"/>
      </w:pPr>
      <w:r>
        <w:rPr>
          <w:rFonts w:ascii="DejaVu Serif" w:hAnsi="DejaVu Serif" w:eastAsia="DejaVu Serif"/>
          <w:b w:val="0"/>
          <w:i w:val="0"/>
          <w:sz w:val="20"/>
        </w:rPr>
        <w:t>The operator chain may be represented inside a Reper or NAPG carrier only through an explicitly typed morphism preserving Dom, D, state semantics, and status. Chapter 25 does not identify Δ, Ξ, or Υ with algebraic multiplication, the Hodge Laplacian, or an associator.</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CAUSAL MODESTY. </w:t>
            </w:r>
            <w:r>
              <w:rPr>
                <w:rFonts w:ascii="DejaVu Serif" w:hAnsi="DejaVu Serif" w:eastAsia="DejaVu Serif"/>
                <w:b w:val="0"/>
                <w:i w:val="0"/>
                <w:sz w:val="18"/>
              </w:rPr>
              <w:t>“Spontaneous relative to the recorded support” means “not explained by the current information field.” It does not establish absence of all causes.</w:t>
            </w:r>
          </w:p>
        </w:tc>
      </w:tr>
    </w:tbl>
    <w:p>
      <w:pPr>
        <w:pStyle w:val="Heading1"/>
        <w:keepNext/>
        <w:keepLines w:val="0"/>
        <w:spacing w:before="200" w:after="80" w:line="240" w:lineRule="auto"/>
        <w:pageBreakBefore w:val="1"/>
      </w:pPr>
      <w:bookmarkStart w:id="1025" w:name="T1_CH_26"/>
      <w:r>
        <w:rPr>
          <w:rFonts w:ascii="DejaVu Sans" w:hAnsi="DejaVu Sans" w:eastAsia="DejaVu Sans"/>
          <w:b/>
          <w:i w:val="0"/>
          <w:color w:val="1F4E78"/>
          <w:sz w:val="32"/>
        </w:rPr>
        <w:t>Chapter 26. Nonassociative Packet Reper Algebra of Size@Dimensions</w:t>
      </w:r>
      <w:bookmarkEnd w:id="1025"/>
    </w:p>
    <w:p>
      <w:pPr>
        <w:keepNext w:val="0"/>
        <w:keepLines w:val="0"/>
        <w:spacing w:before="0" w:after="100" w:line="259" w:lineRule="auto"/>
      </w:pPr>
      <w:r>
        <w:rPr>
          <w:rFonts w:ascii="DejaVu Serif" w:hAnsi="DejaVu Serif" w:eastAsia="DejaVu Serif"/>
          <w:b w:val="0"/>
          <w:i/>
          <w:sz w:val="18"/>
        </w:rPr>
        <w:t>Russian source locator: pp. 125–146</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A finite based nonassociative algebra can be encoded as a weighted directed incidence geometry. The structure constants become edge weights, and the associator becomes the difference between two length-two paths. The equivalence is proved for based objects; Hodge, G₂, cohomological, and physical layers remain separate bridges.</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806440" cy="2550963"/>
            <wp:docPr id="29" name="Picture 29"/>
            <wp:cNvGraphicFramePr>
              <a:graphicFrameLocks noChangeAspect="1"/>
            </wp:cNvGraphicFramePr>
            <a:graphic>
              <a:graphicData uri="http://schemas.openxmlformats.org/drawingml/2006/picture">
                <pic:pic>
                  <pic:nvPicPr>
                    <pic:cNvPr id="0" name="fig26_duality.png"/>
                    <pic:cNvPicPr/>
                  </pic:nvPicPr>
                  <pic:blipFill>
                    <a:blip r:embed="rId41"/>
                    <a:stretch>
                      <a:fillRect/>
                    </a:stretch>
                  </pic:blipFill>
                  <pic:spPr>
                    <a:xfrm>
                      <a:off x="0" y="0"/>
                      <a:ext cx="5806440" cy="2550963"/>
                    </a:xfrm>
                    <a:prstGeom prst="rect"/>
                  </pic:spPr>
                </pic:pic>
              </a:graphicData>
            </a:graphic>
          </wp:inline>
        </w:drawing>
      </w:r>
    </w:p>
    <w:p>
      <w:pPr>
        <w:keepNext w:val="0"/>
        <w:keepLines/>
        <w:spacing w:before="0" w:after="140" w:line="240" w:lineRule="auto"/>
        <w:jc w:val="center"/>
      </w:pPr>
      <w:bookmarkStart w:id="1086" w:name="T1_FIG_028"/>
      <w:r>
        <w:rPr>
          <w:rFonts w:ascii="DejaVu Serif" w:hAnsi="DejaVu Serif" w:eastAsia="DejaVu Serif"/>
          <w:b w:val="0"/>
          <w:i/>
          <w:color w:val="666666"/>
          <w:sz w:val="17"/>
        </w:rPr>
        <w:t>Figure 26.1. Structure constants and weighted two-step paths carry the same based finite-dimensional data.</w:t>
      </w:r>
      <w:bookmarkEnd w:id="1086"/>
    </w:p>
    <w:p>
      <w:pPr>
        <w:pStyle w:val="Heading2"/>
        <w:keepNext/>
        <w:keepLines w:val="0"/>
        <w:spacing w:before="160" w:after="80" w:line="240" w:lineRule="auto"/>
      </w:pPr>
      <w:r>
        <w:rPr>
          <w:rFonts w:ascii="DejaVu Sans" w:hAnsi="DejaVu Sans" w:eastAsia="DejaVu Sans"/>
          <w:b/>
          <w:i w:val="0"/>
          <w:color w:val="1F4E78"/>
          <w:sz w:val="25"/>
        </w:rPr>
        <w:t>26.1. Notation and Status Discipline</w:t>
      </w:r>
    </w:p>
    <w:tbl>
      <w:tblPr>
        <w:tblW w:type="auto" w:w="0"/>
        <w:jc w:val="center"/>
        <w:tblLayout w:type="fixed"/>
        <w:tblLook w:firstColumn="1" w:firstRow="1" w:lastColumn="0" w:lastRow="0" w:noHBand="0" w:noVBand="1" w:val="04A0"/>
      </w:tblPr>
      <w:tblGrid>
        <w:gridCol w:w="5035"/>
        <w:gridCol w:w="5035"/>
      </w:tblGrid>
      <w:tr>
        <w:trPr>
          <w:tblHeader w:val="true"/>
        </w:trPr>
        <w:tc>
          <w:tcPr>
            <w:tcW w:type="dxa" w:w="1984"/>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Symbol</w:t>
            </w:r>
          </w:p>
        </w:tc>
        <w:tc>
          <w:tcPr>
            <w:tcW w:type="dxa" w:w="7087"/>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Type</w:t>
            </w:r>
          </w:p>
        </w:tc>
      </w:tr>
      <w:tr>
        <w:trPr>
          <w:cantSplit/>
        </w:trPr>
        <w:tc>
          <w:tcPr>
            <w:tcW w:type="dxa" w:w="198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w:t>
            </w:r>
          </w:p>
        </w:tc>
        <w:tc>
          <w:tcPr>
            <w:tcW w:type="dxa" w:w="708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basic bilinear multiplication</w:t>
            </w:r>
          </w:p>
        </w:tc>
      </w:tr>
      <w:tr>
        <w:trPr>
          <w:cantSplit/>
        </w:trPr>
        <w:tc>
          <w:tcPr>
            <w:tcW w:type="dxa" w:w="198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R⋆R</w:t>
            </w:r>
          </w:p>
        </w:tc>
        <w:tc>
          <w:tcPr>
            <w:tcW w:type="dxa" w:w="708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authorial quadratic packet object Q(R)=R⊙R</w:t>
            </w:r>
          </w:p>
        </w:tc>
      </w:tr>
      <w:tr>
        <w:trPr>
          <w:cantSplit/>
        </w:trPr>
        <w:tc>
          <w:tcPr>
            <w:tcW w:type="dxa" w:w="198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⋆_H</w:t>
            </w:r>
          </w:p>
        </w:tc>
        <w:tc>
          <w:tcPr>
            <w:tcW w:type="dxa" w:w="708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Hodge star; not multiplication</w:t>
            </w:r>
          </w:p>
        </w:tc>
      </w:tr>
      <w:tr>
        <w:trPr>
          <w:cantSplit/>
        </w:trPr>
        <w:tc>
          <w:tcPr>
            <w:tcW w:type="dxa" w:w="198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Ass_⊙</w:t>
            </w:r>
          </w:p>
        </w:tc>
        <w:tc>
          <w:tcPr>
            <w:tcW w:type="dxa" w:w="708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trilinear associator</w:t>
            </w:r>
          </w:p>
        </w:tc>
      </w:tr>
      <w:tr>
        <w:trPr>
          <w:cantSplit/>
        </w:trPr>
        <w:tc>
          <w:tcPr>
            <w:tcW w:type="dxa" w:w="198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δ</w:t>
            </w:r>
          </w:p>
        </w:tc>
        <w:tc>
          <w:tcPr>
            <w:tcW w:type="dxa" w:w="708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cochain differential; δ_Hdg reserved for Hodge codifferential</w:t>
            </w:r>
          </w:p>
        </w:tc>
      </w:tr>
    </w:tbl>
    <w:p>
      <w:pPr>
        <w:spacing w:after="40"/>
      </w:pPr>
    </w:p>
    <w:p>
      <w:pPr>
        <w:pStyle w:val="Heading2"/>
        <w:keepNext/>
        <w:keepLines w:val="0"/>
        <w:spacing w:before="160" w:after="80" w:line="240" w:lineRule="auto"/>
      </w:pPr>
      <w:r>
        <w:rPr>
          <w:rFonts w:ascii="DejaVu Sans" w:hAnsi="DejaVu Sans" w:eastAsia="DejaVu Sans"/>
          <w:b/>
          <w:i w:val="0"/>
          <w:color w:val="1F4E78"/>
          <w:sz w:val="25"/>
        </w:rPr>
        <w:t>26.2. Based Packet Reper Algebra</w:t>
      </w:r>
    </w:p>
    <w:p>
      <w:pPr>
        <w:keepNext w:val="0"/>
        <w:keepLines w:val="0"/>
        <w:spacing w:before="0" w:after="100" w:line="259" w:lineRule="auto"/>
      </w:pPr>
      <w:r>
        <w:rPr>
          <w:rFonts w:ascii="DejaVu Serif" w:hAnsi="DejaVu Serif" w:eastAsia="DejaVu Serif"/>
          <w:b w:val="0"/>
          <w:i w:val="0"/>
          <w:sz w:val="20"/>
        </w:rPr>
        <w:t>Definition 26.8. A based packet Reper algebra consists of a finite-dimensional K-vector space A with a fixed homogeneous basis B={e_i}, a bilinear multiplication ⊙, Size@Dimension labels, state/Reper data, and declared domain predicates.</w:t>
      </w:r>
    </w:p>
    <w:p>
      <w:pPr>
        <w:keepNext w:val="0"/>
        <w:keepLines/>
        <w:spacing w:before="80" w:after="140" w:line="240" w:lineRule="auto"/>
        <w:jc w:val="center"/>
      </w:pPr>
      <w:r>
        <w:rPr>
          <w:rFonts w:ascii="DejaVu Serif" w:hAnsi="DejaVu Serif" w:eastAsia="DejaVu Serif"/>
          <w:b w:val="0"/>
          <w:i w:val="0"/>
          <w:sz w:val="22"/>
        </w:rPr>
        <w:t>e_i⊙e_j=Σ_k c^k_{ij}e_k.</w:t>
      </w:r>
      <w:r>
        <w:rPr>
          <w:rFonts w:ascii="DejaVu Sans" w:hAnsi="DejaVu Sans" w:eastAsia="DejaVu Sans"/>
          <w:b w:val="0"/>
          <w:i/>
          <w:color w:val="666666"/>
          <w:sz w:val="16"/>
        </w:rPr>
        <w:t xml:space="preserve">    [RU p. 128]</w:t>
      </w:r>
    </w:p>
    <w:p>
      <w:pPr>
        <w:keepNext w:val="0"/>
        <w:keepLines/>
        <w:spacing w:before="80" w:after="140" w:line="240" w:lineRule="auto"/>
        <w:jc w:val="center"/>
      </w:pPr>
      <w:r>
        <w:rPr>
          <w:rFonts w:ascii="DejaVu Serif" w:hAnsi="DejaVu Serif" w:eastAsia="DejaVu Serif"/>
          <w:b w:val="0"/>
          <w:i w:val="0"/>
          <w:sz w:val="22"/>
        </w:rPr>
        <w:t>Ass_⊙(e_i,e_j,e_ℓ)=Σ_m K^m_{ijℓ}e_m.</w:t>
      </w:r>
      <w:r>
        <w:rPr>
          <w:rFonts w:ascii="DejaVu Sans" w:hAnsi="DejaVu Sans" w:eastAsia="DejaVu Sans"/>
          <w:b w:val="0"/>
          <w:i/>
          <w:color w:val="666666"/>
          <w:sz w:val="16"/>
        </w:rPr>
        <w:t xml:space="preserve">    [RU p. 128]</w:t>
      </w:r>
    </w:p>
    <w:p>
      <w:pPr>
        <w:keepNext w:val="0"/>
        <w:keepLines w:val="0"/>
        <w:spacing w:before="0" w:after="100" w:line="259" w:lineRule="auto"/>
      </w:pPr>
      <w:r>
        <w:rPr>
          <w:rFonts w:ascii="DejaVu Serif" w:hAnsi="DejaVu Serif" w:eastAsia="DejaVu Serif"/>
          <w:b w:val="0"/>
          <w:i w:val="0"/>
          <w:sz w:val="20"/>
        </w:rPr>
        <w:t>Finite dimensionality makes the product automatically continuous for any chosen norm, but no unit, involution, alternative law, or multiplicative norm is inherited unless separately specified.</w:t>
      </w:r>
    </w:p>
    <w:p>
      <w:pPr>
        <w:pStyle w:val="Heading2"/>
        <w:keepNext/>
        <w:keepLines w:val="0"/>
        <w:spacing w:before="160" w:after="80" w:line="240" w:lineRule="auto"/>
      </w:pPr>
      <w:r>
        <w:rPr>
          <w:rFonts w:ascii="DejaVu Sans" w:hAnsi="DejaVu Sans" w:eastAsia="DejaVu Sans"/>
          <w:b/>
          <w:i w:val="0"/>
          <w:color w:val="1F4E78"/>
          <w:sz w:val="25"/>
        </w:rPr>
        <w:t>26.3. Quadratic Packet Object R⋆R</w:t>
      </w:r>
    </w:p>
    <w:p>
      <w:pPr>
        <w:keepNext w:val="0"/>
        <w:keepLines/>
        <w:spacing w:before="80" w:after="140" w:line="240" w:lineRule="auto"/>
        <w:jc w:val="center"/>
      </w:pPr>
      <w:r>
        <w:rPr>
          <w:rFonts w:ascii="DejaVu Serif" w:hAnsi="DejaVu Serif" w:eastAsia="DejaVu Serif"/>
          <w:b w:val="0"/>
          <w:i w:val="0"/>
          <w:sz w:val="22"/>
        </w:rPr>
        <w:t>Q(R)=R⋆R:=R⊙R.</w:t>
      </w:r>
      <w:r>
        <w:rPr>
          <w:rFonts w:ascii="DejaVu Sans" w:hAnsi="DejaVu Sans" w:eastAsia="DejaVu Sans"/>
          <w:b w:val="0"/>
          <w:i/>
          <w:color w:val="666666"/>
          <w:sz w:val="16"/>
        </w:rPr>
        <w:t xml:space="preserve">    [RU p. 129]</w:t>
      </w:r>
    </w:p>
    <w:p>
      <w:pPr>
        <w:keepNext w:val="0"/>
        <w:keepLines w:val="0"/>
        <w:spacing w:before="0" w:after="100" w:line="259" w:lineRule="auto"/>
      </w:pPr>
      <w:r>
        <w:rPr>
          <w:rFonts w:ascii="DejaVu Serif" w:hAnsi="DejaVu Serif" w:eastAsia="DejaVu Serif"/>
          <w:b w:val="0"/>
          <w:i w:val="0"/>
          <w:sz w:val="20"/>
        </w:rPr>
        <w:t>The quadratic object is not the multiplication itself. Polarization recovers the symmetric cross term when R,S,R+S are admissible: Q(R+S)−Q(R)−Q(S)=R⊙S+S⊙R.</w:t>
      </w:r>
    </w:p>
    <w:p>
      <w:pPr>
        <w:pStyle w:val="Heading2"/>
        <w:keepNext/>
        <w:keepLines w:val="0"/>
        <w:spacing w:before="160" w:after="80" w:line="240" w:lineRule="auto"/>
      </w:pPr>
      <w:r>
        <w:rPr>
          <w:rFonts w:ascii="DejaVu Sans" w:hAnsi="DejaVu Sans" w:eastAsia="DejaVu Sans"/>
          <w:b/>
          <w:i w:val="0"/>
          <w:color w:val="1F4E78"/>
          <w:sz w:val="25"/>
        </w:rPr>
        <w:t>26.4. NAPG Operational Frame and Obstruction</w:t>
      </w:r>
    </w:p>
    <w:p>
      <w:pPr>
        <w:keepNext w:val="0"/>
        <w:keepLines w:val="0"/>
        <w:spacing w:before="0" w:after="100" w:line="259" w:lineRule="auto"/>
      </w:pPr>
      <w:r>
        <w:rPr>
          <w:rFonts w:ascii="DejaVu Serif" w:hAnsi="DejaVu Serif" w:eastAsia="DejaVu Serif"/>
          <w:b w:val="0"/>
          <w:i w:val="0"/>
          <w:sz w:val="20"/>
        </w:rPr>
        <w:t>An operational NAPG frame fixes the carrier, the admissible operation, a test family, a representation map, and an obstruction target. The quadratic obstruction records failure of two specified packet paths to agree; it is not automatically a cohomology class.</w:t>
      </w:r>
    </w:p>
    <w:p>
      <w:pPr>
        <w:pStyle w:val="Heading2"/>
        <w:keepNext/>
        <w:keepLines w:val="0"/>
        <w:spacing w:before="160" w:after="80" w:line="240" w:lineRule="auto"/>
      </w:pPr>
      <w:r>
        <w:rPr>
          <w:rFonts w:ascii="DejaVu Sans" w:hAnsi="DejaVu Sans" w:eastAsia="DejaVu Sans"/>
          <w:b/>
          <w:i w:val="0"/>
          <w:color w:val="1F4E78"/>
          <w:sz w:val="25"/>
        </w:rPr>
        <w:t>26.5. Weighted NAPG Incidence</w:t>
      </w:r>
    </w:p>
    <w:p>
      <w:pPr>
        <w:keepNext w:val="0"/>
        <w:keepLines w:val="0"/>
        <w:spacing w:before="0" w:after="100" w:line="259" w:lineRule="auto"/>
      </w:pPr>
      <w:r>
        <w:rPr>
          <w:rFonts w:ascii="DejaVu Serif" w:hAnsi="DejaVu Serif" w:eastAsia="DejaVu Serif"/>
          <w:b w:val="0"/>
          <w:i w:val="0"/>
          <w:sz w:val="20"/>
        </w:rPr>
        <w:t>Definition 26.20. A weighted NAPG incidence on the finite index set I stores an oriented basis node for each e_i and weights c^k_{ij} for the incidence (i,j)→k. Geometrization Γ sends a based algebra to this weighted incidence object; linearization L reconstructs the product from the weights.</w:t>
      </w:r>
    </w:p>
    <w:p>
      <w:pPr>
        <w:pStyle w:val="Heading2"/>
        <w:keepNext/>
        <w:keepLines w:val="0"/>
        <w:spacing w:before="160" w:after="80" w:line="240" w:lineRule="auto"/>
      </w:pPr>
      <w:r>
        <w:rPr>
          <w:rFonts w:ascii="DejaVu Sans" w:hAnsi="DejaVu Sans" w:eastAsia="DejaVu Sans"/>
          <w:b/>
          <w:i w:val="0"/>
          <w:color w:val="1F4E78"/>
          <w:sz w:val="25"/>
        </w:rPr>
        <w:t>26.6. Algebra–Geometry Reconstruction</w:t>
      </w:r>
    </w:p>
    <w:p>
      <w:pPr>
        <w:keepNext w:val="0"/>
        <w:keepLines w:val="0"/>
        <w:spacing w:before="0" w:after="100" w:line="259" w:lineRule="auto"/>
      </w:pPr>
      <w:r>
        <w:rPr>
          <w:rFonts w:ascii="DejaVu Serif" w:hAnsi="DejaVu Serif" w:eastAsia="DejaVu Serif"/>
          <w:b w:val="0"/>
          <w:i w:val="0"/>
          <w:sz w:val="20"/>
        </w:rPr>
        <w:t>Theorem 26.23 (Kurpishev packet Reper algebra–geometry duality) [THM]. On the groupoid of finite-dimensional based packet Reper algebras and the groupoid of weighted NAPG incidences with basis-preserving isomorphisms, Γ and L are mutually inverse up to the canonical based isomorphisms.</w:t>
      </w:r>
    </w:p>
    <w:p>
      <w:pPr>
        <w:keepNext w:val="0"/>
        <w:keepLines/>
        <w:spacing w:before="80" w:after="140" w:line="240" w:lineRule="auto"/>
        <w:jc w:val="center"/>
      </w:pPr>
      <w:r>
        <w:rPr>
          <w:rFonts w:ascii="DejaVu Serif" w:hAnsi="DejaVu Serif" w:eastAsia="DejaVu Serif"/>
          <w:b w:val="0"/>
          <w:i w:val="0"/>
          <w:sz w:val="22"/>
        </w:rPr>
        <w:t>L(Γ(A))≅A,   Γ(L(G))≅G.</w:t>
      </w:r>
      <w:r>
        <w:rPr>
          <w:rFonts w:ascii="DejaVu Sans" w:hAnsi="DejaVu Sans" w:eastAsia="DejaVu Sans"/>
          <w:b w:val="0"/>
          <w:i/>
          <w:color w:val="666666"/>
          <w:sz w:val="16"/>
        </w:rPr>
        <w:t xml:space="preserve">    [RU pp. 134–135]</w:t>
      </w:r>
    </w:p>
    <w:p>
      <w:pPr>
        <w:keepNext w:val="0"/>
        <w:keepLines w:val="0"/>
        <w:spacing w:before="0" w:after="100" w:line="259" w:lineRule="auto"/>
      </w:pPr>
      <w:r>
        <w:rPr>
          <w:rFonts w:ascii="DejaVu Serif" w:hAnsi="DejaVu Serif" w:eastAsia="DejaVu Serif"/>
          <w:b w:val="0"/>
          <w:i w:val="0"/>
          <w:sz w:val="20"/>
        </w:rPr>
        <w:t>The word “duality” here means mutual reconstruction of based data. It is not vector-space duality, Gelfand duality, or an unrestricted contravariant equivalence of all nonassociative algebras.</w:t>
      </w:r>
    </w:p>
    <w:p>
      <w:pPr>
        <w:pStyle w:val="Heading2"/>
        <w:keepNext/>
        <w:keepLines w:val="0"/>
        <w:spacing w:before="160" w:after="80" w:line="240" w:lineRule="auto"/>
      </w:pPr>
      <w:r>
        <w:rPr>
          <w:rFonts w:ascii="DejaVu Sans" w:hAnsi="DejaVu Sans" w:eastAsia="DejaVu Sans"/>
          <w:b/>
          <w:i w:val="0"/>
          <w:color w:val="1F4E78"/>
          <w:sz w:val="25"/>
        </w:rPr>
        <w:t>26.7. Associator as a Two-Path Defect</w:t>
      </w:r>
    </w:p>
    <w:p>
      <w:pPr>
        <w:keepNext w:val="0"/>
        <w:keepLines w:val="0"/>
        <w:spacing w:before="0" w:after="100" w:line="259" w:lineRule="auto"/>
      </w:pPr>
      <w:r>
        <w:rPr>
          <w:rFonts w:ascii="DejaVu Serif" w:hAnsi="DejaVu Serif" w:eastAsia="DejaVu Serif"/>
          <w:b w:val="0"/>
          <w:i w:val="0"/>
          <w:sz w:val="20"/>
        </w:rPr>
        <w:t>Definition 26.25. For basis inputs i,j,ℓ and output m, let the left path sum compose (i,j) first and the right path sum compose (j,ℓ) first. Their difference is the geometric path defect.</w:t>
      </w:r>
    </w:p>
    <w:p>
      <w:pPr>
        <w:keepNext w:val="0"/>
        <w:keepLines/>
        <w:spacing w:before="80" w:after="140" w:line="240" w:lineRule="auto"/>
        <w:jc w:val="center"/>
      </w:pPr>
      <w:r>
        <w:rPr>
          <w:rFonts w:ascii="DejaVu Serif" w:hAnsi="DejaVu Serif" w:eastAsia="DejaVu Serif"/>
          <w:b w:val="0"/>
          <w:i w:val="0"/>
          <w:sz w:val="22"/>
        </w:rPr>
        <w:t>K^m_{ijℓ}=Σ_p c^p_{ij}c^m_{pℓ}−Σ_q c^q_{jℓ}c^m_{iq}.</w:t>
      </w:r>
      <w:r>
        <w:rPr>
          <w:rFonts w:ascii="DejaVu Sans" w:hAnsi="DejaVu Sans" w:eastAsia="DejaVu Sans"/>
          <w:b w:val="0"/>
          <w:i/>
          <w:color w:val="666666"/>
          <w:sz w:val="16"/>
        </w:rPr>
        <w:t xml:space="preserve">    [RU p. 136]</w:t>
      </w:r>
    </w:p>
    <w:p>
      <w:pPr>
        <w:keepNext w:val="0"/>
        <w:keepLines w:val="0"/>
        <w:spacing w:before="0" w:after="100" w:line="259" w:lineRule="auto"/>
      </w:pPr>
      <w:r>
        <w:rPr>
          <w:rFonts w:ascii="DejaVu Serif" w:hAnsi="DejaVu Serif" w:eastAsia="DejaVu Serif"/>
          <w:b w:val="0"/>
          <w:i w:val="0"/>
          <w:sz w:val="20"/>
        </w:rPr>
        <w:t>Theorem 26.26 [THM]. Under Γ, the algebraic associator coefficient equals the weighted two-path defect exactly. Hence associativity is equivalent to equality of the two path sums for every basis quadruple.</w:t>
      </w:r>
    </w:p>
    <w:p>
      <w:pPr>
        <w:pStyle w:val="Heading2"/>
        <w:keepNext/>
        <w:keepLines w:val="0"/>
        <w:spacing w:before="160" w:after="80" w:line="240" w:lineRule="auto"/>
      </w:pPr>
      <w:r>
        <w:rPr>
          <w:rFonts w:ascii="DejaVu Sans" w:hAnsi="DejaVu Sans" w:eastAsia="DejaVu Sans"/>
          <w:b/>
          <w:i w:val="0"/>
          <w:color w:val="1F4E78"/>
          <w:sz w:val="25"/>
        </w:rPr>
        <w:t>26.8. Reper Compatibility and λ</w:t>
      </w:r>
    </w:p>
    <w:p>
      <w:pPr>
        <w:keepNext w:val="0"/>
        <w:keepLines w:val="0"/>
        <w:spacing w:before="0" w:after="100" w:line="259" w:lineRule="auto"/>
      </w:pPr>
      <w:r>
        <w:rPr>
          <w:rFonts w:ascii="DejaVu Serif" w:hAnsi="DejaVu Serif" w:eastAsia="DejaVu Serif"/>
          <w:b w:val="0"/>
          <w:i w:val="0"/>
          <w:sz w:val="20"/>
        </w:rPr>
        <w:t>A Reper-admissible isomorphism must preserve the role labels R,I,U,D, the projective chart, Dom, and the sufficient foundation. Theorem 26.30 [THM] states that such an isomorphism preserves λ, δ_truth, and the truth-gate status. A bare vector-space isomorphism need not.</w:t>
      </w:r>
    </w:p>
    <w:p>
      <w:pPr>
        <w:pStyle w:val="Heading2"/>
        <w:keepNext/>
        <w:keepLines w:val="0"/>
        <w:spacing w:before="160" w:after="80" w:line="240" w:lineRule="auto"/>
      </w:pPr>
      <w:r>
        <w:rPr>
          <w:rFonts w:ascii="DejaVu Sans" w:hAnsi="DejaVu Sans" w:eastAsia="DejaVu Sans"/>
          <w:b/>
          <w:i w:val="0"/>
          <w:color w:val="1F4E78"/>
          <w:sz w:val="25"/>
        </w:rPr>
        <w:t>26.9. Conditional Cohomological and PN.2 Bridges</w:t>
      </w:r>
    </w:p>
    <w:p>
      <w:pPr>
        <w:keepNext w:val="0"/>
        <w:keepLines w:val="0"/>
        <w:spacing w:before="0" w:after="100" w:line="259" w:lineRule="auto"/>
      </w:pPr>
      <w:r>
        <w:rPr>
          <w:rFonts w:ascii="DejaVu Serif" w:hAnsi="DejaVu Serif" w:eastAsia="DejaVu Serif"/>
          <w:b w:val="0"/>
          <w:i w:val="0"/>
          <w:sz w:val="20"/>
        </w:rPr>
        <w:t>A map Π_E from the quadratic obstruction carrier to H³ is conditional on a declared complex, differential, and compatibility with the quotient projection. The implication Π_E(Ob_B)≠0⇒Ob_B≠0 is one-way unless injectivity is proved; a zero image does not imply a zero obstruction.</w:t>
      </w:r>
    </w:p>
    <w:p>
      <w:pPr>
        <w:keepNext w:val="0"/>
        <w:keepLines w:val="0"/>
        <w:spacing w:before="0" w:after="100" w:line="259" w:lineRule="auto"/>
      </w:pPr>
      <w:r>
        <w:rPr>
          <w:rFonts w:ascii="DejaVu Serif" w:hAnsi="DejaVu Serif" w:eastAsia="DejaVu Serif"/>
          <w:b w:val="0"/>
          <w:i w:val="0"/>
          <w:sz w:val="20"/>
        </w:rPr>
        <w:t>The local PN.2 bound is transported through the algebra–geometry reconstruction only when the norm, branch metric, structural coordinate, and hidden-alternative model are preserved. The transport is a theorem about the based equivalence, not a new physical uncertainty relation.</w:t>
      </w:r>
    </w:p>
    <w:p>
      <w:pPr>
        <w:pStyle w:val="Heading2"/>
        <w:keepNext/>
        <w:keepLines w:val="0"/>
        <w:spacing w:before="160" w:after="80" w:line="240" w:lineRule="auto"/>
      </w:pPr>
      <w:r>
        <w:rPr>
          <w:rFonts w:ascii="DejaVu Sans" w:hAnsi="DejaVu Sans" w:eastAsia="DejaVu Sans"/>
          <w:b/>
          <w:i w:val="0"/>
          <w:color w:val="1F4E78"/>
          <w:sz w:val="25"/>
        </w:rPr>
        <w:t>26.10. Operator Interface and Open Layers</w:t>
      </w:r>
    </w:p>
    <w:p>
      <w:pPr>
        <w:keepNext w:val="0"/>
        <w:keepLines w:val="0"/>
        <w:spacing w:before="0" w:after="100" w:line="259" w:lineRule="auto"/>
      </w:pPr>
      <w:r>
        <w:rPr>
          <w:rFonts w:ascii="DejaVu Serif" w:hAnsi="DejaVu Serif" w:eastAsia="DejaVu Serif"/>
          <w:b w:val="0"/>
          <w:i w:val="0"/>
          <w:sz w:val="20"/>
        </w:rPr>
        <w:t>An evolution Ξ_t acting on A preserves the associator tensor only when it is an algebra automorphism. Isometry additionally preserves norm-based defects and truth gates. Compatibility of the insertion Υ with the algebra carrier is a separate model hypothesis.</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2948"/>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Layer</w:t>
            </w:r>
          </w:p>
        </w:tc>
        <w:tc>
          <w:tcPr>
            <w:tcW w:type="dxa" w:w="2494"/>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Status</w:t>
            </w:r>
          </w:p>
        </w:tc>
        <w:tc>
          <w:tcPr>
            <w:tcW w:type="dxa" w:w="3628"/>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Reason</w:t>
            </w:r>
          </w:p>
        </w:tc>
      </w:tr>
      <w:tr>
        <w:trPr>
          <w:cantSplit/>
        </w:trPr>
        <w:tc>
          <w:tcPr>
            <w:tcW w:type="dxa" w:w="294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finite based algebra ↔ weighted incidence</w:t>
            </w:r>
          </w:p>
        </w:tc>
        <w:tc>
          <w:tcPr>
            <w:tcW w:type="dxa" w:w="249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THM</w:t>
            </w:r>
          </w:p>
        </w:tc>
        <w:tc>
          <w:tcPr>
            <w:tcW w:type="dxa" w:w="362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mutual reconstruction proved</w:t>
            </w:r>
          </w:p>
        </w:tc>
      </w:tr>
      <w:tr>
        <w:trPr>
          <w:cantSplit/>
        </w:trPr>
        <w:tc>
          <w:tcPr>
            <w:tcW w:type="dxa" w:w="294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associator = two-path defect</w:t>
            </w:r>
          </w:p>
        </w:tc>
        <w:tc>
          <w:tcPr>
            <w:tcW w:type="dxa" w:w="249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THM</w:t>
            </w:r>
          </w:p>
        </w:tc>
        <w:tc>
          <w:tcPr>
            <w:tcW w:type="dxa" w:w="362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coefficient identity</w:t>
            </w:r>
          </w:p>
        </w:tc>
      </w:tr>
      <w:tr>
        <w:trPr>
          <w:cantSplit/>
        </w:trPr>
        <w:tc>
          <w:tcPr>
            <w:tcW w:type="dxa" w:w="294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λ preservation</w:t>
            </w:r>
          </w:p>
        </w:tc>
        <w:tc>
          <w:tcPr>
            <w:tcW w:type="dxa" w:w="249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THM under Reper-admissible isomorphism</w:t>
            </w:r>
          </w:p>
        </w:tc>
        <w:tc>
          <w:tcPr>
            <w:tcW w:type="dxa" w:w="362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typed compatibility required</w:t>
            </w:r>
          </w:p>
        </w:tc>
      </w:tr>
      <w:tr>
        <w:trPr>
          <w:cantSplit/>
        </w:trPr>
        <w:tc>
          <w:tcPr>
            <w:tcW w:type="dxa" w:w="294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cohomology map Π_E</w:t>
            </w:r>
          </w:p>
        </w:tc>
        <w:tc>
          <w:tcPr>
            <w:tcW w:type="dxa" w:w="249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COND</w:t>
            </w:r>
          </w:p>
        </w:tc>
        <w:tc>
          <w:tcPr>
            <w:tcW w:type="dxa" w:w="362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complex and injectivity not automatic</w:t>
            </w:r>
          </w:p>
        </w:tc>
      </w:tr>
      <w:tr>
        <w:trPr>
          <w:cantSplit/>
        </w:trPr>
        <w:tc>
          <w:tcPr>
            <w:tcW w:type="dxa" w:w="294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Hodge / G₂ realization</w:t>
            </w:r>
          </w:p>
        </w:tc>
        <w:tc>
          <w:tcPr>
            <w:tcW w:type="dxa" w:w="249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MODEL / OPEN</w:t>
            </w:r>
          </w:p>
        </w:tc>
        <w:tc>
          <w:tcPr>
            <w:tcW w:type="dxa" w:w="362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additional geometric data required</w:t>
            </w:r>
          </w:p>
        </w:tc>
      </w:tr>
      <w:tr>
        <w:trPr>
          <w:cantSplit/>
        </w:trPr>
        <w:tc>
          <w:tcPr>
            <w:tcW w:type="dxa" w:w="294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physical interpretation</w:t>
            </w:r>
          </w:p>
        </w:tc>
        <w:tc>
          <w:tcPr>
            <w:tcW w:type="dxa" w:w="249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PHY-HYP / OPEN</w:t>
            </w:r>
          </w:p>
        </w:tc>
        <w:tc>
          <w:tcPr>
            <w:tcW w:type="dxa" w:w="362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no independent empirical bridge</w:t>
            </w:r>
          </w:p>
        </w:tc>
      </w:tr>
    </w:tbl>
    <w:p>
      <w:pPr>
        <w:spacing w:after="40"/>
      </w:pP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NOVELTY BOUNDARY. </w:t>
            </w:r>
            <w:r>
              <w:rPr>
                <w:rFonts w:ascii="DejaVu Serif" w:hAnsi="DejaVu Serif" w:eastAsia="DejaVu Serif"/>
                <w:b w:val="0"/>
                <w:i w:val="0"/>
                <w:sz w:val="18"/>
              </w:rPr>
              <w:t>The internal theorem concerns the newly defined based categories and their reconstruction. Classical nonassociative algebras, structure constants, associators, category equivalence, cohomology, Hodge theory, and G₂ geometry remain prior art.</w:t>
            </w:r>
          </w:p>
        </w:tc>
      </w:tr>
    </w:tbl>
    <w:p>
      <w:pPr>
        <w:pStyle w:val="Heading1"/>
        <w:keepNext/>
        <w:keepLines w:val="0"/>
        <w:spacing w:before="200" w:after="80" w:line="240" w:lineRule="auto"/>
        <w:pageBreakBefore w:val="1"/>
      </w:pPr>
      <w:r>
        <w:rPr>
          <w:rFonts w:ascii="DejaVu Sans" w:hAnsi="DejaVu Sans" w:eastAsia="DejaVu Sans"/>
          <w:b/>
          <w:i w:val="0"/>
          <w:color w:val="1F4E78"/>
          <w:sz w:val="32"/>
        </w:rPr>
        <w:t>T1-EN-OPERATORS-v0.4 Release Ledger</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2268"/>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Item</w:t>
            </w:r>
          </w:p>
        </w:tc>
        <w:tc>
          <w:tcPr>
            <w:tcW w:type="dxa" w:w="4139"/>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Verified scope</w:t>
            </w:r>
          </w:p>
        </w:tc>
        <w:tc>
          <w:tcPr>
            <w:tcW w:type="dxa" w:w="2665"/>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Result</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chapter coverage</w:t>
            </w:r>
          </w:p>
        </w:tc>
        <w:tc>
          <w:tcPr>
            <w:tcW w:type="dxa" w:w="413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T1-CH-01–T1-CH-26</w:t>
            </w:r>
          </w:p>
        </w:tc>
        <w:tc>
          <w:tcPr>
            <w:tcW w:type="dxa" w:w="266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26/26 present</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new source range</w:t>
            </w:r>
          </w:p>
        </w:tc>
        <w:tc>
          <w:tcPr>
            <w:tcW w:type="dxa" w:w="413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RU pp. 73–146</w:t>
            </w:r>
          </w:p>
        </w:tc>
        <w:tc>
          <w:tcPr>
            <w:tcW w:type="dxa" w:w="266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translated and locator-preserved</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notation firewall</w:t>
            </w:r>
          </w:p>
        </w:tc>
        <w:tc>
          <w:tcPr>
            <w:tcW w:type="dxa" w:w="413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 ⋆_H, R⋆R, Ass_⊙, Δ, Ξ, Υ</w:t>
            </w:r>
          </w:p>
        </w:tc>
        <w:tc>
          <w:tcPr>
            <w:tcW w:type="dxa" w:w="266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distinct types preserved</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PN.2 status</w:t>
            </w:r>
          </w:p>
        </w:tc>
        <w:tc>
          <w:tcPr>
            <w:tcW w:type="dxa" w:w="413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hidden-branch minimax theorem</w:t>
            </w:r>
          </w:p>
        </w:tc>
        <w:tc>
          <w:tcPr>
            <w:tcW w:type="dxa" w:w="266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THM inside explicit model</w:t>
            </w:r>
          </w:p>
        </w:tc>
      </w:tr>
      <w:tr>
        <w:trPr>
          <w:cantSplit/>
        </w:trPr>
        <w:tc>
          <w:tcPr>
            <w:tcW w:type="dxa" w:w="226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physical status</w:t>
            </w:r>
          </w:p>
        </w:tc>
        <w:tc>
          <w:tcPr>
            <w:tcW w:type="dxa" w:w="413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subject exports and observables</w:t>
            </w:r>
          </w:p>
        </w:tc>
        <w:tc>
          <w:tcPr>
            <w:tcW w:type="dxa" w:w="266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EMP-PLAN / PHY-HYP; no EMP-OBS</w:t>
            </w:r>
          </w:p>
        </w:tc>
      </w:tr>
      <w:tr>
        <w:trPr>
          <w:cantSplit/>
        </w:trPr>
        <w:tc>
          <w:tcPr>
            <w:tcW w:type="dxa" w:w="226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next checkpoint</w:t>
            </w:r>
          </w:p>
        </w:tc>
        <w:tc>
          <w:tcPr>
            <w:tcW w:type="dxa" w:w="413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Chapters 27–31</w:t>
            </w:r>
          </w:p>
        </w:tc>
        <w:tc>
          <w:tcPr>
            <w:tcW w:type="dxa" w:w="266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T1-EN-PN2-v0.5</w:t>
            </w:r>
          </w:p>
        </w:tc>
      </w:tr>
    </w:tbl>
    <w:p>
      <w:pPr>
        <w:spacing w:after="40"/>
      </w:pPr>
    </w:p>
    <w:p>
      <w:pPr>
        <w:pStyle w:val="Heading2"/>
        <w:keepNext/>
        <w:keepLines w:val="0"/>
        <w:spacing w:before="160" w:after="80" w:line="240" w:lineRule="auto"/>
      </w:pPr>
      <w:r>
        <w:rPr>
          <w:rFonts w:ascii="DejaVu Sans" w:hAnsi="DejaVu Sans" w:eastAsia="DejaVu Sans"/>
          <w:b/>
          <w:i w:val="0"/>
          <w:color w:val="1F4E78"/>
          <w:sz w:val="25"/>
        </w:rPr>
        <w:t>Translation Obligations</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1701"/>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ID</w:t>
            </w:r>
          </w:p>
        </w:tc>
        <w:tc>
          <w:tcPr>
            <w:tcW w:type="dxa" w:w="5386"/>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Obligation</w:t>
            </w:r>
          </w:p>
        </w:tc>
        <w:tc>
          <w:tcPr>
            <w:tcW w:type="dxa" w:w="1984"/>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Status</w:t>
            </w:r>
          </w:p>
        </w:tc>
      </w:tr>
      <w:tr>
        <w:trPr>
          <w:cantSplit/>
        </w:trPr>
        <w:tc>
          <w:tcPr>
            <w:tcW w:type="dxa" w:w="170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T1-EN-PO-013</w:t>
            </w:r>
          </w:p>
        </w:tc>
        <w:tc>
          <w:tcPr>
            <w:tcW w:type="dxa" w:w="538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complex cross-ratio and real-reduction parity</w:t>
            </w:r>
          </w:p>
        </w:tc>
        <w:tc>
          <w:tcPr>
            <w:tcW w:type="dxa" w:w="198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CLOSED-DRAFT</w:t>
            </w:r>
          </w:p>
        </w:tc>
      </w:tr>
      <w:tr>
        <w:trPr>
          <w:cantSplit/>
        </w:trPr>
        <w:tc>
          <w:tcPr>
            <w:tcW w:type="dxa" w:w="170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T1-EN-PO-014</w:t>
            </w:r>
          </w:p>
        </w:tc>
        <w:tc>
          <w:tcPr>
            <w:tcW w:type="dxa" w:w="538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operator cross-ratio ordering and invertibility parity</w:t>
            </w:r>
          </w:p>
        </w:tc>
        <w:tc>
          <w:tcPr>
            <w:tcW w:type="dxa" w:w="198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CLOSED-DRAFT</w:t>
            </w:r>
          </w:p>
        </w:tc>
      </w:tr>
      <w:tr>
        <w:trPr>
          <w:cantSplit/>
        </w:trPr>
        <w:tc>
          <w:tcPr>
            <w:tcW w:type="dxa" w:w="170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T1-EN-PO-015</w:t>
            </w:r>
          </w:p>
        </w:tc>
        <w:tc>
          <w:tcPr>
            <w:tcW w:type="dxa" w:w="538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proof-cleaned DK dependencies and countermodel parity</w:t>
            </w:r>
          </w:p>
        </w:tc>
        <w:tc>
          <w:tcPr>
            <w:tcW w:type="dxa" w:w="198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CLOSED-DRAFT</w:t>
            </w:r>
          </w:p>
        </w:tc>
      </w:tr>
      <w:tr>
        <w:trPr>
          <w:cantSplit/>
        </w:trPr>
        <w:tc>
          <w:tcPr>
            <w:tcW w:type="dxa" w:w="170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T1-EN-PO-016</w:t>
            </w:r>
          </w:p>
        </w:tc>
        <w:tc>
          <w:tcPr>
            <w:tcW w:type="dxa" w:w="538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index and cross-reference semantics parity</w:t>
            </w:r>
          </w:p>
        </w:tc>
        <w:tc>
          <w:tcPr>
            <w:tcW w:type="dxa" w:w="198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CLOSED-DRAFT</w:t>
            </w:r>
          </w:p>
        </w:tc>
      </w:tr>
      <w:tr>
        <w:trPr>
          <w:cantSplit/>
        </w:trPr>
        <w:tc>
          <w:tcPr>
            <w:tcW w:type="dxa" w:w="170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T1-EN-PO-017</w:t>
            </w:r>
          </w:p>
        </w:tc>
        <w:tc>
          <w:tcPr>
            <w:tcW w:type="dxa" w:w="538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canonical PN.2 theorem and proof parity</w:t>
            </w:r>
          </w:p>
        </w:tc>
        <w:tc>
          <w:tcPr>
            <w:tcW w:type="dxa" w:w="198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CLOSED-DRAFT</w:t>
            </w:r>
          </w:p>
        </w:tc>
      </w:tr>
      <w:tr>
        <w:trPr>
          <w:cantSplit/>
        </w:trPr>
        <w:tc>
          <w:tcPr>
            <w:tcW w:type="dxa" w:w="170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T1-EN-PO-018</w:t>
            </w:r>
          </w:p>
        </w:tc>
        <w:tc>
          <w:tcPr>
            <w:tcW w:type="dxa" w:w="538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PN.2 prediction and export firewall parity</w:t>
            </w:r>
          </w:p>
        </w:tc>
        <w:tc>
          <w:tcPr>
            <w:tcW w:type="dxa" w:w="198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CLOSED-DRAFT</w:t>
            </w:r>
          </w:p>
        </w:tc>
      </w:tr>
      <w:tr>
        <w:trPr>
          <w:cantSplit/>
        </w:trPr>
        <w:tc>
          <w:tcPr>
            <w:tcW w:type="dxa" w:w="170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T1-EN-PO-019</w:t>
            </w:r>
          </w:p>
        </w:tc>
        <w:tc>
          <w:tcPr>
            <w:tcW w:type="dxa" w:w="538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typed Δ/Ξ/Υ operator parity</w:t>
            </w:r>
          </w:p>
        </w:tc>
        <w:tc>
          <w:tcPr>
            <w:tcW w:type="dxa" w:w="198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CLOSED-DRAFT</w:t>
            </w:r>
          </w:p>
        </w:tc>
      </w:tr>
      <w:tr>
        <w:trPr>
          <w:cantSplit/>
        </w:trPr>
        <w:tc>
          <w:tcPr>
            <w:tcW w:type="dxa" w:w="170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T1-EN-PO-020</w:t>
            </w:r>
          </w:p>
        </w:tc>
        <w:tc>
          <w:tcPr>
            <w:tcW w:type="dxa" w:w="538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based algebra–NAPG duality parity</w:t>
            </w:r>
          </w:p>
        </w:tc>
        <w:tc>
          <w:tcPr>
            <w:tcW w:type="dxa" w:w="198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CLOSED-DRAFT</w:t>
            </w:r>
          </w:p>
        </w:tc>
      </w:tr>
      <w:tr>
        <w:trPr>
          <w:cantSplit/>
        </w:trPr>
        <w:tc>
          <w:tcPr>
            <w:tcW w:type="dxa" w:w="170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T1-EN-PO-021</w:t>
            </w:r>
          </w:p>
        </w:tc>
        <w:tc>
          <w:tcPr>
            <w:tcW w:type="dxa" w:w="538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independent bilingual formula audit</w:t>
            </w:r>
          </w:p>
        </w:tc>
        <w:tc>
          <w:tcPr>
            <w:tcW w:type="dxa" w:w="198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OPEN NON-VETO</w:t>
            </w:r>
          </w:p>
        </w:tc>
      </w:tr>
    </w:tbl>
    <w:p>
      <w:pPr>
        <w:spacing w:after="40"/>
      </w:pP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STATUS LOCK. </w:t>
            </w:r>
            <w:r>
              <w:rPr>
                <w:rFonts w:ascii="DejaVu Serif" w:hAnsi="DejaVu Serif" w:eastAsia="DejaVu Serif"/>
                <w:b w:val="0"/>
                <w:i w:val="0"/>
                <w:sz w:val="18"/>
              </w:rPr>
              <w:t>truth_layer_promotion=0. NUM≠EXT-RUN≠EMP-OBS. The English derivative preserves the Russian source status and may not create an empirical result.</w:t>
            </w:r>
          </w:p>
        </w:tc>
      </w:tr>
    </w:tbl>
    <w:p>
      <w:pPr>
        <w:spacing w:after="20"/>
      </w:pPr>
    </w:p>
    <w:p>
      <w:r>
        <w:br w:type="page"/>
      </w:r>
    </w:p>
    <w:p>
      <w:pPr>
        <w:pStyle w:val="Heading1"/>
        <w:keepNext/>
        <w:keepLines w:val="0"/>
        <w:spacing w:before="200" w:after="80" w:line="240" w:lineRule="auto"/>
      </w:pPr>
      <w:r>
        <w:t>T1-EN-PN2-v0.5</w:t>
      </w:r>
    </w:p>
    <w:p>
      <w:pPr>
        <w:keepNext w:val="0"/>
        <w:keepLines w:val="0"/>
        <w:spacing w:before="0" w:after="160" w:line="259" w:lineRule="auto"/>
        <w:jc w:val="center"/>
      </w:pPr>
      <w:r>
        <w:rPr>
          <w:rFonts w:ascii="DejaVu Serif" w:hAnsi="DejaVu Serif" w:eastAsia="DejaVu Serif"/>
          <w:b/>
          <w:i w:val="0"/>
          <w:sz w:val="22"/>
        </w:rPr>
        <w:t>CONTROLLED ENGLISH TRANSLATION OF CHAPTERS 27–31</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DERIVATIVE BOUNDARY. </w:t>
            </w:r>
            <w:r>
              <w:rPr>
                <w:rFonts w:ascii="DejaVu Serif" w:hAnsi="DejaVu Serif" w:eastAsia="DejaVu Serif"/>
                <w:b w:val="0"/>
                <w:i w:val="0"/>
                <w:sz w:val="18"/>
              </w:rPr>
              <w:t>The following text is a controlled derivative of frozen Russian source pages 140–168. The English layer preserves every theorem hypothesis, counterexample, proof obligation, model limitation, source-certificate limitation, and physical-status firewall. It does not claim a new execution of the PN2-PO12-A2-v1.0 archive.</w:t>
            </w:r>
          </w:p>
        </w:tc>
      </w:tr>
    </w:tbl>
    <w:p>
      <w:pPr>
        <w:spacing w:after="20"/>
      </w:pPr>
    </w:p>
    <w:p>
      <w:pPr>
        <w:keepNext w:val="0"/>
        <w:keepLines w:val="0"/>
        <w:spacing w:before="80" w:after="60" w:line="259" w:lineRule="auto"/>
      </w:pPr>
      <w:r>
        <w:rPr>
          <w:rFonts w:ascii="DejaVu Serif" w:hAnsi="DejaVu Serif" w:eastAsia="DejaVu Serif"/>
          <w:b/>
          <w:i w:val="0"/>
          <w:sz w:val="18"/>
        </w:rPr>
        <w:t>Chapter parity map for the v0.5 checkpoint</w:t>
      </w:r>
    </w:p>
    <w:tbl>
      <w:tblPr>
        <w:tblW w:type="auto" w:w="0"/>
        <w:jc w:val="center"/>
        <w:tblLayout w:type="fixed"/>
        <w:tblLook w:firstColumn="1" w:firstRow="1" w:lastColumn="0" w:lastRow="0" w:noHBand="0" w:noVBand="1" w:val="04A0"/>
      </w:tblPr>
      <w:tblGrid>
        <w:gridCol w:w="2517"/>
        <w:gridCol w:w="2517"/>
        <w:gridCol w:w="2517"/>
        <w:gridCol w:w="2517"/>
      </w:tblGrid>
      <w:tr>
        <w:trPr>
          <w:tblHeader w:val="true"/>
        </w:trPr>
        <w:tc>
          <w:tcPr>
            <w:tcW w:type="dxa" w:w="680"/>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Chapter</w:t>
            </w:r>
          </w:p>
        </w:tc>
        <w:tc>
          <w:tcPr>
            <w:tcW w:type="dxa" w:w="1191"/>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Russian locator</w:t>
            </w:r>
          </w:p>
        </w:tc>
        <w:tc>
          <w:tcPr>
            <w:tcW w:type="dxa" w:w="5499"/>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English title</w:t>
            </w:r>
          </w:p>
        </w:tc>
        <w:tc>
          <w:tcPr>
            <w:tcW w:type="dxa" w:w="1701"/>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Dominant status</w:t>
            </w:r>
          </w:p>
        </w:tc>
      </w:tr>
      <w:tr>
        <w:trPr>
          <w:cantSplit/>
        </w:trPr>
        <w:tc>
          <w:tcPr>
            <w:tcW w:type="dxa" w:w="680"/>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27</w:t>
            </w:r>
          </w:p>
        </w:tc>
        <w:tc>
          <w:tcPr>
            <w:tcW w:type="dxa" w:w="1191"/>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140–159</w:t>
            </w:r>
          </w:p>
        </w:tc>
        <w:tc>
          <w:tcPr>
            <w:tcW w:type="dxa" w:w="549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Canonical PN.2 with Internal Appendices A–B</w:t>
            </w:r>
          </w:p>
        </w:tc>
        <w:tc>
          <w:tcPr>
            <w:tcW w:type="dxa" w:w="1701"/>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THM / COND / NUM-SOURCE</w:t>
            </w:r>
          </w:p>
        </w:tc>
      </w:tr>
      <w:tr>
        <w:trPr>
          <w:cantSplit/>
        </w:trPr>
        <w:tc>
          <w:tcPr>
            <w:tcW w:type="dxa" w:w="680"/>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28</w:t>
            </w:r>
          </w:p>
        </w:tc>
        <w:tc>
          <w:tcPr>
            <w:tcW w:type="dxa" w:w="1191"/>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160–161</w:t>
            </w:r>
          </w:p>
        </w:tc>
        <w:tc>
          <w:tcPr>
            <w:tcW w:type="dxa" w:w="549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Predictive Limits and the Finite Horizon of a Reper</w:t>
            </w:r>
          </w:p>
        </w:tc>
        <w:tc>
          <w:tcPr>
            <w:tcW w:type="dxa" w:w="1701"/>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DEF-A / THM / COND</w:t>
            </w:r>
          </w:p>
        </w:tc>
      </w:tr>
      <w:tr>
        <w:trPr>
          <w:cantSplit/>
        </w:trPr>
        <w:tc>
          <w:tcPr>
            <w:tcW w:type="dxa" w:w="680"/>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29</w:t>
            </w:r>
          </w:p>
        </w:tc>
        <w:tc>
          <w:tcPr>
            <w:tcW w:type="dxa" w:w="1191"/>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162–163</w:t>
            </w:r>
          </w:p>
        </w:tc>
        <w:tc>
          <w:tcPr>
            <w:tcW w:type="dxa" w:w="549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Adaptive Rebuilding of the Reper Graph</w:t>
            </w:r>
          </w:p>
        </w:tc>
        <w:tc>
          <w:tcPr>
            <w:tcW w:type="dxa" w:w="1701"/>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THM-SCHEMA / COND</w:t>
            </w:r>
          </w:p>
        </w:tc>
      </w:tr>
      <w:tr>
        <w:trPr>
          <w:cantSplit/>
        </w:trPr>
        <w:tc>
          <w:tcPr>
            <w:tcW w:type="dxa" w:w="680"/>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30</w:t>
            </w:r>
          </w:p>
        </w:tc>
        <w:tc>
          <w:tcPr>
            <w:tcW w:type="dxa" w:w="1191"/>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164–165</w:t>
            </w:r>
          </w:p>
        </w:tc>
        <w:tc>
          <w:tcPr>
            <w:tcW w:type="dxa" w:w="549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Predictive Reper Bundle</w:t>
            </w:r>
          </w:p>
        </w:tc>
        <w:tc>
          <w:tcPr>
            <w:tcW w:type="dxa" w:w="1701"/>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DEF-A / COND / OPEN</w:t>
            </w:r>
          </w:p>
        </w:tc>
      </w:tr>
      <w:tr>
        <w:trPr>
          <w:cantSplit/>
        </w:trPr>
        <w:tc>
          <w:tcPr>
            <w:tcW w:type="dxa" w:w="680"/>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31</w:t>
            </w:r>
          </w:p>
        </w:tc>
        <w:tc>
          <w:tcPr>
            <w:tcW w:type="dxa" w:w="1191"/>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166–168</w:t>
            </w:r>
          </w:p>
        </w:tc>
        <w:tc>
          <w:tcPr>
            <w:tcW w:type="dxa" w:w="549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Computational Certification and the Boundary of Evidence Status</w:t>
            </w:r>
          </w:p>
        </w:tc>
        <w:tc>
          <w:tcPr>
            <w:tcW w:type="dxa" w:w="1701"/>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6"/>
              </w:rPr>
              <w:t>THM / NUM-SOURCE / OPEN</w:t>
            </w:r>
          </w:p>
        </w:tc>
      </w:tr>
    </w:tbl>
    <w:p>
      <w:pPr>
        <w:spacing w:after="40"/>
      </w:pPr>
    </w:p>
    <w:p>
      <w:r>
        <w:br w:type="page"/>
      </w:r>
    </w:p>
    <w:p>
      <w:pPr>
        <w:pStyle w:val="Heading1"/>
        <w:keepNext/>
        <w:keepLines w:val="0"/>
        <w:spacing w:before="200" w:after="80" w:line="240" w:lineRule="auto"/>
      </w:pPr>
      <w:bookmarkStart w:id="1026" w:name="T1_CH_27"/>
      <w:r>
        <w:t>Chapter 27. Canonical PN.2 with Internal Appendices A–B and Explanatory Blocks</w:t>
      </w:r>
      <w:bookmarkEnd w:id="1026"/>
    </w:p>
    <w:p>
      <w:pPr>
        <w:keepNext w:val="0"/>
        <w:keepLines w:val="0"/>
        <w:spacing w:before="0" w:after="100" w:line="259" w:lineRule="auto"/>
      </w:pPr>
      <w:r>
        <w:rPr>
          <w:rFonts w:ascii="DejaVu Serif" w:hAnsi="DejaVu Serif" w:eastAsia="DejaVu Serif"/>
          <w:b w:val="0"/>
          <w:i/>
          <w:sz w:val="18"/>
        </w:rPr>
        <w:t>Russian source locator: pp. 140–159</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This chapter stores the complete theorem package rather than a slogan. A single estimator must answer under two hidden bracketing protocols. The elementary geometry of two alternatives yields a minimax error bound; the appendices then show exactly when the bound vanishes, when a scalar observable fails, when the coefficient 1/4 is sharp, and what the source-documented computational certificate does and does not establish.</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760720" cy="2531225"/>
            <wp:docPr id="30" name="Picture 30"/>
            <wp:cNvGraphicFramePr>
              <a:graphicFrameLocks noChangeAspect="1"/>
            </wp:cNvGraphicFramePr>
            <a:graphic>
              <a:graphicData uri="http://schemas.openxmlformats.org/drawingml/2006/picture">
                <pic:pic>
                  <pic:nvPicPr>
                    <pic:cNvPr id="0" name="fig27_pn2canon.png"/>
                    <pic:cNvPicPr/>
                  </pic:nvPicPr>
                  <pic:blipFill>
                    <a:blip r:embed="rId42"/>
                    <a:stretch>
                      <a:fillRect/>
                    </a:stretch>
                  </pic:blipFill>
                  <pic:spPr>
                    <a:xfrm>
                      <a:off x="0" y="0"/>
                      <a:ext cx="5760720" cy="2531225"/>
                    </a:xfrm>
                    <a:prstGeom prst="rect"/>
                  </pic:spPr>
                </pic:pic>
              </a:graphicData>
            </a:graphic>
          </wp:inline>
        </w:drawing>
      </w:r>
    </w:p>
    <w:p>
      <w:pPr>
        <w:keepNext w:val="0"/>
        <w:keepLines/>
        <w:spacing w:before="0" w:after="140" w:line="240" w:lineRule="auto"/>
        <w:jc w:val="center"/>
      </w:pPr>
      <w:bookmarkStart w:id="1087" w:name="T1_FIG_029"/>
      <w:r>
        <w:rPr>
          <w:rFonts w:ascii="DejaVu Serif" w:hAnsi="DejaVu Serif" w:eastAsia="DejaVu Serif"/>
          <w:b w:val="0"/>
          <w:i/>
          <w:color w:val="666666"/>
          <w:sz w:val="17"/>
        </w:rPr>
        <w:t>Figure 27.1. The canonical PN.2 route separates theorem, exact models, source certificate, and physical transfer.</w:t>
      </w:r>
      <w:bookmarkEnd w:id="1087"/>
    </w:p>
    <w:p>
      <w:pPr>
        <w:pStyle w:val="Heading2"/>
        <w:keepNext/>
        <w:keepLines w:val="0"/>
        <w:spacing w:before="160" w:after="80" w:line="240" w:lineRule="auto"/>
      </w:pPr>
      <w:r>
        <w:t>27.1. Synchronisation of Evidence Statuses</w:t>
      </w:r>
    </w:p>
    <w:p>
      <w:pPr>
        <w:keepNext w:val="0"/>
        <w:keepLines w:val="0"/>
        <w:spacing w:before="0" w:after="100" w:line="259" w:lineRule="auto"/>
      </w:pPr>
      <w:r>
        <w:rPr>
          <w:rFonts w:ascii="DejaVu Serif" w:hAnsi="DejaVu Serif" w:eastAsia="DejaVu Serif"/>
          <w:b w:val="0"/>
          <w:i w:val="0"/>
          <w:sz w:val="20"/>
        </w:rPr>
        <w:t>The canonical Russian source records PO-11 as closed by four explicit constructions and PO-12 as closed for the abstract package by the source-documented certificate PN2-PO12-A2-v1.0. This closure is conservative: it does not propagate to PO-1–PO-10, the physical object R*R, or hypotheses F-1–F-14.</w:t>
      </w:r>
    </w:p>
    <w:p>
      <w:pPr>
        <w:keepNext w:val="0"/>
        <w:keepLines w:val="0"/>
        <w:spacing w:before="0" w:after="100" w:line="259" w:lineRule="auto"/>
      </w:pPr>
      <w:r>
        <w:rPr>
          <w:rFonts w:ascii="DejaVu Serif" w:hAnsi="DejaVu Serif" w:eastAsia="DejaVu Serif"/>
          <w:b w:val="0"/>
          <w:i w:val="0"/>
          <w:sz w:val="20"/>
        </w:rPr>
        <w:t>Proposition 27.1 [PROP]. A deterministic certificate for the auxiliary algebra A2 establishes reproducibility of the published computations in that model, but does not establish semantic correctness of a physical map from R*R to A2.</w:t>
      </w:r>
    </w:p>
    <w:p>
      <w:pPr>
        <w:keepNext w:val="0"/>
        <w:keepLines w:val="0"/>
        <w:spacing w:before="0" w:after="100" w:line="259" w:lineRule="auto"/>
      </w:pPr>
      <w:r>
        <w:rPr>
          <w:rFonts w:ascii="DejaVu Serif" w:hAnsi="DejaVu Serif" w:eastAsia="DejaVu Serif"/>
          <w:b w:val="0"/>
          <w:i w:val="0"/>
          <w:sz w:val="20"/>
        </w:rPr>
        <w:t>Proof. The certificate checks identities generated by the structural constants of A2. Transfer requires a separate morphism preserving the product, norm, structural coordinate, observable, and domains. The certificate contains no such physical morphism. Therefore computational reproducibility cannot promote the physical bridge.</w:t>
      </w:r>
    </w:p>
    <w:tbl>
      <w:tblPr>
        <w:tblW w:type="auto" w:w="0"/>
        <w:jc w:val="center"/>
        <w:tblLayout w:type="fixed"/>
        <w:tblLook w:firstColumn="1" w:firstRow="1" w:lastColumn="0" w:lastRow="0" w:noHBand="0" w:noVBand="1" w:val="04A0"/>
      </w:tblPr>
      <w:tblGrid>
        <w:gridCol w:w="9638"/>
      </w:tblGrid>
      <w:tr>
        <w:trPr>
          <w:cantSplit/>
        </w:trPr>
        <w:tc>
          <w:tcPr>
            <w:tcW w:type="dxa" w:w="10070"/>
            <w:shd w:fill="F8F1DC"/>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37500"/>
                <w:sz w:val="18"/>
              </w:rPr>
              <w:t xml:space="preserve">PHENOMENOLOGICAL READING. </w:t>
            </w:r>
            <w:r>
              <w:rPr>
                <w:rFonts w:ascii="DejaVu Serif" w:hAnsi="DejaVu Serif" w:eastAsia="DejaVu Serif"/>
                <w:b w:val="0"/>
                <w:i w:val="0"/>
                <w:sz w:val="18"/>
              </w:rPr>
              <w:t>Reproducibility answers whether the same computation can be obtained again. The physical bridge must answer what, in experience, that computation represents.</w:t>
            </w:r>
          </w:p>
        </w:tc>
      </w:tr>
    </w:tbl>
    <w:p>
      <w:pPr>
        <w:spacing w:after="20"/>
      </w:pPr>
    </w:p>
    <w:p>
      <w:pPr>
        <w:pStyle w:val="Heading2"/>
        <w:keepNext/>
        <w:keepLines w:val="0"/>
        <w:spacing w:before="160" w:after="80" w:line="240" w:lineRule="auto"/>
      </w:pPr>
      <w:r>
        <w:t>27.2. Objects, Errors, and Model Axioms</w:t>
      </w:r>
    </w:p>
    <w:p>
      <w:pPr>
        <w:keepNext w:val="0"/>
        <w:keepLines w:val="0"/>
        <w:spacing w:before="0" w:after="100" w:line="259" w:lineRule="auto"/>
      </w:pPr>
      <w:r>
        <w:rPr>
          <w:rFonts w:ascii="DejaVu Serif" w:hAnsi="DejaVu Serif" w:eastAsia="DejaVu Serif"/>
          <w:b w:val="0"/>
          <w:i w:val="0"/>
          <w:sz w:val="20"/>
        </w:rPr>
        <w:t>Let A be a real or complex normed linear space with a bilinear operation odot. For u=(x,y,z) in the admissible set Omega, define the two bracketed outcomes</w:t>
      </w:r>
    </w:p>
    <w:p>
      <w:pPr>
        <w:keepNext w:val="0"/>
        <w:keepLines/>
        <w:spacing w:before="80" w:after="140" w:line="240" w:lineRule="auto"/>
        <w:jc w:val="center"/>
      </w:pPr>
      <w:r>
        <w:rPr>
          <w:rFonts w:ascii="DejaVu Serif" w:hAnsi="DejaVu Serif" w:eastAsia="DejaVu Serif"/>
          <w:b w:val="0"/>
          <w:i w:val="0"/>
          <w:sz w:val="22"/>
        </w:rPr>
        <w:t>r_L(u)=(x odot y) odot z,     r_R(u)=x odot (y odot z),     K(u)=r_L(u)-r_R(u).</w:t>
      </w:r>
      <w:r>
        <w:rPr>
          <w:rFonts w:ascii="DejaVu Sans" w:hAnsi="DejaVu Sans" w:eastAsia="DejaVu Sans"/>
          <w:b w:val="0"/>
          <w:i/>
          <w:color w:val="666666"/>
          <w:sz w:val="16"/>
        </w:rPr>
        <w:t xml:space="preserve">    [RU pp. 142–143]</w:t>
      </w:r>
    </w:p>
    <w:p>
      <w:pPr>
        <w:keepNext w:val="0"/>
        <w:keepLines w:val="0"/>
        <w:spacing w:before="0" w:after="100" w:line="259" w:lineRule="auto"/>
      </w:pPr>
      <w:r>
        <w:rPr>
          <w:rFonts w:ascii="DejaVu Serif" w:hAnsi="DejaVu Serif" w:eastAsia="DejaVu Serif"/>
          <w:b w:val="0"/>
          <w:i w:val="0"/>
          <w:sz w:val="20"/>
        </w:rPr>
        <w:t>The hidden branch b belongs to B={b_L,b_R}. A branch-blind estimator must issue the same pair of estimates without using b. This information restriction, not nonassociativity alone, creates the uncertainty problem.</w:t>
      </w:r>
    </w:p>
    <w:p>
      <w:pPr>
        <w:keepNext w:val="0"/>
        <w:keepLines/>
        <w:spacing w:before="80" w:after="140" w:line="240" w:lineRule="auto"/>
        <w:jc w:val="center"/>
      </w:pPr>
      <w:r>
        <w:rPr>
          <w:rFonts w:ascii="DejaVu Serif" w:hAnsi="DejaVu Serif" w:eastAsia="DejaVu Serif"/>
          <w:b w:val="0"/>
          <w:i w:val="0"/>
          <w:sz w:val="22"/>
        </w:rPr>
        <w:t>e_S(u;s_hat)=max{|s_hat-S(r_L(u))|, |s_hat-S(r_R(u))|}.</w:t>
      </w:r>
      <w:r>
        <w:rPr>
          <w:rFonts w:ascii="DejaVu Sans" w:hAnsi="DejaVu Sans" w:eastAsia="DejaVu Sans"/>
          <w:b w:val="0"/>
          <w:i/>
          <w:color w:val="666666"/>
          <w:sz w:val="16"/>
        </w:rPr>
        <w:t xml:space="preserve">    [RU p. 143]</w:t>
      </w:r>
    </w:p>
    <w:p>
      <w:pPr>
        <w:keepNext w:val="0"/>
        <w:keepLines/>
        <w:spacing w:before="80" w:after="140" w:line="240" w:lineRule="auto"/>
        <w:jc w:val="center"/>
      </w:pPr>
      <w:r>
        <w:rPr>
          <w:rFonts w:ascii="DejaVu Serif" w:hAnsi="DejaVu Serif" w:eastAsia="DejaVu Serif"/>
          <w:b w:val="0"/>
          <w:i w:val="0"/>
          <w:sz w:val="22"/>
        </w:rPr>
        <w:t>e_D(u;d_hat)=max{|d_hat-Dfrak(b_L)|, |d_hat-Dfrak(b_R)|}.</w:t>
      </w:r>
      <w:r>
        <w:rPr>
          <w:rFonts w:ascii="DejaVu Sans" w:hAnsi="DejaVu Sans" w:eastAsia="DejaVu Sans"/>
          <w:b w:val="0"/>
          <w:i/>
          <w:color w:val="666666"/>
          <w:sz w:val="16"/>
        </w:rPr>
        <w:t xml:space="preserve">    [RU p. 143]</w:t>
      </w:r>
    </w:p>
    <w:p>
      <w:pPr>
        <w:keepNext w:val="0"/>
        <w:keepLines/>
        <w:spacing w:before="80" w:after="140" w:line="240" w:lineRule="auto"/>
        <w:jc w:val="center"/>
      </w:pPr>
      <w:r>
        <w:rPr>
          <w:rFonts w:ascii="DejaVu Serif" w:hAnsi="DejaVu Serif" w:eastAsia="DejaVu Serif"/>
          <w:b w:val="0"/>
          <w:i w:val="0"/>
          <w:sz w:val="22"/>
        </w:rPr>
        <w:t>e_R(u;r_hat)=max{||r_hat-r_L(u)||, ||r_hat-r_R(u)||}.</w:t>
      </w:r>
      <w:r>
        <w:rPr>
          <w:rFonts w:ascii="DejaVu Sans" w:hAnsi="DejaVu Sans" w:eastAsia="DejaVu Sans"/>
          <w:b w:val="0"/>
          <w:i/>
          <w:color w:val="666666"/>
          <w:sz w:val="16"/>
        </w:rPr>
        <w:t xml:space="preserve">    [RU p. 143]</w:t>
      </w:r>
    </w:p>
    <w:p>
      <w:pPr>
        <w:keepNext w:val="0"/>
        <w:keepLines/>
        <w:spacing w:before="80" w:after="140" w:line="240" w:lineRule="auto"/>
        <w:jc w:val="center"/>
      </w:pPr>
      <w:r>
        <w:rPr>
          <w:rFonts w:ascii="DejaVu Serif" w:hAnsi="DejaVu Serif" w:eastAsia="DejaVu Serif"/>
          <w:b w:val="0"/>
          <w:i w:val="0"/>
          <w:sz w:val="22"/>
        </w:rPr>
        <w:t>Delta_S(u)=|S(r_L(u))-S(r_R(u))|,   Delta_D=|Dfrak(b_L)-Dfrak(b_R)|,   Delta_R(u)=||K(u)||.</w:t>
      </w:r>
      <w:r>
        <w:rPr>
          <w:rFonts w:ascii="DejaVu Sans" w:hAnsi="DejaVu Sans" w:eastAsia="DejaVu Sans"/>
          <w:b w:val="0"/>
          <w:i/>
          <w:color w:val="666666"/>
          <w:sz w:val="16"/>
        </w:rPr>
        <w:t xml:space="preserve">    [RU p. 143]</w:t>
      </w:r>
    </w:p>
    <w:p>
      <w:pPr>
        <w:keepNext w:val="0"/>
        <w:keepLines w:val="0"/>
        <w:spacing w:before="0" w:after="100" w:line="259" w:lineRule="auto"/>
      </w:pPr>
      <w:r>
        <w:rPr>
          <w:rFonts w:ascii="DejaVu Serif" w:hAnsi="DejaVu Serif" w:eastAsia="DejaVu Serif"/>
          <w:b w:val="0"/>
          <w:i w:val="0"/>
          <w:sz w:val="20"/>
        </w:rPr>
        <w:t>An observable S is c-separating on Omega when Delta_S(u) &gt;= c||K(u)|| for all u. A uniform PN.2 domain relative to a positive scale m(u) has Delta_D&gt;0 and a constant epsilon_minus&gt;0 such that ||K(u)|| &gt;= epsilon_minus m(u) throughout Omega.</w:t>
      </w:r>
    </w:p>
    <w:p>
      <w:pPr>
        <w:keepNext w:val="0"/>
        <w:keepLines w:val="0"/>
        <w:spacing w:before="80" w:after="60" w:line="259" w:lineRule="auto"/>
      </w:pPr>
      <w:r>
        <w:rPr>
          <w:rFonts w:ascii="DejaVu Serif" w:hAnsi="DejaVu Serif" w:eastAsia="DejaVu Serif"/>
          <w:b/>
          <w:i w:val="0"/>
          <w:sz w:val="18"/>
        </w:rPr>
        <w:t>Model axioms of the strict PN.2 package</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794"/>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Axiom</w:t>
            </w:r>
          </w:p>
        </w:tc>
        <w:tc>
          <w:tcPr>
            <w:tcW w:type="dxa" w:w="5726"/>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Content</w:t>
            </w:r>
          </w:p>
        </w:tc>
        <w:tc>
          <w:tcPr>
            <w:tcW w:type="dxa" w:w="2835"/>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Failure mode</w:t>
            </w:r>
          </w:p>
        </w:tc>
      </w:tr>
      <w:tr>
        <w:trPr>
          <w:cantSplit/>
        </w:trPr>
        <w:tc>
          <w:tcPr>
            <w:tcW w:type="dxa" w:w="79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A1</w:t>
            </w:r>
          </w:p>
        </w:tc>
        <w:tc>
          <w:tcPr>
            <w:tcW w:type="dxa" w:w="572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Normed algebra; bilinear operation; both outcomes defined on Omega.</w:t>
            </w:r>
          </w:p>
        </w:tc>
        <w:tc>
          <w:tcPr>
            <w:tcW w:type="dxa" w:w="283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Undefined product or domain.</w:t>
            </w:r>
          </w:p>
        </w:tc>
      </w:tr>
      <w:tr>
        <w:trPr>
          <w:cantSplit/>
        </w:trPr>
        <w:tc>
          <w:tcPr>
            <w:tcW w:type="dxa" w:w="79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A2</w:t>
            </w:r>
          </w:p>
        </w:tc>
        <w:tc>
          <w:tcPr>
            <w:tcW w:type="dxa" w:w="572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Exactly two admissible branches; branch hidden from estimator.</w:t>
            </w:r>
          </w:p>
        </w:tc>
        <w:tc>
          <w:tcPr>
            <w:tcW w:type="dxa" w:w="283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No hidden alternative.</w:t>
            </w:r>
          </w:p>
        </w:tc>
      </w:tr>
      <w:tr>
        <w:trPr>
          <w:cantSplit/>
        </w:trPr>
        <w:tc>
          <w:tcPr>
            <w:tcW w:type="dxa" w:w="79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A3</w:t>
            </w:r>
          </w:p>
        </w:tc>
        <w:tc>
          <w:tcPr>
            <w:tcW w:type="dxa" w:w="572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Nondegenerate structural coordinate: Delta_D&gt;0.</w:t>
            </w:r>
          </w:p>
        </w:tc>
        <w:tc>
          <w:tcPr>
            <w:tcW w:type="dxa" w:w="283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Structural coordinate does not distinguish protocols.</w:t>
            </w:r>
          </w:p>
        </w:tc>
      </w:tr>
      <w:tr>
        <w:trPr>
          <w:cantSplit/>
        </w:trPr>
        <w:tc>
          <w:tcPr>
            <w:tcW w:type="dxa" w:w="79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A4</w:t>
            </w:r>
          </w:p>
        </w:tc>
        <w:tc>
          <w:tcPr>
            <w:tcW w:type="dxa" w:w="572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One branch-blind estimator is used for both alternatives.</w:t>
            </w:r>
          </w:p>
        </w:tc>
        <w:tc>
          <w:tcPr>
            <w:tcW w:type="dxa" w:w="283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Branch label supplied in advance.</w:t>
            </w:r>
          </w:p>
        </w:tc>
      </w:tr>
      <w:tr>
        <w:trPr>
          <w:cantSplit/>
        </w:trPr>
        <w:tc>
          <w:tcPr>
            <w:tcW w:type="dxa" w:w="79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A5-S</w:t>
            </w:r>
          </w:p>
        </w:tc>
        <w:tc>
          <w:tcPr>
            <w:tcW w:type="dxa" w:w="572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Scalar observable separates the outcomes, preferably c-separating.</w:t>
            </w:r>
          </w:p>
        </w:tc>
        <w:tc>
          <w:tcPr>
            <w:tcW w:type="dxa" w:w="283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Scalar version may have zero bound.</w:t>
            </w:r>
          </w:p>
        </w:tc>
      </w:tr>
      <w:tr>
        <w:trPr>
          <w:cantSplit/>
        </w:trPr>
        <w:tc>
          <w:tcPr>
            <w:tcW w:type="dxa" w:w="79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A6</w:t>
            </w:r>
          </w:p>
        </w:tc>
        <w:tc>
          <w:tcPr>
            <w:tcW w:type="dxa" w:w="572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Uniform coercivity on an explicit normalized domain for a global constant.</w:t>
            </w:r>
          </w:p>
        </w:tc>
        <w:tc>
          <w:tcPr>
            <w:tcW w:type="dxa" w:w="283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Only local or zero lower bound.</w:t>
            </w:r>
          </w:p>
        </w:tc>
      </w:tr>
    </w:tbl>
    <w:p>
      <w:pPr>
        <w:spacing w:after="40"/>
      </w:pP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SCOPE EXCLUSIONS. </w:t>
            </w:r>
            <w:r>
              <w:rPr>
                <w:rFonts w:ascii="DejaVu Serif" w:hAnsi="DejaVu Serif" w:eastAsia="DejaVu Serif"/>
                <w:b w:val="0"/>
                <w:i w:val="0"/>
                <w:sz w:val="18"/>
              </w:rPr>
              <w:t>The theorem does not apply on K=0 sectors, when Delta_D=0, to a branch-informed estimator, or as an automatic Robertson-Schrödinger or Ozawa relation. Ordinary vector-space dimension and ordinary parse-tree depth do not by themselves supply the required structural coordinate.</w:t>
            </w:r>
          </w:p>
        </w:tc>
      </w:tr>
    </w:tbl>
    <w:p>
      <w:pPr>
        <w:spacing w:after="20"/>
      </w:pPr>
    </w:p>
    <w:p>
      <w:pPr>
        <w:pStyle w:val="Heading2"/>
        <w:keepNext/>
        <w:keepLines w:val="0"/>
        <w:spacing w:before="160" w:after="80" w:line="240" w:lineRule="auto"/>
      </w:pPr>
      <w:r>
        <w:t>27.3. Two-Point Lemma and the Local Minimax Theorem</w:t>
      </w:r>
    </w:p>
    <w:p>
      <w:pPr>
        <w:keepNext w:val="0"/>
        <w:keepLines w:val="0"/>
        <w:spacing w:before="0" w:after="100" w:line="259" w:lineRule="auto"/>
      </w:pPr>
      <w:r>
        <w:rPr>
          <w:rFonts w:ascii="DejaVu Serif" w:hAnsi="DejaVu Serif" w:eastAsia="DejaVu Serif"/>
          <w:b w:val="0"/>
          <w:i w:val="0"/>
          <w:sz w:val="20"/>
        </w:rPr>
        <w:t>Lemma 27.2 [LEM]. For any two points a,b in a metric space and any q,</w:t>
      </w:r>
    </w:p>
    <w:p>
      <w:pPr>
        <w:keepNext w:val="0"/>
        <w:keepLines/>
        <w:spacing w:before="80" w:after="140" w:line="240" w:lineRule="auto"/>
        <w:jc w:val="center"/>
      </w:pPr>
      <w:r>
        <w:rPr>
          <w:rFonts w:ascii="DejaVu Serif" w:hAnsi="DejaVu Serif" w:eastAsia="DejaVu Serif"/>
          <w:b w:val="0"/>
          <w:i w:val="0"/>
          <w:sz w:val="22"/>
        </w:rPr>
        <w:t>max{d(q,a),d(q,b)} &gt;= d(a,b)/2.</w:t>
      </w:r>
      <w:r>
        <w:rPr>
          <w:rFonts w:ascii="DejaVu Sans" w:hAnsi="DejaVu Sans" w:eastAsia="DejaVu Sans"/>
          <w:b w:val="0"/>
          <w:i/>
          <w:color w:val="666666"/>
          <w:sz w:val="16"/>
        </w:rPr>
        <w:t xml:space="preserve">    [RU p. 144]</w:t>
      </w:r>
    </w:p>
    <w:p>
      <w:pPr>
        <w:keepNext w:val="0"/>
        <w:keepLines w:val="0"/>
        <w:spacing w:before="0" w:after="100" w:line="259" w:lineRule="auto"/>
      </w:pPr>
      <w:r>
        <w:rPr>
          <w:rFonts w:ascii="DejaVu Serif" w:hAnsi="DejaVu Serif" w:eastAsia="DejaVu Serif"/>
          <w:b w:val="0"/>
          <w:i w:val="0"/>
          <w:sz w:val="20"/>
        </w:rPr>
        <w:t>Proof. The triangle inequality gives d(a,b) &lt;= d(a,q)+d(q,b) &lt;= 2 max{d(q,a),d(q,b)}.</w:t>
      </w:r>
    </w:p>
    <w:p>
      <w:pPr>
        <w:keepNext w:val="0"/>
        <w:keepLines w:val="0"/>
        <w:spacing w:before="0" w:after="100" w:line="259" w:lineRule="auto"/>
      </w:pPr>
      <w:r>
        <w:rPr>
          <w:rFonts w:ascii="DejaVu Serif" w:hAnsi="DejaVu Serif" w:eastAsia="DejaVu Serif"/>
          <w:b w:val="0"/>
          <w:i w:val="0"/>
          <w:sz w:val="20"/>
        </w:rPr>
        <w:t>Theorem 27.3 [THM: Local Minimax PN.2]. Under A1–A4, for every u in Omega and every branch-blind pair of estimates,</w:t>
      </w:r>
    </w:p>
    <w:p>
      <w:pPr>
        <w:keepNext w:val="0"/>
        <w:keepLines/>
        <w:spacing w:before="80" w:after="140" w:line="240" w:lineRule="auto"/>
        <w:jc w:val="center"/>
      </w:pPr>
      <w:r>
        <w:rPr>
          <w:rFonts w:ascii="DejaVu Serif" w:hAnsi="DejaVu Serif" w:eastAsia="DejaVu Serif"/>
          <w:b w:val="0"/>
          <w:i w:val="0"/>
          <w:sz w:val="22"/>
        </w:rPr>
        <w:t>e_S(u;s_hat) e_D(u;d_hat) &gt;= (1/4) Delta_S(u) Delta_D.     (PN.2-S)</w:t>
      </w:r>
      <w:r>
        <w:rPr>
          <w:rFonts w:ascii="DejaVu Sans" w:hAnsi="DejaVu Sans" w:eastAsia="DejaVu Sans"/>
          <w:b w:val="0"/>
          <w:i/>
          <w:color w:val="666666"/>
          <w:sz w:val="16"/>
        </w:rPr>
        <w:t xml:space="preserve">    [RU p. 145]</w:t>
      </w:r>
    </w:p>
    <w:p>
      <w:pPr>
        <w:keepNext w:val="0"/>
        <w:keepLines/>
        <w:spacing w:before="80" w:after="140" w:line="240" w:lineRule="auto"/>
        <w:jc w:val="center"/>
      </w:pPr>
      <w:r>
        <w:rPr>
          <w:rFonts w:ascii="DejaVu Serif" w:hAnsi="DejaVu Serif" w:eastAsia="DejaVu Serif"/>
          <w:b w:val="0"/>
          <w:i w:val="0"/>
          <w:sz w:val="22"/>
        </w:rPr>
        <w:t>e_R(u;r_hat) e_D(u;d_hat) &gt;= (1/4) ||K(u)|| Delta_D.     (PN.2-R)</w:t>
      </w:r>
      <w:r>
        <w:rPr>
          <w:rFonts w:ascii="DejaVu Sans" w:hAnsi="DejaVu Sans" w:eastAsia="DejaVu Sans"/>
          <w:b w:val="0"/>
          <w:i/>
          <w:color w:val="666666"/>
          <w:sz w:val="16"/>
        </w:rPr>
        <w:t xml:space="preserve">    [RU p. 145]</w:t>
      </w:r>
    </w:p>
    <w:p>
      <w:pPr>
        <w:keepNext w:val="0"/>
        <w:keepLines/>
        <w:spacing w:before="80" w:after="140" w:line="240" w:lineRule="auto"/>
        <w:jc w:val="center"/>
      </w:pPr>
      <w:r>
        <w:rPr>
          <w:rFonts w:ascii="DejaVu Serif" w:hAnsi="DejaVu Serif" w:eastAsia="DejaVu Serif"/>
          <w:b w:val="0"/>
          <w:i w:val="0"/>
          <w:sz w:val="22"/>
        </w:rPr>
        <w:t>e_S(u;s_hat) e_D(u;d_hat) &gt;= (c/4) ||K(u)|| Delta_D.     (PN.2-K)</w:t>
      </w:r>
      <w:r>
        <w:rPr>
          <w:rFonts w:ascii="DejaVu Sans" w:hAnsi="DejaVu Sans" w:eastAsia="DejaVu Sans"/>
          <w:b w:val="0"/>
          <w:i/>
          <w:color w:val="666666"/>
          <w:sz w:val="16"/>
        </w:rPr>
        <w:t xml:space="preserve">    [RU p. 145]</w:t>
      </w:r>
    </w:p>
    <w:p>
      <w:pPr>
        <w:keepNext w:val="0"/>
        <w:keepLines w:val="0"/>
        <w:spacing w:before="0" w:after="100" w:line="259" w:lineRule="auto"/>
      </w:pPr>
      <w:r>
        <w:rPr>
          <w:rFonts w:ascii="DejaVu Serif" w:hAnsi="DejaVu Serif" w:eastAsia="DejaVu Serif"/>
          <w:b w:val="0"/>
          <w:i w:val="0"/>
          <w:sz w:val="20"/>
        </w:rPr>
        <w:t>The last inequality requires a c-separating observable. The proof applies the two-point lemma to the two observable values, the two structural-coordinate values, and, for the full-state form, the two outcomes in the norm metric. Each separate error is at least half the corresponding gap; multiplying yields the factor 1/4.</w:t>
      </w:r>
    </w:p>
    <w:p>
      <w:pPr>
        <w:pStyle w:val="Heading2"/>
        <w:keepNext/>
        <w:keepLines w:val="0"/>
        <w:spacing w:before="160" w:after="80" w:line="240" w:lineRule="auto"/>
      </w:pPr>
      <w:r>
        <w:t>27.4. Uniform Form and Correction of Earlier Quantitative Arguments</w:t>
      </w:r>
    </w:p>
    <w:p>
      <w:pPr>
        <w:keepNext w:val="0"/>
        <w:keepLines w:val="0"/>
        <w:spacing w:before="0" w:after="100" w:line="259" w:lineRule="auto"/>
      </w:pPr>
      <w:r>
        <w:rPr>
          <w:rFonts w:ascii="DejaVu Serif" w:hAnsi="DejaVu Serif" w:eastAsia="DejaVu Serif"/>
          <w:b w:val="0"/>
          <w:i w:val="0"/>
          <w:sz w:val="20"/>
        </w:rPr>
        <w:t>Corollary 27.4 [COND]. If Omega is a uniform PN.2 domain relative to m(u), then</w:t>
      </w:r>
    </w:p>
    <w:p>
      <w:pPr>
        <w:keepNext w:val="0"/>
        <w:keepLines/>
        <w:spacing w:before="80" w:after="140" w:line="240" w:lineRule="auto"/>
        <w:jc w:val="center"/>
      </w:pPr>
      <w:r>
        <w:rPr>
          <w:rFonts w:ascii="DejaVu Serif" w:hAnsi="DejaVu Serif" w:eastAsia="DejaVu Serif"/>
          <w:b w:val="0"/>
          <w:i w:val="0"/>
          <w:sz w:val="22"/>
        </w:rPr>
        <w:t>e_R e_D &gt;= (epsilon_minus Delta_D/4) m(u).</w:t>
      </w:r>
      <w:r>
        <w:rPr>
          <w:rFonts w:ascii="DejaVu Sans" w:hAnsi="DejaVu Sans" w:eastAsia="DejaVu Sans"/>
          <w:b w:val="0"/>
          <w:i/>
          <w:color w:val="666666"/>
          <w:sz w:val="16"/>
        </w:rPr>
        <w:t xml:space="preserve">    [RU p. 145]</w:t>
      </w:r>
    </w:p>
    <w:p>
      <w:pPr>
        <w:keepNext w:val="0"/>
        <w:keepLines w:val="0"/>
        <w:spacing w:before="0" w:after="100" w:line="259" w:lineRule="auto"/>
      </w:pPr>
      <w:r>
        <w:rPr>
          <w:rFonts w:ascii="DejaVu Serif" w:hAnsi="DejaVu Serif" w:eastAsia="DejaVu Serif"/>
          <w:b w:val="0"/>
          <w:i w:val="0"/>
          <w:sz w:val="20"/>
        </w:rPr>
        <w:t>For a c-separating observable, the right side is multiplied by c. A historical expression involving ||R||^3 requires separate identifications of the errors, structural coordinate, scale, and a strictly positive infimum.</w:t>
      </w:r>
    </w:p>
    <w:p>
      <w:pPr>
        <w:keepNext w:val="0"/>
        <w:keepLines/>
        <w:spacing w:before="80" w:after="140" w:line="240" w:lineRule="auto"/>
        <w:jc w:val="center"/>
      </w:pPr>
      <w:r>
        <w:rPr>
          <w:rFonts w:ascii="DejaVu Serif" w:hAnsi="DejaVu Serif" w:eastAsia="DejaVu Serif"/>
          <w:b w:val="0"/>
          <w:i w:val="0"/>
          <w:sz w:val="22"/>
        </w:rPr>
        <w:t>epsilon_plus=sup ||K(u)||/m(u)   gives an upper bound;   epsilon_minus=inf_{u in Omega} ||K(u)||/m(u)&gt;0 gives the required lower bound.</w:t>
      </w:r>
      <w:r>
        <w:rPr>
          <w:rFonts w:ascii="DejaVu Sans" w:hAnsi="DejaVu Sans" w:eastAsia="DejaVu Sans"/>
          <w:b w:val="0"/>
          <w:i/>
          <w:color w:val="666666"/>
          <w:sz w:val="16"/>
        </w:rPr>
        <w:t xml:space="preserve">    [RU p. 146]</w:t>
      </w:r>
    </w:p>
    <w:p>
      <w:pPr>
        <w:keepNext w:val="0"/>
        <w:keepLines w:val="0"/>
        <w:spacing w:before="0" w:after="100" w:line="259" w:lineRule="auto"/>
      </w:pPr>
      <w:r>
        <w:rPr>
          <w:rFonts w:ascii="DejaVu Serif" w:hAnsi="DejaVu Serif" w:eastAsia="DejaVu Serif"/>
          <w:b w:val="0"/>
          <w:i w:val="0"/>
          <w:sz w:val="20"/>
        </w:rPr>
        <w:t>The reverse triangle inequality gives only | ||r_L||-||r_R|| | &lt;= ||K||. Norms of two bracketings may coincide even when K is nonzero, as in normed composition algebras. Hence the default strict formulation uses the full-state distance or a proved separating observable.</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CATEGORICAL CAUTION. </w:t>
            </w:r>
            <w:r>
              <w:rPr>
                <w:rFonts w:ascii="DejaVu Serif" w:hAnsi="DejaVu Serif" w:eastAsia="DejaVu Serif"/>
                <w:b w:val="0"/>
                <w:i w:val="0"/>
                <w:sz w:val="18"/>
              </w:rPr>
              <w:t>The absence of a natural transformation between two unspecified functors is not a no-go theorem for joint estimation. A categorical PN.2 requires explicit categories, functors, domains, and a precisely defined absence of a section, lift, or natural estimator.</w:t>
            </w:r>
          </w:p>
        </w:tc>
      </w:tr>
    </w:tbl>
    <w:p>
      <w:pPr>
        <w:spacing w:after="20"/>
      </w:pPr>
    </w:p>
    <w:p>
      <w:pPr>
        <w:pStyle w:val="Heading2"/>
        <w:keepNext/>
        <w:keepLines w:val="0"/>
        <w:spacing w:before="160" w:after="80" w:line="240" w:lineRule="auto"/>
      </w:pPr>
      <w:r>
        <w:t>27.5. Proof Obligations PO-1–PO-12</w:t>
      </w:r>
    </w:p>
    <w:p>
      <w:pPr>
        <w:keepNext w:val="0"/>
        <w:keepLines w:val="0"/>
        <w:spacing w:before="80" w:after="60" w:line="259" w:lineRule="auto"/>
      </w:pPr>
      <w:r>
        <w:rPr>
          <w:rFonts w:ascii="DejaVu Serif" w:hAnsi="DejaVu Serif" w:eastAsia="DejaVu Serif"/>
          <w:b/>
          <w:i w:val="0"/>
          <w:sz w:val="18"/>
        </w:rPr>
        <w:t>Conservative proof-obligation ledger</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567"/>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5"/>
              </w:rPr>
              <w:t>PO</w:t>
            </w:r>
          </w:p>
        </w:tc>
        <w:tc>
          <w:tcPr>
            <w:tcW w:type="dxa" w:w="6123"/>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5"/>
              </w:rPr>
              <w:t>Obligation</w:t>
            </w:r>
          </w:p>
        </w:tc>
        <w:tc>
          <w:tcPr>
            <w:tcW w:type="dxa" w:w="2665"/>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5"/>
              </w:rPr>
              <w:t>Status in this checkpoint</w:t>
            </w:r>
          </w:p>
        </w:tc>
      </w:tr>
      <w:tr>
        <w:trPr>
          <w:cantSplit/>
        </w:trPr>
        <w:tc>
          <w:tcPr>
            <w:tcW w:type="dxa" w:w="56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1</w:t>
            </w:r>
          </w:p>
        </w:tc>
        <w:tc>
          <w:tcPr>
            <w:tcW w:type="dxa" w:w="612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Specify the physical algebra R*R: carrier, field, basis, product, constants, unit, involution, norm, domain.</w:t>
            </w:r>
          </w:p>
        </w:tc>
        <w:tc>
          <w:tcPr>
            <w:tcW w:type="dxa" w:w="266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OPEN / source-dependent</w:t>
            </w:r>
          </w:p>
        </w:tc>
      </w:tr>
      <w:tr>
        <w:trPr>
          <w:cantSplit/>
        </w:trPr>
        <w:tc>
          <w:tcPr>
            <w:tcW w:type="dxa" w:w="56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2</w:t>
            </w:r>
          </w:p>
        </w:tc>
        <w:tc>
          <w:tcPr>
            <w:tcW w:type="dxa" w:w="612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Verify bilinearity, closure, continuity, zero divisors, and all used operators.</w:t>
            </w:r>
          </w:p>
        </w:tc>
        <w:tc>
          <w:tcPr>
            <w:tcW w:type="dxa" w:w="266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OPEN / source-dependent</w:t>
            </w:r>
          </w:p>
        </w:tc>
      </w:tr>
      <w:tr>
        <w:trPr>
          <w:cantSplit/>
        </w:trPr>
        <w:tc>
          <w:tcPr>
            <w:tcW w:type="dxa" w:w="56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3</w:t>
            </w:r>
          </w:p>
        </w:tc>
        <w:tc>
          <w:tcPr>
            <w:tcW w:type="dxa" w:w="612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Compute nonzero associators and classify sectors.</w:t>
            </w:r>
          </w:p>
        </w:tc>
        <w:tc>
          <w:tcPr>
            <w:tcW w:type="dxa" w:w="266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OPEN for physical R*R</w:t>
            </w:r>
          </w:p>
        </w:tc>
      </w:tr>
      <w:tr>
        <w:trPr>
          <w:cantSplit/>
        </w:trPr>
        <w:tc>
          <w:tcPr>
            <w:tcW w:type="dxa" w:w="56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4</w:t>
            </w:r>
          </w:p>
        </w:tc>
        <w:tc>
          <w:tcPr>
            <w:tcW w:type="dxa" w:w="612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Define an invariant, distinguishing structural coordinate Dfrak.</w:t>
            </w:r>
          </w:p>
        </w:tc>
        <w:tc>
          <w:tcPr>
            <w:tcW w:type="dxa" w:w="266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OPEN for physical interpretation</w:t>
            </w:r>
          </w:p>
        </w:tc>
      </w:tr>
      <w:tr>
        <w:trPr>
          <w:cantSplit/>
        </w:trPr>
        <w:tc>
          <w:tcPr>
            <w:tcW w:type="dxa" w:w="56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5</w:t>
            </w:r>
          </w:p>
        </w:tc>
        <w:tc>
          <w:tcPr>
            <w:tcW w:type="dxa" w:w="612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Choose a c-separating observable or use the full-state metric.</w:t>
            </w:r>
          </w:p>
        </w:tc>
        <w:tc>
          <w:tcPr>
            <w:tcW w:type="dxa" w:w="266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OPEN for physical observable</w:t>
            </w:r>
          </w:p>
        </w:tc>
      </w:tr>
      <w:tr>
        <w:trPr>
          <w:cantSplit/>
        </w:trPr>
        <w:tc>
          <w:tcPr>
            <w:tcW w:type="dxa" w:w="56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6</w:t>
            </w:r>
          </w:p>
        </w:tc>
        <w:tc>
          <w:tcPr>
            <w:tcW w:type="dxa" w:w="612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Specify the measurement model and why the branch is hidden.</w:t>
            </w:r>
          </w:p>
        </w:tc>
        <w:tc>
          <w:tcPr>
            <w:tcW w:type="dxa" w:w="266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OPEN</w:t>
            </w:r>
          </w:p>
        </w:tc>
      </w:tr>
      <w:tr>
        <w:trPr>
          <w:cantSplit/>
        </w:trPr>
        <w:tc>
          <w:tcPr>
            <w:tcW w:type="dxa" w:w="56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7</w:t>
            </w:r>
          </w:p>
        </w:tc>
        <w:tc>
          <w:tcPr>
            <w:tcW w:type="dxa" w:w="612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Prove a positive epsilon_minus on a normalized Omega.</w:t>
            </w:r>
          </w:p>
        </w:tc>
        <w:tc>
          <w:tcPr>
            <w:tcW w:type="dxa" w:w="266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OPEN for physical domain</w:t>
            </w:r>
          </w:p>
        </w:tc>
      </w:tr>
      <w:tr>
        <w:trPr>
          <w:cantSplit/>
        </w:trPr>
        <w:tc>
          <w:tcPr>
            <w:tcW w:type="dxa" w:w="56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8</w:t>
            </w:r>
          </w:p>
        </w:tc>
        <w:tc>
          <w:tcPr>
            <w:tcW w:type="dxa" w:w="612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Fix physical units of S, Dfrak, K, m, and kappa.</w:t>
            </w:r>
          </w:p>
        </w:tc>
        <w:tc>
          <w:tcPr>
            <w:tcW w:type="dxa" w:w="266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OPEN</w:t>
            </w:r>
          </w:p>
        </w:tc>
      </w:tr>
      <w:tr>
        <w:trPr>
          <w:cantSplit/>
        </w:trPr>
        <w:tc>
          <w:tcPr>
            <w:tcW w:type="dxa" w:w="56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9</w:t>
            </w:r>
          </w:p>
        </w:tc>
        <w:tc>
          <w:tcPr>
            <w:tcW w:type="dxa" w:w="612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Build the categorical no-go object.</w:t>
            </w:r>
          </w:p>
        </w:tc>
        <w:tc>
          <w:tcPr>
            <w:tcW w:type="dxa" w:w="266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OPEN</w:t>
            </w:r>
          </w:p>
        </w:tc>
      </w:tr>
      <w:tr>
        <w:trPr>
          <w:cantSplit/>
        </w:trPr>
        <w:tc>
          <w:tcPr>
            <w:tcW w:type="dxa" w:w="56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10</w:t>
            </w:r>
          </w:p>
        </w:tc>
        <w:tc>
          <w:tcPr>
            <w:tcW w:type="dxa" w:w="612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Construct the Hilbert-space bridge to PN.1 and prove operator-domain conditions.</w:t>
            </w:r>
          </w:p>
        </w:tc>
        <w:tc>
          <w:tcPr>
            <w:tcW w:type="dxa" w:w="266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OPEN</w:t>
            </w:r>
          </w:p>
        </w:tc>
      </w:tr>
      <w:tr>
        <w:trPr>
          <w:cantSplit/>
        </w:trPr>
        <w:tc>
          <w:tcPr>
            <w:tcW w:type="dxa" w:w="56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11</w:t>
            </w:r>
          </w:p>
        </w:tc>
        <w:tc>
          <w:tcPr>
            <w:tcW w:type="dxa" w:w="6123"/>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Provide four explicit models and countermodels.</w:t>
            </w:r>
          </w:p>
        </w:tc>
        <w:tc>
          <w:tcPr>
            <w:tcW w:type="dxa" w:w="266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CLOSED-ABSTRACT by Appendix A</w:t>
            </w:r>
          </w:p>
        </w:tc>
      </w:tr>
      <w:tr>
        <w:trPr>
          <w:cantSplit/>
        </w:trPr>
        <w:tc>
          <w:tcPr>
            <w:tcW w:type="dxa" w:w="56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12</w:t>
            </w:r>
          </w:p>
        </w:tc>
        <w:tc>
          <w:tcPr>
            <w:tcW w:type="dxa" w:w="6123"/>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Provide reproducible code, tests, values, and hashes.</w:t>
            </w:r>
          </w:p>
        </w:tc>
        <w:tc>
          <w:tcPr>
            <w:tcW w:type="dxa" w:w="266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CLOSED-ABSTRACT / SOURCE-CERT by Appendix B</w:t>
            </w:r>
          </w:p>
        </w:tc>
      </w:tr>
    </w:tbl>
    <w:p>
      <w:pPr>
        <w:spacing w:after="40"/>
      </w:pPr>
    </w:p>
    <w:p>
      <w:pPr>
        <w:pStyle w:val="Heading2"/>
        <w:keepNext/>
        <w:keepLines w:val="0"/>
        <w:spacing w:before="160" w:after="80" w:line="240" w:lineRule="auto"/>
      </w:pPr>
      <w:r>
        <w:t>27.6. Physical Hypotheses F-1–F-14</w:t>
      </w:r>
    </w:p>
    <w:p>
      <w:pPr>
        <w:keepNext w:val="0"/>
        <w:keepLines w:val="0"/>
        <w:spacing w:before="80" w:after="60" w:line="259" w:lineRule="auto"/>
      </w:pPr>
      <w:r>
        <w:rPr>
          <w:rFonts w:ascii="DejaVu Serif" w:hAnsi="DejaVu Serif" w:eastAsia="DejaVu Serif"/>
          <w:b/>
          <w:i w:val="0"/>
          <w:sz w:val="18"/>
        </w:rPr>
        <w:t>No entry in this table inherits theorem status from the abstract minimax result</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567"/>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4"/>
              </w:rPr>
              <w:t>ID</w:t>
            </w:r>
          </w:p>
        </w:tc>
        <w:tc>
          <w:tcPr>
            <w:tcW w:type="dxa" w:w="7257"/>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4"/>
              </w:rPr>
              <w:t>Hypothesis requiring independent verification</w:t>
            </w:r>
          </w:p>
        </w:tc>
        <w:tc>
          <w:tcPr>
            <w:tcW w:type="dxa" w:w="1474"/>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4"/>
              </w:rPr>
              <w:t>Status</w:t>
            </w:r>
          </w:p>
        </w:tc>
      </w:tr>
      <w:tr>
        <w:trPr>
          <w:cantSplit/>
        </w:trPr>
        <w:tc>
          <w:tcPr>
            <w:tcW w:type="dxa" w:w="567"/>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F-1</w:t>
            </w:r>
          </w:p>
        </w:tc>
        <w:tc>
          <w:tcPr>
            <w:tcW w:type="dxa" w:w="72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4"/>
              </w:rPr>
              <w:t>R*R is a physical algebra of time, not only a mathematical model.</w:t>
            </w:r>
          </w:p>
        </w:tc>
        <w:tc>
          <w:tcPr>
            <w:tcW w:type="dxa" w:w="147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PHY-HYP</w:t>
            </w:r>
          </w:p>
        </w:tc>
      </w:tr>
      <w:tr>
        <w:trPr>
          <w:cantSplit/>
        </w:trPr>
        <w:tc>
          <w:tcPr>
            <w:tcW w:type="dxa" w:w="567"/>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F-2</w:t>
            </w:r>
          </w:p>
        </w:tc>
        <w:tc>
          <w:tcPr>
            <w:tcW w:type="dxa" w:w="72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4"/>
              </w:rPr>
              <w:t>PN.2 is more fundamental than Robertson-Heisenberg or noise-disturbance relations.</w:t>
            </w:r>
          </w:p>
        </w:tc>
        <w:tc>
          <w:tcPr>
            <w:tcW w:type="dxa" w:w="147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PHY-HYP</w:t>
            </w:r>
          </w:p>
        </w:tc>
      </w:tr>
      <w:tr>
        <w:trPr>
          <w:cantSplit/>
        </w:trPr>
        <w:tc>
          <w:tcPr>
            <w:tcW w:type="dxa" w:w="567"/>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F-3</w:t>
            </w:r>
          </w:p>
        </w:tc>
        <w:tc>
          <w:tcPr>
            <w:tcW w:type="dxa" w:w="72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4"/>
              </w:rPr>
              <w:t>Quantum uncertainty follows from the associator through a representation.</w:t>
            </w:r>
          </w:p>
        </w:tc>
        <w:tc>
          <w:tcPr>
            <w:tcW w:type="dxa" w:w="147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PHY-HYP</w:t>
            </w:r>
          </w:p>
        </w:tc>
      </w:tr>
      <w:tr>
        <w:trPr>
          <w:cantSplit/>
        </w:trPr>
        <w:tc>
          <w:tcPr>
            <w:tcW w:type="dxa" w:w="567"/>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F-4</w:t>
            </w:r>
          </w:p>
        </w:tc>
        <w:tc>
          <w:tcPr>
            <w:tcW w:type="dxa" w:w="72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4"/>
              </w:rPr>
              <w:t>A dimensionally correct regime ||K|| approximately hbar exists.</w:t>
            </w:r>
          </w:p>
        </w:tc>
        <w:tc>
          <w:tcPr>
            <w:tcW w:type="dxa" w:w="147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PHY-HYP</w:t>
            </w:r>
          </w:p>
        </w:tc>
      </w:tr>
      <w:tr>
        <w:trPr>
          <w:cantSplit/>
        </w:trPr>
        <w:tc>
          <w:tcPr>
            <w:tcW w:type="dxa" w:w="567"/>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F-5</w:t>
            </w:r>
          </w:p>
        </w:tc>
        <w:tc>
          <w:tcPr>
            <w:tcW w:type="dxa" w:w="72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4"/>
              </w:rPr>
              <w:t>An induced bracket [x,y]_z=K(x,y,z) yields an admissible operator commutator.</w:t>
            </w:r>
          </w:p>
        </w:tc>
        <w:tc>
          <w:tcPr>
            <w:tcW w:type="dxa" w:w="147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PHY-HYP</w:t>
            </w:r>
          </w:p>
        </w:tc>
      </w:tr>
      <w:tr>
        <w:trPr>
          <w:cantSplit/>
        </w:trPr>
        <w:tc>
          <w:tcPr>
            <w:tcW w:type="dxa" w:w="567"/>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F-6</w:t>
            </w:r>
          </w:p>
        </w:tc>
        <w:tc>
          <w:tcPr>
            <w:tcW w:type="dxa" w:w="72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4"/>
              </w:rPr>
              <w:t>Seven R*R objects form an internal multicomponent time structure.</w:t>
            </w:r>
          </w:p>
        </w:tc>
        <w:tc>
          <w:tcPr>
            <w:tcW w:type="dxa" w:w="147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PHY-HYP</w:t>
            </w:r>
          </w:p>
        </w:tc>
      </w:tr>
      <w:tr>
        <w:trPr>
          <w:cantSplit/>
        </w:trPr>
        <w:tc>
          <w:tcPr>
            <w:tcW w:type="dxa" w:w="567"/>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F-7</w:t>
            </w:r>
          </w:p>
        </w:tc>
        <w:tc>
          <w:tcPr>
            <w:tcW w:type="dxa" w:w="72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4"/>
              </w:rPr>
              <w:t>FOS and Time*Space possess an observable physical realization.</w:t>
            </w:r>
          </w:p>
        </w:tc>
        <w:tc>
          <w:tcPr>
            <w:tcW w:type="dxa" w:w="147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PHY-HYP</w:t>
            </w:r>
          </w:p>
        </w:tc>
      </w:tr>
      <w:tr>
        <w:trPr>
          <w:cantSplit/>
        </w:trPr>
        <w:tc>
          <w:tcPr>
            <w:tcW w:type="dxa" w:w="567"/>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F-8</w:t>
            </w:r>
          </w:p>
        </w:tc>
        <w:tc>
          <w:tcPr>
            <w:tcW w:type="dxa" w:w="72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4"/>
              </w:rPr>
              <w:t>The hierarchy and time-course operator describe physical temporal evolution.</w:t>
            </w:r>
          </w:p>
        </w:tc>
        <w:tc>
          <w:tcPr>
            <w:tcW w:type="dxa" w:w="147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PHY-HYP</w:t>
            </w:r>
          </w:p>
        </w:tc>
      </w:tr>
      <w:tr>
        <w:trPr>
          <w:cantSplit/>
        </w:trPr>
        <w:tc>
          <w:tcPr>
            <w:tcW w:type="dxa" w:w="567"/>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F-9</w:t>
            </w:r>
          </w:p>
        </w:tc>
        <w:tc>
          <w:tcPr>
            <w:tcW w:type="dxa" w:w="72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4"/>
              </w:rPr>
              <w:t>A physically defined complexity functional is monotone.</w:t>
            </w:r>
          </w:p>
        </w:tc>
        <w:tc>
          <w:tcPr>
            <w:tcW w:type="dxa" w:w="147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PHY-HYP</w:t>
            </w:r>
          </w:p>
        </w:tc>
      </w:tr>
      <w:tr>
        <w:trPr>
          <w:cantSplit/>
        </w:trPr>
        <w:tc>
          <w:tcPr>
            <w:tcW w:type="dxa" w:w="567"/>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F-10</w:t>
            </w:r>
          </w:p>
        </w:tc>
        <w:tc>
          <w:tcPr>
            <w:tcW w:type="dxa" w:w="72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4"/>
              </w:rPr>
              <w:t>The associator-dynamics equation is a valid covariant field equation.</w:t>
            </w:r>
          </w:p>
        </w:tc>
        <w:tc>
          <w:tcPr>
            <w:tcW w:type="dxa" w:w="147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PHY-HYP</w:t>
            </w:r>
          </w:p>
        </w:tc>
      </w:tr>
      <w:tr>
        <w:trPr>
          <w:cantSplit/>
        </w:trPr>
        <w:tc>
          <w:tcPr>
            <w:tcW w:type="dxa" w:w="567"/>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F-11</w:t>
            </w:r>
          </w:p>
        </w:tc>
        <w:tc>
          <w:tcPr>
            <w:tcW w:type="dxa" w:w="72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4"/>
              </w:rPr>
              <w:t>Associator dynamics predicts an observable early-universe regime.</w:t>
            </w:r>
          </w:p>
        </w:tc>
        <w:tc>
          <w:tcPr>
            <w:tcW w:type="dxa" w:w="147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PHY-HYP</w:t>
            </w:r>
          </w:p>
        </w:tc>
      </w:tr>
      <w:tr>
        <w:trPr>
          <w:cantSplit/>
        </w:trPr>
        <w:tc>
          <w:tcPr>
            <w:tcW w:type="dxa" w:w="567"/>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F-12</w:t>
            </w:r>
          </w:p>
        </w:tc>
        <w:tc>
          <w:tcPr>
            <w:tcW w:type="dxa" w:w="72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4"/>
              </w:rPr>
              <w:t>The associator localizes in matter and produces measurable effects.</w:t>
            </w:r>
          </w:p>
        </w:tc>
        <w:tc>
          <w:tcPr>
            <w:tcW w:type="dxa" w:w="147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PHY-HYP</w:t>
            </w:r>
          </w:p>
        </w:tc>
      </w:tr>
      <w:tr>
        <w:trPr>
          <w:cantSplit/>
        </w:trPr>
        <w:tc>
          <w:tcPr>
            <w:tcW w:type="dxa" w:w="567"/>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F-13</w:t>
            </w:r>
          </w:p>
        </w:tc>
        <w:tc>
          <w:tcPr>
            <w:tcW w:type="dxa" w:w="725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4"/>
              </w:rPr>
              <w:t>The observer-accessible structural branch is physically finite.</w:t>
            </w:r>
          </w:p>
        </w:tc>
        <w:tc>
          <w:tcPr>
            <w:tcW w:type="dxa" w:w="1474"/>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PHY-HYP</w:t>
            </w:r>
          </w:p>
        </w:tc>
      </w:tr>
      <w:tr>
        <w:trPr>
          <w:cantSplit/>
        </w:trPr>
        <w:tc>
          <w:tcPr>
            <w:tcW w:type="dxa" w:w="567"/>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F-14</w:t>
            </w:r>
          </w:p>
        </w:tc>
        <w:tc>
          <w:tcPr>
            <w:tcW w:type="dxa" w:w="725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4"/>
              </w:rPr>
              <w:t>PN.2 gives testable corrections to GR/quantum theory or explains singularities/dark sectors.</w:t>
            </w:r>
          </w:p>
        </w:tc>
        <w:tc>
          <w:tcPr>
            <w:tcW w:type="dxa" w:w="1474"/>
            <w:shd w:fill="F7F9FB"/>
            <w:tcMar>
              <w:top w:w="80" w:type="dxa"/>
              <w:start w:w="100" w:type="dxa"/>
              <w:bottom w:w="80" w:type="dxa"/>
              <w:end w:w="100" w:type="dxa"/>
            </w:tcMar>
            <w:vAlign w:val="center"/>
          </w:tcPr>
          <w:p>
            <w:pPr>
              <w:keepNext w:val="0"/>
              <w:keepLines w:val="0"/>
              <w:spacing w:before="0" w:after="0" w:line="240" w:lineRule="auto"/>
              <w:jc w:val="center"/>
            </w:pPr>
            <w:r>
              <w:rPr>
                <w:rFonts w:ascii="DejaVu Serif" w:hAnsi="DejaVu Serif" w:eastAsia="DejaVu Serif"/>
                <w:b w:val="0"/>
                <w:i w:val="0"/>
                <w:sz w:val="14"/>
              </w:rPr>
              <w:t>PHY-HYP</w:t>
            </w:r>
          </w:p>
        </w:tc>
      </w:tr>
    </w:tbl>
    <w:p>
      <w:pPr>
        <w:spacing w:after="40"/>
      </w:pP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MINIMUM EXTERNAL STANDARD. </w:t>
            </w:r>
            <w:r>
              <w:rPr>
                <w:rFonts w:ascii="DejaVu Serif" w:hAnsi="DejaVu Serif" w:eastAsia="DejaVu Serif"/>
                <w:b w:val="0"/>
                <w:i w:val="0"/>
                <w:sz w:val="18"/>
              </w:rPr>
              <w:t>Each physical hypothesis requires operational observables, units, a null model, preregistered discrimination criteria, uncertainty accounting, open data/code, and reproduction by an independent group.</w:t>
            </w:r>
          </w:p>
        </w:tc>
      </w:tr>
    </w:tbl>
    <w:p>
      <w:pPr>
        <w:spacing w:after="20"/>
      </w:pPr>
    </w:p>
    <w:p>
      <w:pPr>
        <w:pStyle w:val="Heading2"/>
        <w:keepNext/>
        <w:keepLines w:val="0"/>
        <w:spacing w:before="160" w:after="80" w:line="240" w:lineRule="auto"/>
      </w:pPr>
      <w:r>
        <w:t>27.7. Internal Appendix A — Four Explicit Models for PO-11</w:t>
      </w:r>
    </w:p>
    <w:p>
      <w:pPr>
        <w:keepNext w:val="0"/>
        <w:keepLines w:val="0"/>
        <w:spacing w:before="0" w:after="100" w:line="259" w:lineRule="auto"/>
      </w:pPr>
      <w:r>
        <w:rPr>
          <w:rFonts w:ascii="DejaVu Serif" w:hAnsi="DejaVu Serif" w:eastAsia="DejaVu Serif"/>
          <w:b w:val="0"/>
          <w:i w:val="0"/>
          <w:sz w:val="20"/>
        </w:rPr>
        <w:t>All four cases use the signed protocol coordinate Dfrak(b_L)=-1/2 and Dfrak(b_R)=+1/2, so Delta_D=1 and the midpoint estimate d_hat=0 has e_D=1/2. Cases A.2–A.4 use the auxiliary real algebra A2=R^2 with basis e1,e2 and product</w:t>
      </w:r>
    </w:p>
    <w:p>
      <w:pPr>
        <w:keepNext w:val="0"/>
        <w:keepLines/>
        <w:spacing w:before="80" w:after="140" w:line="240" w:lineRule="auto"/>
        <w:jc w:val="center"/>
      </w:pPr>
      <w:r>
        <w:rPr>
          <w:rFonts w:ascii="DejaVu Serif" w:hAnsi="DejaVu Serif" w:eastAsia="DejaVu Serif"/>
          <w:b w:val="0"/>
          <w:i w:val="0"/>
          <w:sz w:val="22"/>
        </w:rPr>
        <w:t>e1 odot e1=e2,   e2 odot e1=e2,   e1 odot e2=-e2,   e2 odot e2=0.</w:t>
      </w:r>
      <w:r>
        <w:rPr>
          <w:rFonts w:ascii="DejaVu Sans" w:hAnsi="DejaVu Sans" w:eastAsia="DejaVu Sans"/>
          <w:b w:val="0"/>
          <w:i/>
          <w:color w:val="666666"/>
          <w:sz w:val="16"/>
        </w:rPr>
        <w:t xml:space="preserve">    [RU p. 151]</w:t>
      </w:r>
    </w:p>
    <w:p>
      <w:pPr>
        <w:keepNext w:val="0"/>
        <w:keepLines/>
        <w:spacing w:before="80" w:after="140" w:line="240" w:lineRule="auto"/>
        <w:jc w:val="center"/>
      </w:pPr>
      <w:r>
        <w:rPr>
          <w:rFonts w:ascii="DejaVu Serif" w:hAnsi="DejaVu Serif" w:eastAsia="DejaVu Serif"/>
          <w:b w:val="0"/>
          <w:i w:val="0"/>
          <w:sz w:val="22"/>
        </w:rPr>
        <w:t>(alpha,beta) odot (gamma,delta)=(0, alpha gamma + beta gamma - alpha delta),   ||(alpha,beta)||=2 sqrt(alpha^2+beta^2).</w:t>
      </w:r>
      <w:r>
        <w:rPr>
          <w:rFonts w:ascii="DejaVu Sans" w:hAnsi="DejaVu Sans" w:eastAsia="DejaVu Sans"/>
          <w:b w:val="0"/>
          <w:i/>
          <w:color w:val="666666"/>
          <w:sz w:val="16"/>
        </w:rPr>
        <w:t xml:space="preserve">    [RU p. 151]</w:t>
      </w:r>
    </w:p>
    <w:p>
      <w:pPr>
        <w:keepNext w:val="0"/>
        <w:keepLines w:val="0"/>
        <w:spacing w:before="80" w:after="60" w:line="259" w:lineRule="auto"/>
      </w:pPr>
      <w:r>
        <w:rPr>
          <w:rFonts w:ascii="DejaVu Serif" w:hAnsi="DejaVu Serif" w:eastAsia="DejaVu Serif"/>
          <w:b/>
          <w:i w:val="0"/>
          <w:sz w:val="18"/>
        </w:rPr>
        <w:t>Exact witness matrix of Appendix A</w:t>
      </w:r>
    </w:p>
    <w:tbl>
      <w:tblPr>
        <w:tblW w:type="auto" w:w="0"/>
        <w:jc w:val="center"/>
        <w:tblLayout w:type="fixed"/>
        <w:tblLook w:firstColumn="1" w:firstRow="1" w:lastColumn="0" w:lastRow="0" w:noHBand="0" w:noVBand="1" w:val="04A0"/>
      </w:tblPr>
      <w:tblGrid>
        <w:gridCol w:w="2517"/>
        <w:gridCol w:w="2517"/>
        <w:gridCol w:w="2517"/>
        <w:gridCol w:w="2517"/>
      </w:tblGrid>
      <w:tr>
        <w:trPr>
          <w:tblHeader w:val="true"/>
        </w:trPr>
        <w:tc>
          <w:tcPr>
            <w:tcW w:type="dxa" w:w="624"/>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5"/>
              </w:rPr>
              <w:t>Case</w:t>
            </w:r>
          </w:p>
        </w:tc>
        <w:tc>
          <w:tcPr>
            <w:tcW w:type="dxa" w:w="2835"/>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5"/>
              </w:rPr>
              <w:t>Data</w:t>
            </w:r>
          </w:p>
        </w:tc>
        <w:tc>
          <w:tcPr>
            <w:tcW w:type="dxa" w:w="3402"/>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5"/>
              </w:rPr>
              <w:t>Exact result</w:t>
            </w:r>
          </w:p>
        </w:tc>
        <w:tc>
          <w:tcPr>
            <w:tcW w:type="dxa" w:w="2494"/>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5"/>
              </w:rPr>
              <w:t>Role</w:t>
            </w:r>
          </w:p>
        </w:tc>
      </w:tr>
      <w:tr>
        <w:trPr>
          <w:cantSplit/>
        </w:trPr>
        <w:tc>
          <w:tcPr>
            <w:tcW w:type="dxa" w:w="62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A.1</w:t>
            </w:r>
          </w:p>
        </w:tc>
        <w:tc>
          <w:tcPr>
            <w:tcW w:type="dxa" w:w="283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A=R; u=(1,2,3); S(t)=|t|.</w:t>
            </w:r>
          </w:p>
        </w:tc>
        <w:tc>
          <w:tcPr>
            <w:tcW w:type="dxa" w:w="340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r_L=r_R=6; K=0; both PN.2 right sides 0.</w:t>
            </w:r>
          </w:p>
        </w:tc>
        <w:tc>
          <w:tcPr>
            <w:tcW w:type="dxa" w:w="249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Counterexample to any unconditional positive lower bound.</w:t>
            </w:r>
          </w:p>
        </w:tc>
      </w:tr>
      <w:tr>
        <w:trPr>
          <w:cantSplit/>
        </w:trPr>
        <w:tc>
          <w:tcPr>
            <w:tcW w:type="dxa" w:w="62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A.2</w:t>
            </w:r>
          </w:p>
        </w:tc>
        <w:tc>
          <w:tcPr>
            <w:tcW w:type="dxa" w:w="283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A2; u=(e1,e1,e1); S(v)=||v||.</w:t>
            </w:r>
          </w:p>
        </w:tc>
        <w:tc>
          <w:tcPr>
            <w:tcW w:type="dxa" w:w="340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r_L=e2, r_R=-e2; ||K||=4; Delta_S=0; PN.2-R: 1=1.</w:t>
            </w:r>
          </w:p>
        </w:tc>
        <w:tc>
          <w:tcPr>
            <w:tcW w:type="dxa" w:w="249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Nonassociativity may be invisible to a scalar norm.</w:t>
            </w:r>
          </w:p>
        </w:tc>
      </w:tr>
      <w:tr>
        <w:trPr>
          <w:cantSplit/>
        </w:trPr>
        <w:tc>
          <w:tcPr>
            <w:tcW w:type="dxa" w:w="62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A.3</w:t>
            </w:r>
          </w:p>
        </w:tc>
        <w:tc>
          <w:tcPr>
            <w:tcW w:type="dxa" w:w="283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A2; S(alpha e1+beta e2)=2 beta; u=(e1,2e1,3e1).</w:t>
            </w:r>
          </w:p>
        </w:tc>
        <w:tc>
          <w:tcPr>
            <w:tcW w:type="dxa" w:w="340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K=12e2; ||K||=Delta_S=24; c=1; both bounds attain 6.</w:t>
            </w:r>
          </w:p>
        </w:tc>
        <w:tc>
          <w:tcPr>
            <w:tcW w:type="dxa" w:w="249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Global c-separation and sharp factor 1/4.</w:t>
            </w:r>
          </w:p>
        </w:tc>
      </w:tr>
      <w:tr>
        <w:trPr>
          <w:cantSplit/>
        </w:trPr>
        <w:tc>
          <w:tcPr>
            <w:tcW w:type="dxa" w:w="62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A.4</w:t>
            </w:r>
          </w:p>
        </w:tc>
        <w:tc>
          <w:tcPr>
            <w:tcW w:type="dxa" w:w="283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A2 on explicit compact box Omega; same S.</w:t>
            </w:r>
          </w:p>
        </w:tc>
        <w:tc>
          <w:tcPr>
            <w:tcW w:type="dxa" w:w="340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inf_Omega ||K||=epsilon_minus=3; kappa_Omega=3/4, attained at u_star.</w:t>
            </w:r>
          </w:p>
        </w:tc>
        <w:tc>
          <w:tcPr>
            <w:tcW w:type="dxa" w:w="249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Exact positive uniform lower bound on a declared domain.</w:t>
            </w:r>
          </w:p>
        </w:tc>
      </w:tr>
    </w:tbl>
    <w:p>
      <w:pPr>
        <w:spacing w:after="40"/>
      </w:pPr>
    </w:p>
    <w:p>
      <w:pPr>
        <w:keepNext w:val="0"/>
        <w:keepLines w:val="0"/>
        <w:spacing w:before="0" w:after="100" w:line="259" w:lineRule="auto"/>
      </w:pPr>
      <w:r>
        <w:rPr>
          <w:rFonts w:ascii="DejaVu Serif" w:hAnsi="DejaVu Serif" w:eastAsia="DejaVu Serif"/>
          <w:b w:val="0"/>
          <w:i w:val="0"/>
          <w:sz w:val="20"/>
        </w:rPr>
        <w:t>For x=(a,b), y=(p,q), z=(r,s) in A2, the associator is</w:t>
      </w:r>
    </w:p>
    <w:p>
      <w:pPr>
        <w:keepNext w:val="0"/>
        <w:keepLines/>
        <w:spacing w:before="80" w:after="140" w:line="240" w:lineRule="auto"/>
        <w:jc w:val="center"/>
      </w:pPr>
      <w:r>
        <w:rPr>
          <w:rFonts w:ascii="DejaVu Serif" w:hAnsi="DejaVu Serif" w:eastAsia="DejaVu Serif"/>
          <w:b w:val="0"/>
          <w:i w:val="0"/>
          <w:sz w:val="22"/>
        </w:rPr>
        <w:t>K(x,y,z)=(0, 2apr+bpr-aps)=(0, p[(2a+b)r-as]).</w:t>
      </w:r>
      <w:r>
        <w:rPr>
          <w:rFonts w:ascii="DejaVu Sans" w:hAnsi="DejaVu Sans" w:eastAsia="DejaVu Sans"/>
          <w:b w:val="0"/>
          <w:i/>
          <w:color w:val="666666"/>
          <w:sz w:val="16"/>
        </w:rPr>
        <w:t xml:space="preserve">    [RU p. 154]</w:t>
      </w:r>
    </w:p>
    <w:p>
      <w:pPr>
        <w:keepNext w:val="0"/>
        <w:keepLines w:val="0"/>
        <w:spacing w:before="0" w:after="100" w:line="259" w:lineRule="auto"/>
      </w:pPr>
      <w:r>
        <w:rPr>
          <w:rFonts w:ascii="DejaVu Serif" w:hAnsi="DejaVu Serif" w:eastAsia="DejaVu Serif"/>
          <w:b w:val="0"/>
          <w:i w:val="0"/>
          <w:sz w:val="20"/>
        </w:rPr>
        <w:t>On the compact box a,p,r in [1,2] and b,q,s in [-1/4,1/4], the source proves p[(2a+b)r-as] &gt;= 3/2 and therefore ||K|| &gt;= 3. The point u_star=(e1-(1/4)e2, e1, e1+(1/4)e2) attains equality.</w:t>
      </w:r>
    </w:p>
    <w:p>
      <w:pPr>
        <w:keepNext w:val="0"/>
        <w:keepLines/>
        <w:spacing w:before="80" w:after="140" w:line="240" w:lineRule="auto"/>
        <w:jc w:val="center"/>
      </w:pPr>
      <w:r>
        <w:rPr>
          <w:rFonts w:ascii="DejaVu Serif" w:hAnsi="DejaVu Serif" w:eastAsia="DejaVu Serif"/>
          <w:b w:val="0"/>
          <w:i w:val="0"/>
          <w:sz w:val="22"/>
        </w:rPr>
        <w:t>epsilon_minus=3,   c=1,   Delta_D=1,   kappa_Omega=c epsilon_minus Delta_D/4=3/4.</w:t>
      </w:r>
      <w:r>
        <w:rPr>
          <w:rFonts w:ascii="DejaVu Sans" w:hAnsi="DejaVu Sans" w:eastAsia="DejaVu Sans"/>
          <w:b w:val="0"/>
          <w:i/>
          <w:color w:val="666666"/>
          <w:sz w:val="16"/>
        </w:rPr>
        <w:t xml:space="preserve">    [RU pp. 154–155]</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APPENDIX A SCOPE. </w:t>
            </w:r>
            <w:r>
              <w:rPr>
                <w:rFonts w:ascii="DejaVu Serif" w:hAnsi="DejaVu Serif" w:eastAsia="DejaVu Serif"/>
                <w:b w:val="0"/>
                <w:i w:val="0"/>
                <w:sz w:val="18"/>
              </w:rPr>
              <w:t>The four models close PO-11 only inside the abstract PN.2 theorem package. They do not identify A2 with the physical R*R object and do not supply physical units or an experiment.</w:t>
            </w:r>
          </w:p>
        </w:tc>
      </w:tr>
    </w:tbl>
    <w:p>
      <w:pPr>
        <w:spacing w:after="20"/>
      </w:pPr>
    </w:p>
    <w:p>
      <w:pPr>
        <w:pStyle w:val="Heading2"/>
        <w:keepNext/>
        <w:keepLines w:val="0"/>
        <w:spacing w:before="160" w:after="80" w:line="240" w:lineRule="auto"/>
      </w:pPr>
      <w:r>
        <w:t>27.8. Internal Appendix B — Source-Documented Certificate for PO-12</w:t>
      </w:r>
    </w:p>
    <w:p>
      <w:pPr>
        <w:keepNext w:val="0"/>
        <w:keepLines w:val="0"/>
        <w:spacing w:before="0" w:after="100" w:line="259" w:lineRule="auto"/>
      </w:pPr>
      <w:r>
        <w:rPr>
          <w:rFonts w:ascii="DejaVu Serif" w:hAnsi="DejaVu Serif" w:eastAsia="DejaVu Serif"/>
          <w:b w:val="0"/>
          <w:i w:val="0"/>
          <w:sz w:val="20"/>
        </w:rPr>
        <w:t>Identifier: PN2-PO12-A2-v1.0. The Russian source describes a standard-library Python bundle containing the computation, tests, manifest, results, expected/obtained table, deterministic bundle builder, instructions, and SHA-256 list. This English checkpoint translates that record; it does not claim that the archive was independently rerun in the present environment.</w:t>
      </w:r>
    </w:p>
    <w:p>
      <w:pPr>
        <w:keepNext w:val="0"/>
        <w:keepLines/>
        <w:spacing w:before="80" w:after="140" w:line="240" w:lineRule="auto"/>
        <w:jc w:val="center"/>
      </w:pPr>
      <w:r>
        <w:rPr>
          <w:rFonts w:ascii="DejaVu Serif" w:hAnsi="DejaVu Serif" w:eastAsia="DejaVu Serif"/>
          <w:b w:val="0"/>
          <w:i w:val="0"/>
          <w:sz w:val="22"/>
        </w:rPr>
        <w:t>C[2,1,1]=1,   C[2,2,1]=1,   C[2,1,2]=-1; all other structural constants vanish.</w:t>
      </w:r>
      <w:r>
        <w:rPr>
          <w:rFonts w:ascii="DejaVu Sans" w:hAnsi="DejaVu Sans" w:eastAsia="DejaVu Sans"/>
          <w:b w:val="0"/>
          <w:i/>
          <w:color w:val="666666"/>
          <w:sz w:val="16"/>
        </w:rPr>
        <w:t xml:space="preserve">    [RU p. 156]</w:t>
      </w:r>
    </w:p>
    <w:p>
      <w:pPr>
        <w:keepNext w:val="0"/>
        <w:keepLines/>
        <w:spacing w:before="80" w:after="140" w:line="240" w:lineRule="auto"/>
        <w:jc w:val="center"/>
      </w:pPr>
      <w:r>
        <w:rPr>
          <w:rFonts w:ascii="DejaVu Serif" w:hAnsi="DejaVu Serif" w:eastAsia="DejaVu Serif"/>
          <w:b w:val="0"/>
          <w:i w:val="0"/>
          <w:sz w:val="22"/>
        </w:rPr>
        <w:t>A[m,i,j,k]=sum_l (C[l,i,j] C[m,l,k] - C[l,j,k] C[m,i,l]).</w:t>
      </w:r>
      <w:r>
        <w:rPr>
          <w:rFonts w:ascii="DejaVu Sans" w:hAnsi="DejaVu Sans" w:eastAsia="DejaVu Sans"/>
          <w:b w:val="0"/>
          <w:i/>
          <w:color w:val="666666"/>
          <w:sz w:val="16"/>
        </w:rPr>
        <w:t xml:space="preserve">    [RU p. 156]</w:t>
      </w:r>
    </w:p>
    <w:p>
      <w:pPr>
        <w:keepNext w:val="0"/>
        <w:keepLines w:val="0"/>
        <w:spacing w:before="80" w:after="60" w:line="259" w:lineRule="auto"/>
      </w:pPr>
      <w:r>
        <w:rPr>
          <w:rFonts w:ascii="DejaVu Serif" w:hAnsi="DejaVu Serif" w:eastAsia="DejaVu Serif"/>
          <w:b/>
          <w:i w:val="0"/>
          <w:sz w:val="18"/>
        </w:rPr>
        <w:t>Source-reported certificate matrix</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1984"/>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5"/>
              </w:rPr>
              <w:t>Test item</w:t>
            </w:r>
          </w:p>
        </w:tc>
        <w:tc>
          <w:tcPr>
            <w:tcW w:type="dxa" w:w="5839"/>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5"/>
              </w:rPr>
              <w:t>Expected and source-reported obtained value</w:t>
            </w:r>
          </w:p>
        </w:tc>
        <w:tc>
          <w:tcPr>
            <w:tcW w:type="dxa" w:w="1531"/>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5"/>
              </w:rPr>
              <w:t>Source verdict</w:t>
            </w:r>
          </w:p>
        </w:tc>
      </w:tr>
      <w:tr>
        <w:trPr>
          <w:cantSplit/>
        </w:trPr>
        <w:tc>
          <w:tcPr>
            <w:tcW w:type="dxa" w:w="198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A.1</w:t>
            </w:r>
          </w:p>
        </w:tc>
        <w:tc>
          <w:tcPr>
            <w:tcW w:type="dxa" w:w="583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K=0; Delta_S=e_S=e_R=0; e_D=1/2; bounds 0=0.</w:t>
            </w:r>
          </w:p>
        </w:tc>
        <w:tc>
          <w:tcPr>
            <w:tcW w:type="dxa" w:w="153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PASS</w:t>
            </w:r>
          </w:p>
        </w:tc>
      </w:tr>
      <w:tr>
        <w:trPr>
          <w:cantSplit/>
        </w:trPr>
        <w:tc>
          <w:tcPr>
            <w:tcW w:type="dxa" w:w="198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A.2</w:t>
            </w:r>
          </w:p>
        </w:tc>
        <w:tc>
          <w:tcPr>
            <w:tcW w:type="dxa" w:w="583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K=(0,2); ||K||=4; Delta_S=e_S=0; e_R=2; PN.2-R: 1=1.</w:t>
            </w:r>
          </w:p>
        </w:tc>
        <w:tc>
          <w:tcPr>
            <w:tcW w:type="dxa" w:w="153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PASS</w:t>
            </w:r>
          </w:p>
        </w:tc>
      </w:tr>
      <w:tr>
        <w:trPr>
          <w:cantSplit/>
        </w:trPr>
        <w:tc>
          <w:tcPr>
            <w:tcW w:type="dxa" w:w="198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A.3</w:t>
            </w:r>
          </w:p>
        </w:tc>
        <w:tc>
          <w:tcPr>
            <w:tcW w:type="dxa" w:w="583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K=(0,12); ||K||=Delta_S=24; c=1; e_S=e_R=12; bounds 6=6.</w:t>
            </w:r>
          </w:p>
        </w:tc>
        <w:tc>
          <w:tcPr>
            <w:tcW w:type="dxa" w:w="153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PASS</w:t>
            </w:r>
          </w:p>
        </w:tc>
      </w:tr>
      <w:tr>
        <w:trPr>
          <w:cantSplit/>
        </w:trPr>
        <w:tc>
          <w:tcPr>
            <w:tcW w:type="dxa" w:w="198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A.4</w:t>
            </w:r>
          </w:p>
        </w:tc>
        <w:tc>
          <w:tcPr>
            <w:tcW w:type="dxa" w:w="583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K=(0,3/2); ||K||=Delta_S=epsilon_minus=3; kappa=3/4; bounds 3/4=3/4.</w:t>
            </w:r>
          </w:p>
        </w:tc>
        <w:tc>
          <w:tcPr>
            <w:tcW w:type="dxa" w:w="153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PASS</w:t>
            </w:r>
          </w:p>
        </w:tc>
      </w:tr>
      <w:tr>
        <w:trPr>
          <w:cantSplit/>
        </w:trPr>
        <w:tc>
          <w:tcPr>
            <w:tcW w:type="dxa" w:w="198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Grid</w:t>
            </w:r>
          </w:p>
        </w:tc>
        <w:tc>
          <w:tcPr>
            <w:tcW w:type="dxa" w:w="583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729 rational points in Omega satisfy the exact K formula, Delta_S=||K||, and ||K||&gt;=3.</w:t>
            </w:r>
          </w:p>
        </w:tc>
        <w:tc>
          <w:tcPr>
            <w:tcW w:type="dxa" w:w="153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PASS</w:t>
            </w:r>
          </w:p>
        </w:tc>
      </w:tr>
      <w:tr>
        <w:trPr>
          <w:cantSplit/>
        </w:trPr>
        <w:tc>
          <w:tcPr>
            <w:tcW w:type="dxa" w:w="198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Out-of-domain boundary</w:t>
            </w:r>
          </w:p>
        </w:tc>
        <w:tc>
          <w:tcPr>
            <w:tcW w:type="dxa" w:w="583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p=1/2 produces ||K||=3/2&lt;3, confirming domain dependence.</w:t>
            </w:r>
          </w:p>
        </w:tc>
        <w:tc>
          <w:tcPr>
            <w:tcW w:type="dxa" w:w="153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PASS</w:t>
            </w:r>
          </w:p>
        </w:tc>
      </w:tr>
    </w:tbl>
    <w:p>
      <w:pPr>
        <w:spacing w:after="40"/>
      </w:pPr>
    </w:p>
    <w:p>
      <w:pPr>
        <w:keepNext w:val="0"/>
        <w:keepLines w:val="0"/>
        <w:spacing w:before="0" w:after="100" w:line="259" w:lineRule="auto"/>
      </w:pPr>
      <w:r>
        <w:rPr>
          <w:rFonts w:ascii="DejaVu Serif" w:hAnsi="DejaVu Serif" w:eastAsia="DejaVu Serif"/>
          <w:b w:val="0"/>
          <w:i w:val="0"/>
          <w:sz w:val="20"/>
        </w:rPr>
        <w:t>The source records 11 automated tests and the archive digest</w:t>
      </w:r>
    </w:p>
    <w:p>
      <w:pPr>
        <w:keepNext w:val="0"/>
        <w:keepLines/>
        <w:spacing w:before="80" w:after="140" w:line="240" w:lineRule="auto"/>
        <w:jc w:val="center"/>
      </w:pPr>
      <w:r>
        <w:rPr>
          <w:rFonts w:ascii="DejaVu Serif" w:hAnsi="DejaVu Serif" w:eastAsia="DejaVu Serif"/>
          <w:b w:val="0"/>
          <w:i w:val="0"/>
          <w:sz w:val="22"/>
        </w:rPr>
        <w:t>SHA-256(pn2_po12_cert_v1.0.zip)=bbcb2715a3e5ab7688dfe1ad317a68f23b163ae10915982216111142ce7da2ad.</w:t>
      </w:r>
      <w:r>
        <w:rPr>
          <w:rFonts w:ascii="DejaVu Sans" w:hAnsi="DejaVu Sans" w:eastAsia="DejaVu Sans"/>
          <w:b w:val="0"/>
          <w:i/>
          <w:color w:val="666666"/>
          <w:sz w:val="16"/>
        </w:rPr>
        <w:t xml:space="preserve">    [RU p. 158]</w:t>
      </w:r>
    </w:p>
    <w:p>
      <w:pPr>
        <w:pStyle w:val="ListBullet"/>
        <w:keepNext w:val="0"/>
        <w:keepLines w:val="0"/>
        <w:spacing w:before="0" w:after="60" w:line="252" w:lineRule="auto"/>
      </w:pPr>
      <w:r>
        <w:rPr>
          <w:rFonts w:ascii="DejaVu Serif" w:hAnsi="DejaVu Serif" w:eastAsia="DejaVu Serif"/>
          <w:b w:val="0"/>
          <w:i w:val="0"/>
          <w:sz w:val="19"/>
        </w:rPr>
        <w:t>The certificate establishes the published A2 operation, associator, four example values, Delta_D=1, e_D=1/2, c=1, epsilon_minus=3, kappa_Omega=3/4, and source-documented deterministic rebuild properties.</w:t>
      </w:r>
    </w:p>
    <w:p>
      <w:pPr>
        <w:pStyle w:val="ListBullet"/>
        <w:keepNext w:val="0"/>
        <w:keepLines w:val="0"/>
        <w:spacing w:before="0" w:after="60" w:line="252" w:lineRule="auto"/>
      </w:pPr>
      <w:r>
        <w:rPr>
          <w:rFonts w:ascii="DejaVu Serif" w:hAnsi="DejaVu Serif" w:eastAsia="DejaVu Serif"/>
          <w:b w:val="0"/>
          <w:i w:val="0"/>
          <w:sz w:val="19"/>
        </w:rPr>
        <w:t>It does not establish that A2 is the physical R*R algebra, the physical meaning of Dfrak or S, PO-1–PO-10 for R*R, a bridge to hbar or PN.1, F-1–F-14, or universal physical validity.</w:t>
      </w:r>
    </w:p>
    <w:p>
      <w:pPr>
        <w:pStyle w:val="ListBullet"/>
        <w:keepNext w:val="0"/>
        <w:keepLines w:val="0"/>
        <w:spacing w:before="0" w:after="60" w:line="252" w:lineRule="auto"/>
      </w:pPr>
      <w:r>
        <w:rPr>
          <w:rFonts w:ascii="DejaVu Serif" w:hAnsi="DejaVu Serif" w:eastAsia="DejaVu Serif"/>
          <w:b w:val="0"/>
          <w:i w:val="0"/>
          <w:sz w:val="19"/>
        </w:rPr>
        <w:t>Chapter 31 further records that the archive itself was not present in that assembly, so an external replay remains open.</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STATUS. </w:t>
            </w:r>
            <w:r>
              <w:rPr>
                <w:rFonts w:ascii="DejaVu Serif" w:hAnsi="DejaVu Serif" w:eastAsia="DejaVu Serif"/>
                <w:b w:val="0"/>
                <w:i w:val="0"/>
                <w:sz w:val="18"/>
              </w:rPr>
              <w:t>PO-12 = CLOSED-ABSTRACT / SOURCE-CERTIFICATE. Independent replay in a separate environment remains OPEN. NUM is not EXT-RUN and not EMP-OBS.</w:t>
            </w:r>
          </w:p>
        </w:tc>
      </w:tr>
    </w:tbl>
    <w:p>
      <w:pPr>
        <w:spacing w:after="20"/>
      </w:pPr>
    </w:p>
    <w:p>
      <w:pPr>
        <w:pStyle w:val="Heading1"/>
        <w:keepNext/>
        <w:keepLines w:val="0"/>
        <w:spacing w:before="200" w:after="80" w:line="240" w:lineRule="auto"/>
      </w:pPr>
      <w:bookmarkStart w:id="1027" w:name="T1_CH_28"/>
      <w:r>
        <w:t>Chapter 28. Predictive Limits and the Finite Horizon of a Reper</w:t>
      </w:r>
      <w:bookmarkEnd w:id="1027"/>
    </w:p>
    <w:p>
      <w:pPr>
        <w:keepNext w:val="0"/>
        <w:keepLines w:val="0"/>
        <w:spacing w:before="0" w:after="100" w:line="259" w:lineRule="auto"/>
      </w:pPr>
      <w:r>
        <w:rPr>
          <w:rFonts w:ascii="DejaVu Serif" w:hAnsi="DejaVu Serif" w:eastAsia="DejaVu Serif"/>
          <w:b w:val="0"/>
          <w:i/>
          <w:sz w:val="18"/>
        </w:rPr>
        <w:t>Russian source locator: pp. 160–161</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A Reper is not authorised forever. Its forecast is valid only while every declared political, ecological, spatial, temporal, and ontological gate remains inside its domain and above its boundary. The horizon is therefore a limit of responsibility of current knowledge.</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760720" cy="2531225"/>
            <wp:docPr id="31" name="Picture 31"/>
            <wp:cNvGraphicFramePr>
              <a:graphicFrameLocks noChangeAspect="1"/>
            </wp:cNvGraphicFramePr>
            <a:graphic>
              <a:graphicData uri="http://schemas.openxmlformats.org/drawingml/2006/picture">
                <pic:pic>
                  <pic:nvPicPr>
                    <pic:cNvPr id="0" name="fig28_limits.png"/>
                    <pic:cNvPicPr/>
                  </pic:nvPicPr>
                  <pic:blipFill>
                    <a:blip r:embed="rId43"/>
                    <a:stretch>
                      <a:fillRect/>
                    </a:stretch>
                  </pic:blipFill>
                  <pic:spPr>
                    <a:xfrm>
                      <a:off x="0" y="0"/>
                      <a:ext cx="5760720" cy="2531225"/>
                    </a:xfrm>
                    <a:prstGeom prst="rect"/>
                  </pic:spPr>
                </pic:pic>
              </a:graphicData>
            </a:graphic>
          </wp:inline>
        </w:drawing>
      </w:r>
    </w:p>
    <w:p>
      <w:pPr>
        <w:keepNext w:val="0"/>
        <w:keepLines/>
        <w:spacing w:before="0" w:after="140" w:line="240" w:lineRule="auto"/>
        <w:jc w:val="center"/>
      </w:pPr>
      <w:bookmarkStart w:id="1088" w:name="T1_FIG_030"/>
      <w:r>
        <w:rPr>
          <w:rFonts w:ascii="DejaVu Serif" w:hAnsi="DejaVu Serif" w:eastAsia="DejaVu Serif"/>
          <w:b w:val="0"/>
          <w:i/>
          <w:color w:val="666666"/>
          <w:sz w:val="17"/>
        </w:rPr>
        <w:t>Figure 28.1. The forecast horizon is controlled by the weakest of five typed limit functions.</w:t>
      </w:r>
      <w:bookmarkEnd w:id="1088"/>
    </w:p>
    <w:p>
      <w:pPr>
        <w:pStyle w:val="Heading2"/>
        <w:keepNext/>
        <w:keepLines w:val="0"/>
        <w:spacing w:before="160" w:after="80" w:line="240" w:lineRule="auto"/>
      </w:pPr>
      <w:r>
        <w:t>28.1. Typed Limit Functions</w:t>
      </w:r>
    </w:p>
    <w:p>
      <w:pPr>
        <w:keepNext w:val="0"/>
        <w:keepLines w:val="0"/>
        <w:spacing w:before="0" w:after="100" w:line="259" w:lineRule="auto"/>
      </w:pPr>
      <w:r>
        <w:rPr>
          <w:rFonts w:ascii="DejaVu Serif" w:hAnsi="DejaVu Serif" w:eastAsia="DejaVu Serif"/>
          <w:b w:val="0"/>
          <w:i w:val="0"/>
          <w:sz w:val="20"/>
        </w:rPr>
        <w:t>Let Lambda_lim={POL,ECO,RAUM,TIME,ONT}. For each alpha define a partial function</w:t>
      </w:r>
    </w:p>
    <w:p>
      <w:pPr>
        <w:keepNext w:val="0"/>
        <w:keepLines/>
        <w:spacing w:before="80" w:after="140" w:line="240" w:lineRule="auto"/>
        <w:jc w:val="center"/>
      </w:pPr>
      <w:r>
        <w:rPr>
          <w:rFonts w:ascii="DejaVu Serif" w:hAnsi="DejaVu Serif" w:eastAsia="DejaVu Serif"/>
          <w:b w:val="0"/>
          <w:i w:val="0"/>
          <w:sz w:val="22"/>
        </w:rPr>
        <w:t>g_alpha : Dom(g_alpha) subset X x Rcal x T -&gt; R.</w:t>
      </w:r>
      <w:r>
        <w:rPr>
          <w:rFonts w:ascii="DejaVu Sans" w:hAnsi="DejaVu Sans" w:eastAsia="DejaVu Sans"/>
          <w:b w:val="0"/>
          <w:i/>
          <w:color w:val="666666"/>
          <w:sz w:val="16"/>
        </w:rPr>
        <w:t xml:space="preserve">    [RU p. 160]</w:t>
      </w:r>
    </w:p>
    <w:p>
      <w:pPr>
        <w:keepNext w:val="0"/>
        <w:keepLines w:val="0"/>
        <w:spacing w:before="0" w:after="100" w:line="259" w:lineRule="auto"/>
      </w:pPr>
      <w:r>
        <w:rPr>
          <w:rFonts w:ascii="DejaVu Serif" w:hAnsi="DejaVu Serif" w:eastAsia="DejaVu Serif"/>
          <w:b w:val="0"/>
          <w:i w:val="0"/>
          <w:sz w:val="20"/>
        </w:rPr>
        <w:t>Positive values denote an interior admissible state, zero denotes the boundary, negative values denote violation, and an undefined value is bottom and never counts as a passed gate.</w:t>
      </w:r>
    </w:p>
    <w:p>
      <w:pPr>
        <w:keepNext w:val="0"/>
        <w:keepLines/>
        <w:spacing w:before="80" w:after="140" w:line="240" w:lineRule="auto"/>
        <w:jc w:val="center"/>
      </w:pPr>
      <w:r>
        <w:rPr>
          <w:rFonts w:ascii="DejaVu Serif" w:hAnsi="DejaVu Serif" w:eastAsia="DejaVu Serif"/>
          <w:b w:val="0"/>
          <w:i w:val="0"/>
          <w:sz w:val="22"/>
        </w:rPr>
        <w:t>Adm_t(r)={x in X : (x,r,t) belongs to every Dom(g_alpha) and g_alpha(x,r,t)&gt;=0 for all alpha}.</w:t>
      </w:r>
      <w:r>
        <w:rPr>
          <w:rFonts w:ascii="DejaVu Sans" w:hAnsi="DejaVu Sans" w:eastAsia="DejaVu Sans"/>
          <w:b w:val="0"/>
          <w:i/>
          <w:color w:val="666666"/>
          <w:sz w:val="16"/>
        </w:rPr>
        <w:t xml:space="preserve">    [RU p. 160]</w:t>
      </w:r>
    </w:p>
    <w:tbl>
      <w:tblPr>
        <w:tblW w:type="auto" w:w="0"/>
        <w:jc w:val="center"/>
        <w:tblLayout w:type="fixed"/>
        <w:tblLook w:firstColumn="1" w:firstRow="1" w:lastColumn="0" w:lastRow="0" w:noHBand="0" w:noVBand="1" w:val="04A0"/>
      </w:tblPr>
      <w:tblGrid>
        <w:gridCol w:w="2517"/>
        <w:gridCol w:w="2517"/>
        <w:gridCol w:w="2517"/>
        <w:gridCol w:w="2517"/>
      </w:tblGrid>
      <w:tr>
        <w:trPr>
          <w:tblHeader w:val="true"/>
        </w:trPr>
        <w:tc>
          <w:tcPr>
            <w:tcW w:type="dxa" w:w="680"/>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5"/>
              </w:rPr>
              <w:t>Code</w:t>
            </w:r>
          </w:p>
        </w:tc>
        <w:tc>
          <w:tcPr>
            <w:tcW w:type="dxa" w:w="1928"/>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5"/>
              </w:rPr>
              <w:t>Authorial label</w:t>
            </w:r>
          </w:p>
        </w:tc>
        <w:tc>
          <w:tcPr>
            <w:tcW w:type="dxa" w:w="4082"/>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5"/>
              </w:rPr>
              <w:t>Strict role</w:t>
            </w:r>
          </w:p>
        </w:tc>
        <w:tc>
          <w:tcPr>
            <w:tcW w:type="dxa" w:w="2608"/>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5"/>
              </w:rPr>
              <w:t>Forbidden overclaim</w:t>
            </w:r>
          </w:p>
        </w:tc>
      </w:tr>
      <w:tr>
        <w:trPr>
          <w:cantSplit/>
        </w:trPr>
        <w:tc>
          <w:tcPr>
            <w:tcW w:type="dxa" w:w="680"/>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POL</w:t>
            </w:r>
          </w:p>
        </w:tc>
        <w:tc>
          <w:tcPr>
            <w:tcW w:type="dxa" w:w="192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LIM POLITIC</w:t>
            </w:r>
          </w:p>
        </w:tc>
        <w:tc>
          <w:tcPr>
            <w:tcW w:type="dxa" w:w="408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Institutional, infrastructural, or registered-regime boundary.</w:t>
            </w:r>
          </w:p>
        </w:tc>
        <w:tc>
          <w:tcPr>
            <w:tcW w:type="dxa" w:w="260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Universal law of politics.</w:t>
            </w:r>
          </w:p>
        </w:tc>
      </w:tr>
      <w:tr>
        <w:trPr>
          <w:cantSplit/>
        </w:trPr>
        <w:tc>
          <w:tcPr>
            <w:tcW w:type="dxa" w:w="680"/>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ECO</w:t>
            </w:r>
          </w:p>
        </w:tc>
        <w:tc>
          <w:tcPr>
            <w:tcW w:type="dxa" w:w="192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LIM ECOLOGICAL</w:t>
            </w:r>
          </w:p>
        </w:tc>
        <w:tc>
          <w:tcPr>
            <w:tcW w:type="dxa" w:w="408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Resource and ecological constraints of the model.</w:t>
            </w:r>
          </w:p>
        </w:tc>
        <w:tc>
          <w:tcPr>
            <w:tcW w:type="dxa" w:w="260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Automatic catastrophe forecast.</w:t>
            </w:r>
          </w:p>
        </w:tc>
      </w:tr>
      <w:tr>
        <w:trPr>
          <w:cantSplit/>
        </w:trPr>
        <w:tc>
          <w:tcPr>
            <w:tcW w:type="dxa" w:w="680"/>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RAUM</w:t>
            </w:r>
          </w:p>
        </w:tc>
        <w:tc>
          <w:tcPr>
            <w:tcW w:type="dxa" w:w="192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LIM RAUM</w:t>
            </w:r>
          </w:p>
        </w:tc>
        <w:tc>
          <w:tcPr>
            <w:tcW w:type="dxa" w:w="408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Spatial/geographical admissible domain.</w:t>
            </w:r>
          </w:p>
        </w:tc>
        <w:tc>
          <w:tcPr>
            <w:tcW w:type="dxa" w:w="260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Metaphysical closure of the world.</w:t>
            </w:r>
          </w:p>
        </w:tc>
      </w:tr>
      <w:tr>
        <w:trPr>
          <w:cantSplit/>
        </w:trPr>
        <w:tc>
          <w:tcPr>
            <w:tcW w:type="dxa" w:w="680"/>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TIME</w:t>
            </w:r>
          </w:p>
        </w:tc>
        <w:tc>
          <w:tcPr>
            <w:tcW w:type="dxa" w:w="192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LIM TIME</w:t>
            </w:r>
          </w:p>
        </w:tc>
        <w:tc>
          <w:tcPr>
            <w:tcW w:type="dxa" w:w="408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Lifetime of data, Reper, and calibration.</w:t>
            </w:r>
          </w:p>
        </w:tc>
        <w:tc>
          <w:tcPr>
            <w:tcW w:type="dxa" w:w="2608"/>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Eternal Reper.</w:t>
            </w:r>
          </w:p>
        </w:tc>
      </w:tr>
      <w:tr>
        <w:trPr>
          <w:cantSplit/>
        </w:trPr>
        <w:tc>
          <w:tcPr>
            <w:tcW w:type="dxa" w:w="680"/>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ONT</w:t>
            </w:r>
          </w:p>
        </w:tc>
        <w:tc>
          <w:tcPr>
            <w:tcW w:type="dxa" w:w="192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LIM ONTHOLOGY</w:t>
            </w:r>
          </w:p>
        </w:tc>
        <w:tc>
          <w:tcPr>
            <w:tcW w:type="dxa" w:w="408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Type and semantic dictionary of admissible objects.</w:t>
            </w:r>
          </w:p>
        </w:tc>
        <w:tc>
          <w:tcPr>
            <w:tcW w:type="dxa" w:w="2608"/>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Automatic ban on new objects.</w:t>
            </w:r>
          </w:p>
        </w:tc>
      </w:tr>
    </w:tbl>
    <w:p>
      <w:pPr>
        <w:spacing w:after="40"/>
      </w:pPr>
    </w:p>
    <w:p>
      <w:pPr>
        <w:keepNext w:val="0"/>
        <w:keepLines w:val="0"/>
        <w:spacing w:before="0" w:after="100" w:line="259" w:lineRule="auto"/>
      </w:pPr>
      <w:r>
        <w:rPr>
          <w:rFonts w:ascii="DejaVu Serif" w:hAnsi="DejaVu Serif" w:eastAsia="DejaVu Serif"/>
          <w:b w:val="0"/>
          <w:i w:val="0"/>
          <w:sz w:val="20"/>
        </w:rPr>
        <w:t>The projective boundary marker D_infinity is not the evidence component D. Dom is the mathematical domain, D is the available sufficient foundation, and D_infinity is a projective endpoint marker.</w:t>
      </w:r>
    </w:p>
    <w:p>
      <w:pPr>
        <w:pStyle w:val="Heading2"/>
        <w:keepNext/>
        <w:keepLines w:val="0"/>
        <w:spacing w:before="160" w:after="80" w:line="240" w:lineRule="auto"/>
      </w:pPr>
      <w:r>
        <w:t>28.2. Margin, Horizon, and Robust Gate</w:t>
      </w:r>
    </w:p>
    <w:p>
      <w:pPr>
        <w:keepNext w:val="0"/>
        <w:keepLines/>
        <w:spacing w:before="80" w:after="140" w:line="240" w:lineRule="auto"/>
        <w:jc w:val="center"/>
      </w:pPr>
      <w:r>
        <w:rPr>
          <w:rFonts w:ascii="DejaVu Serif" w:hAnsi="DejaVu Serif" w:eastAsia="DejaVu Serif"/>
          <w:b w:val="0"/>
          <w:i w:val="0"/>
          <w:sz w:val="22"/>
        </w:rPr>
        <w:t>mu_t(x,r)=min_alpha g_alpha(x,r,t).</w:t>
      </w:r>
      <w:r>
        <w:rPr>
          <w:rFonts w:ascii="DejaVu Sans" w:hAnsi="DejaVu Sans" w:eastAsia="DejaVu Sans"/>
          <w:b w:val="0"/>
          <w:i/>
          <w:color w:val="666666"/>
          <w:sz w:val="16"/>
        </w:rPr>
        <w:t xml:space="preserve">    [RU p. 160]</w:t>
      </w:r>
    </w:p>
    <w:p>
      <w:pPr>
        <w:keepNext w:val="0"/>
        <w:keepLines/>
        <w:spacing w:before="80" w:after="140" w:line="240" w:lineRule="auto"/>
        <w:jc w:val="center"/>
      </w:pPr>
      <w:r>
        <w:rPr>
          <w:rFonts w:ascii="DejaVu Serif" w:hAnsi="DejaVu Serif" w:eastAsia="DejaVu Serif"/>
          <w:b w:val="0"/>
          <w:i w:val="0"/>
          <w:sz w:val="22"/>
        </w:rPr>
        <w:t>H_t(x,r)=sup{h&gt;=0 : inf_{s in [t,t+h]} mu_s(x_s,r)&gt;0}.</w:t>
      </w:r>
      <w:r>
        <w:rPr>
          <w:rFonts w:ascii="DejaVu Sans" w:hAnsi="DejaVu Sans" w:eastAsia="DejaVu Sans"/>
          <w:b w:val="0"/>
          <w:i/>
          <w:color w:val="666666"/>
          <w:sz w:val="16"/>
        </w:rPr>
        <w:t xml:space="preserve">    [RU p. 160]</w:t>
      </w:r>
    </w:p>
    <w:p>
      <w:pPr>
        <w:keepNext w:val="0"/>
        <w:keepLines w:val="0"/>
        <w:spacing w:before="0" w:after="100" w:line="259" w:lineRule="auto"/>
      </w:pPr>
      <w:r>
        <w:rPr>
          <w:rFonts w:ascii="DejaVu Serif" w:hAnsi="DejaVu Serif" w:eastAsia="DejaVu Serif"/>
          <w:b w:val="0"/>
          <w:i w:val="0"/>
          <w:sz w:val="20"/>
        </w:rPr>
        <w:t>If the trajectory is unknown, the infimum is taken over all trajectories in a registered corridor. An empty trajectory set returns ABSTAIN rather than an infinite horizon.</w:t>
      </w:r>
    </w:p>
    <w:p>
      <w:pPr>
        <w:keepNext w:val="0"/>
        <w:keepLines w:val="0"/>
        <w:spacing w:before="0" w:after="100" w:line="259" w:lineRule="auto"/>
      </w:pPr>
      <w:r>
        <w:rPr>
          <w:rFonts w:ascii="DejaVu Serif" w:hAnsi="DejaVu Serif" w:eastAsia="DejaVu Serif"/>
          <w:b w:val="0"/>
          <w:i w:val="0"/>
          <w:sz w:val="20"/>
        </w:rPr>
        <w:t>Theorem 28.1 [THM]. If g_TIME(x,r,s)=tau_r-(s-t0) with finite registered lifetime tau_r, then H_t(x,r)&lt;=tau_r-(t-t0). Thus there is no Reper authorised on the whole half-line under this explicit finite-lifetime model.</w:t>
      </w:r>
    </w:p>
    <w:p>
      <w:pPr>
        <w:keepNext w:val="0"/>
        <w:keepLines w:val="0"/>
        <w:spacing w:before="0" w:after="100" w:line="259" w:lineRule="auto"/>
      </w:pPr>
      <w:r>
        <w:rPr>
          <w:rFonts w:ascii="DejaVu Serif" w:hAnsi="DejaVu Serif" w:eastAsia="DejaVu Serif"/>
          <w:b w:val="0"/>
          <w:i w:val="0"/>
          <w:sz w:val="20"/>
        </w:rPr>
        <w:t>For an observed x_hat with the true state in B(x_hat,rho), if every g_alpha is L_alpha-Lipschitz in x, the sufficient robust gate is</w:t>
      </w:r>
    </w:p>
    <w:p>
      <w:pPr>
        <w:keepNext w:val="0"/>
        <w:keepLines/>
        <w:spacing w:before="80" w:after="140" w:line="240" w:lineRule="auto"/>
        <w:jc w:val="center"/>
      </w:pPr>
      <w:r>
        <w:rPr>
          <w:rFonts w:ascii="DejaVu Serif" w:hAnsi="DejaVu Serif" w:eastAsia="DejaVu Serif"/>
          <w:b w:val="0"/>
          <w:i w:val="0"/>
          <w:sz w:val="22"/>
        </w:rPr>
        <w:t>g_alpha(x_hat,r,t) &gt; L_alpha rho    for every mandatory alpha.</w:t>
      </w:r>
      <w:r>
        <w:rPr>
          <w:rFonts w:ascii="DejaVu Sans" w:hAnsi="DejaVu Sans" w:eastAsia="DejaVu Sans"/>
          <w:b w:val="0"/>
          <w:i/>
          <w:color w:val="666666"/>
          <w:sz w:val="16"/>
        </w:rPr>
        <w:t xml:space="preserve">    [RU p. 161]</w:t>
      </w:r>
    </w:p>
    <w:p>
      <w:pPr>
        <w:keepNext w:val="0"/>
        <w:keepLines w:val="0"/>
        <w:spacing w:before="0" w:after="100" w:line="259" w:lineRule="auto"/>
      </w:pPr>
      <w:r>
        <w:rPr>
          <w:rFonts w:ascii="DejaVu Serif" w:hAnsi="DejaVu Serif" w:eastAsia="DejaVu Serif"/>
          <w:b w:val="0"/>
          <w:i w:val="0"/>
          <w:sz w:val="20"/>
        </w:rPr>
        <w:t>Then the whole uncertainty ball lies in Adm_t(r). If any margin fails, the status is boundary-uncertain; a numerical score cannot compensate for that status.</w:t>
      </w:r>
    </w:p>
    <w:p>
      <w:pPr>
        <w:keepNext w:val="0"/>
        <w:keepLines w:val="0"/>
        <w:spacing w:before="0" w:after="100" w:line="259" w:lineRule="auto"/>
      </w:pPr>
      <w:r>
        <w:rPr>
          <w:rFonts w:ascii="DejaVu Serif" w:hAnsi="DejaVu Serif" w:eastAsia="DejaVu Serif"/>
          <w:b w:val="0"/>
          <w:i w:val="0"/>
          <w:sz w:val="20"/>
        </w:rPr>
        <w:t>Proposition 28.4 [PROP]. Adding a mandatory limit cannot enlarge the admissible set or the horizon.</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FALSIFICATION BOUNDARY. </w:t>
            </w:r>
            <w:r>
              <w:rPr>
                <w:rFonts w:ascii="DejaVu Serif" w:hAnsi="DejaVu Serif" w:eastAsia="DejaVu Serif"/>
                <w:b w:val="0"/>
                <w:i w:val="0"/>
                <w:sz w:val="18"/>
              </w:rPr>
              <w:t>A forecast miss is valid only when Dom, D integrity, and the corridor were fixed in advance. Otherwise the event is protocol failure, not a mathematical refutation.</w:t>
            </w:r>
          </w:p>
        </w:tc>
      </w:tr>
    </w:tbl>
    <w:p>
      <w:pPr>
        <w:spacing w:after="20"/>
      </w:pPr>
    </w:p>
    <w:p>
      <w:pPr>
        <w:pStyle w:val="Heading1"/>
        <w:keepNext/>
        <w:keepLines w:val="0"/>
        <w:spacing w:before="200" w:after="80" w:line="240" w:lineRule="auto"/>
      </w:pPr>
      <w:bookmarkStart w:id="1028" w:name="T1_CH_29"/>
      <w:r>
        <w:t>Chapter 29. Adaptive Rebuilding of the Reper Graph</w:t>
      </w:r>
      <w:bookmarkEnd w:id="1028"/>
    </w:p>
    <w:p>
      <w:pPr>
        <w:keepNext w:val="0"/>
        <w:keepLines w:val="0"/>
        <w:spacing w:before="0" w:after="100" w:line="259" w:lineRule="auto"/>
      </w:pPr>
      <w:r>
        <w:rPr>
          <w:rFonts w:ascii="DejaVu Serif" w:hAnsi="DejaVu Serif" w:eastAsia="DejaVu Serif"/>
          <w:b w:val="0"/>
          <w:i/>
          <w:sz w:val="18"/>
        </w:rPr>
        <w:t>Russian source locator: pp. 162–163</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After a valid miss, the system edits the smallest proof neighbourhood that actually generated the forecast. It creates a new version beside the old one. Learning is a history of reasons, not the silent replacement of yesterday’s certificate.</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760720" cy="2531225"/>
            <wp:docPr id="32" name="Picture 32"/>
            <wp:cNvGraphicFramePr>
              <a:graphicFrameLocks noChangeAspect="1"/>
            </wp:cNvGraphicFramePr>
            <a:graphic>
              <a:graphicData uri="http://schemas.openxmlformats.org/drawingml/2006/picture">
                <pic:pic>
                  <pic:nvPicPr>
                    <pic:cNvPr id="0" name="fig29_adapt.png"/>
                    <pic:cNvPicPr/>
                  </pic:nvPicPr>
                  <pic:blipFill>
                    <a:blip r:embed="rId44"/>
                    <a:stretch>
                      <a:fillRect/>
                    </a:stretch>
                  </pic:blipFill>
                  <pic:spPr>
                    <a:xfrm>
                      <a:off x="0" y="0"/>
                      <a:ext cx="5760720" cy="2531225"/>
                    </a:xfrm>
                    <a:prstGeom prst="rect"/>
                  </pic:spPr>
                </pic:pic>
              </a:graphicData>
            </a:graphic>
          </wp:inline>
        </w:drawing>
      </w:r>
    </w:p>
    <w:p>
      <w:pPr>
        <w:keepNext w:val="0"/>
        <w:keepLines/>
        <w:spacing w:before="0" w:after="140" w:line="240" w:lineRule="auto"/>
        <w:jc w:val="center"/>
      </w:pPr>
      <w:bookmarkStart w:id="1089" w:name="T1_FIG_031"/>
      <w:r>
        <w:rPr>
          <w:rFonts w:ascii="DejaVu Serif" w:hAnsi="DejaVu Serif" w:eastAsia="DejaVu Serif"/>
          <w:b w:val="0"/>
          <w:i/>
          <w:color w:val="666666"/>
          <w:sz w:val="17"/>
        </w:rPr>
        <w:t>Figure 29.1. A valid miss triggers a local, constrained, versioned update with rollback.</w:t>
      </w:r>
      <w:bookmarkEnd w:id="1089"/>
    </w:p>
    <w:p>
      <w:pPr>
        <w:pStyle w:val="Heading2"/>
        <w:keepNext/>
        <w:keepLines w:val="0"/>
        <w:spacing w:before="160" w:after="80" w:line="240" w:lineRule="auto"/>
      </w:pPr>
      <w:r>
        <w:t>29.1. Versioned Graph and Failure Support</w:t>
      </w:r>
    </w:p>
    <w:p>
      <w:pPr>
        <w:keepNext w:val="0"/>
        <w:keepLines/>
        <w:spacing w:before="80" w:after="140" w:line="240" w:lineRule="auto"/>
        <w:jc w:val="center"/>
      </w:pPr>
      <w:r>
        <w:rPr>
          <w:rFonts w:ascii="DejaVu Serif" w:hAnsi="DejaVu Serif" w:eastAsia="DejaVu Serif"/>
          <w:b w:val="0"/>
          <w:i w:val="0"/>
          <w:sz w:val="22"/>
        </w:rPr>
        <w:t>G_t=(V_t,E_t,w_t,s_t).</w:t>
      </w:r>
      <w:r>
        <w:rPr>
          <w:rFonts w:ascii="DejaVu Sans" w:hAnsi="DejaVu Sans" w:eastAsia="DejaVu Sans"/>
          <w:b w:val="0"/>
          <w:i/>
          <w:color w:val="666666"/>
          <w:sz w:val="16"/>
        </w:rPr>
        <w:t xml:space="preserve">    [RU p. 162]</w:t>
      </w:r>
    </w:p>
    <w:p>
      <w:pPr>
        <w:keepNext w:val="0"/>
        <w:keepLines w:val="0"/>
        <w:spacing w:before="0" w:after="100" w:line="259" w:lineRule="auto"/>
      </w:pPr>
      <w:r>
        <w:rPr>
          <w:rFonts w:ascii="DejaVu Serif" w:hAnsi="DejaVu Serif" w:eastAsia="DejaVu Serif"/>
          <w:b w:val="0"/>
          <w:i w:val="0"/>
          <w:sz w:val="20"/>
        </w:rPr>
        <w:t>Vertices are versioned Reper objects; edges are typed formula or domain relations; w_t are numerical parameters; s_t are evidence statuses. Every vertex stores its validity interval and links to D, Dom, code, and certificate. For a failed forecast f, Supp(f) is the smallest set of vertices and edges actually used to form the corridor and select the output.</w:t>
      </w:r>
    </w:p>
    <w:p>
      <w:pPr>
        <w:pStyle w:val="Heading2"/>
        <w:keepNext/>
        <w:keepLines w:val="0"/>
        <w:spacing w:before="160" w:after="80" w:line="240" w:lineRule="auto"/>
      </w:pPr>
      <w:r>
        <w:t>29.2. Constrained Rebuilding Functional</w:t>
      </w:r>
    </w:p>
    <w:p>
      <w:pPr>
        <w:keepNext w:val="0"/>
        <w:keepLines/>
        <w:spacing w:before="80" w:after="140" w:line="240" w:lineRule="auto"/>
        <w:jc w:val="center"/>
      </w:pPr>
      <w:r>
        <w:rPr>
          <w:rFonts w:ascii="DejaVu Serif" w:hAnsi="DejaVu Serif" w:eastAsia="DejaVu Serif"/>
          <w:b w:val="0"/>
          <w:i w:val="0"/>
          <w:sz w:val="22"/>
        </w:rPr>
        <w:t>G_{t+1} in argmin_{G in G_adm} [L_{t+1}(G)+eta d_edit(G,G_t)+gamma B_PN2(G)+kappa B_gate(G)].</w:t>
      </w:r>
      <w:r>
        <w:rPr>
          <w:rFonts w:ascii="DejaVu Sans" w:hAnsi="DejaVu Sans" w:eastAsia="DejaVu Sans"/>
          <w:b w:val="0"/>
          <w:i/>
          <w:color w:val="666666"/>
          <w:sz w:val="16"/>
        </w:rPr>
        <w:t xml:space="preserve">    [RU p. 162]</w:t>
      </w:r>
    </w:p>
    <w:p>
      <w:pPr>
        <w:keepNext w:val="0"/>
        <w:keepLines w:val="0"/>
        <w:spacing w:before="0" w:after="100" w:line="259" w:lineRule="auto"/>
      </w:pPr>
      <w:r>
        <w:rPr>
          <w:rFonts w:ascii="DejaVu Serif" w:hAnsi="DejaVu Serif" w:eastAsia="DejaVu Serif"/>
          <w:b w:val="0"/>
          <w:i w:val="0"/>
          <w:sz w:val="20"/>
        </w:rPr>
        <w:t>B_PN2 is infinite when branches are hidden or an unauthorised singleton is produced. B_gate is infinite when D/Dom, matched-null, CGI, or independent-validation requirements are bypassed. The weights are fixed before the independent test is viewed.</w:t>
      </w:r>
    </w:p>
    <w:p>
      <w:pPr>
        <w:keepNext w:val="0"/>
        <w:keepLines w:val="0"/>
        <w:spacing w:before="0" w:after="100" w:line="259" w:lineRule="auto"/>
      </w:pPr>
      <w:r>
        <w:rPr>
          <w:rFonts w:ascii="DejaVu Serif" w:hAnsi="DejaVu Serif" w:eastAsia="DejaVu Serif"/>
          <w:b w:val="0"/>
          <w:i w:val="0"/>
          <w:sz w:val="20"/>
        </w:rPr>
        <w:t>Theorem 29.1 [THM-SCHEMA]. If the loss, edit cost, and constraints decompose over vertices and edges and all terms outside N_k(Supp(f)) are unchanged, a minimiser exists that agrees with G_t outside that neighbourhood.</w:t>
      </w:r>
    </w:p>
    <w:p>
      <w:pPr>
        <w:keepNext w:val="0"/>
        <w:keepLines w:val="0"/>
        <w:spacing w:before="0" w:after="100" w:line="259" w:lineRule="auto"/>
      </w:pPr>
      <w:r>
        <w:rPr>
          <w:rFonts w:ascii="DejaVu Serif" w:hAnsi="DejaVu Serif" w:eastAsia="DejaVu Serif"/>
          <w:b w:val="0"/>
          <w:i w:val="0"/>
          <w:sz w:val="20"/>
        </w:rPr>
        <w:t>For fixed graph structure and an m-strongly convex parameter objective, if the gradient changes by at most delta at the old minimiser, then</w:t>
      </w:r>
    </w:p>
    <w:p>
      <w:pPr>
        <w:keepNext w:val="0"/>
        <w:keepLines/>
        <w:spacing w:before="80" w:after="140" w:line="240" w:lineRule="auto"/>
        <w:jc w:val="center"/>
      </w:pPr>
      <w:r>
        <w:rPr>
          <w:rFonts w:ascii="DejaVu Serif" w:hAnsi="DejaVu Serif" w:eastAsia="DejaVu Serif"/>
          <w:b w:val="0"/>
          <w:i w:val="0"/>
          <w:sz w:val="22"/>
        </w:rPr>
        <w:t>||theta_{t+1}-theta_t|| &lt;= delta/m.</w:t>
      </w:r>
      <w:r>
        <w:rPr>
          <w:rFonts w:ascii="DejaVu Sans" w:hAnsi="DejaVu Sans" w:eastAsia="DejaVu Sans"/>
          <w:b w:val="0"/>
          <w:i/>
          <w:color w:val="666666"/>
          <w:sz w:val="16"/>
        </w:rPr>
        <w:t xml:space="preserve">    [RU p. 162]</w:t>
      </w:r>
    </w:p>
    <w:p>
      <w:pPr>
        <w:keepNext w:val="0"/>
        <w:keepLines w:val="0"/>
        <w:spacing w:before="0" w:after="100" w:line="259" w:lineRule="auto"/>
      </w:pPr>
      <w:r>
        <w:rPr>
          <w:rFonts w:ascii="DejaVu Serif" w:hAnsi="DejaVu Serif" w:eastAsia="DejaVu Serif"/>
          <w:b w:val="0"/>
          <w:i w:val="0"/>
          <w:sz w:val="20"/>
        </w:rPr>
        <w:t>This estimate does not apply to discrete structural changes, which retain edit distance, an alternative ledger, and full rollback.</w:t>
      </w:r>
    </w:p>
    <w:p>
      <w:pPr>
        <w:pStyle w:val="Heading2"/>
        <w:keepNext/>
        <w:keepLines w:val="0"/>
        <w:spacing w:before="160" w:after="80" w:line="240" w:lineRule="auto"/>
      </w:pPr>
      <w:r>
        <w:t>29.3. Sequential Alarm, Test Leakage, and Selective Loss</w:t>
      </w:r>
    </w:p>
    <w:p>
      <w:pPr>
        <w:keepNext w:val="0"/>
        <w:keepLines/>
        <w:spacing w:before="80" w:after="140" w:line="240" w:lineRule="auto"/>
        <w:jc w:val="center"/>
      </w:pPr>
      <w:r>
        <w:rPr>
          <w:rFonts w:ascii="DejaVu Serif" w:hAnsi="DejaVu Serif" w:eastAsia="DejaVu Serif"/>
          <w:b w:val="0"/>
          <w:i w:val="0"/>
          <w:sz w:val="22"/>
        </w:rPr>
        <w:t>E_t=product_{i&lt;=t} e_i,     E_0=1,     E_0[e_t | F_{t-1}]&lt;=1.</w:t>
      </w:r>
      <w:r>
        <w:rPr>
          <w:rFonts w:ascii="DejaVu Sans" w:hAnsi="DejaVu Sans" w:eastAsia="DejaVu Sans"/>
          <w:b w:val="0"/>
          <w:i/>
          <w:color w:val="666666"/>
          <w:sz w:val="16"/>
        </w:rPr>
        <w:t xml:space="preserve">    [RU p. 162]</w:t>
      </w:r>
    </w:p>
    <w:p>
      <w:pPr>
        <w:keepNext w:val="0"/>
        <w:keepLines w:val="0"/>
        <w:spacing w:before="0" w:after="100" w:line="259" w:lineRule="auto"/>
      </w:pPr>
      <w:r>
        <w:rPr>
          <w:rFonts w:ascii="DejaVu Serif" w:hAnsi="DejaVu Serif" w:eastAsia="DejaVu Serif"/>
          <w:b w:val="0"/>
          <w:i w:val="0"/>
          <w:sz w:val="20"/>
        </w:rPr>
        <w:t>Under the registered null, E_t is a nonnegative supermartingale. Ville’s inequality gives P_0(sup_t E_t &gt;= 1/alpha)&lt;=alpha. The conditional null and exchangeability assumptions are proof obligations; choosing e_t after viewing future data invalidates the signal.</w:t>
      </w:r>
    </w:p>
    <w:p>
      <w:pPr>
        <w:keepNext w:val="0"/>
        <w:keepLines w:val="0"/>
        <w:spacing w:before="0" w:after="100" w:line="259" w:lineRule="auto"/>
      </w:pPr>
      <w:r>
        <w:rPr>
          <w:rFonts w:ascii="DejaVu Serif" w:hAnsi="DejaVu Serif" w:eastAsia="DejaVu Serif"/>
          <w:b w:val="0"/>
          <w:i w:val="0"/>
          <w:sz w:val="20"/>
        </w:rPr>
        <w:t>The data are separated into T_train, T_cal, T_test, and T_future. Once T_test has been opened, a version tuned on it requires evaluation on a new unopened or external corpus.</w:t>
      </w:r>
    </w:p>
    <w:p>
      <w:pPr>
        <w:keepNext w:val="0"/>
        <w:keepLines/>
        <w:spacing w:before="80" w:after="140" w:line="240" w:lineRule="auto"/>
        <w:jc w:val="center"/>
      </w:pPr>
      <w:r>
        <w:rPr>
          <w:rFonts w:ascii="DejaVu Serif" w:hAnsi="DejaVu Serif" w:eastAsia="DejaVu Serif"/>
          <w:b w:val="0"/>
          <w:i w:val="0"/>
          <w:sz w:val="22"/>
        </w:rPr>
        <w:t>ell_sel=ell_pred 1_{forecast}+c_A 1_{ABSTAIN}+c_F 1_{false authorisation},     c_F&gt;c_A&gt;=0.</w:t>
      </w:r>
      <w:r>
        <w:rPr>
          <w:rFonts w:ascii="DejaVu Sans" w:hAnsi="DejaVu Sans" w:eastAsia="DejaVu Sans"/>
          <w:b w:val="0"/>
          <w:i/>
          <w:color w:val="666666"/>
          <w:sz w:val="16"/>
        </w:rPr>
        <w:t xml:space="preserve">    [RU p. 163]</w:t>
      </w:r>
    </w:p>
    <w:p>
      <w:pPr>
        <w:keepNext w:val="0"/>
        <w:keepLines w:val="0"/>
        <w:spacing w:before="0" w:after="100" w:line="259" w:lineRule="auto"/>
      </w:pPr>
      <w:r>
        <w:rPr>
          <w:rFonts w:ascii="DejaVu Serif" w:hAnsi="DejaVu Serif" w:eastAsia="DejaVu Serif"/>
          <w:b w:val="0"/>
          <w:i w:val="0"/>
          <w:sz w:val="20"/>
        </w:rPr>
        <w:t>The inequality formalises evidence safety: when gates fail, abstention is cheaper than an unauthorised point answer. Costs are domain-specific, not universal constants.</w:t>
      </w:r>
    </w:p>
    <w:tbl>
      <w:tblPr>
        <w:tblW w:type="auto" w:w="0"/>
        <w:jc w:val="center"/>
        <w:tblLayout w:type="fixed"/>
        <w:tblLook w:firstColumn="1" w:firstRow="1" w:lastColumn="0" w:lastRow="0" w:noHBand="0" w:noVBand="1" w:val="04A0"/>
      </w:tblPr>
      <w:tblGrid>
        <w:gridCol w:w="9638"/>
      </w:tblGrid>
      <w:tr>
        <w:trPr>
          <w:cantSplit/>
        </w:trPr>
        <w:tc>
          <w:tcPr>
            <w:tcW w:type="dxa" w:w="10070"/>
            <w:shd w:fill="F8F1DC"/>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37500"/>
                <w:sz w:val="18"/>
              </w:rPr>
              <w:t xml:space="preserve">OPERATOR ALIGNMENT. </w:t>
            </w:r>
            <w:r>
              <w:rPr>
                <w:rFonts w:ascii="DejaVu Serif" w:hAnsi="DejaVu Serif" w:eastAsia="DejaVu Serif"/>
                <w:b w:val="0"/>
                <w:i w:val="0"/>
                <w:sz w:val="18"/>
              </w:rPr>
              <w:t>Xi evolves an authorised branch, Delta is a new data/action impulse, and Upsilon inserts the result into an updated state space. A noninjective Upsilon preserves the preimage set and yields a set-valued Reper or ABSTAIN.</w:t>
            </w:r>
          </w:p>
        </w:tc>
      </w:tr>
    </w:tbl>
    <w:p>
      <w:pPr>
        <w:spacing w:after="20"/>
      </w:pPr>
    </w:p>
    <w:p>
      <w:pPr>
        <w:pStyle w:val="Heading1"/>
        <w:keepNext/>
        <w:keepLines w:val="0"/>
        <w:spacing w:before="200" w:after="80" w:line="240" w:lineRule="auto"/>
      </w:pPr>
      <w:bookmarkStart w:id="1029" w:name="T1_CH_30"/>
      <w:r>
        <w:t>Chapter 30. Predictive Reper Bundle</w:t>
      </w:r>
      <w:bookmarkEnd w:id="1029"/>
    </w:p>
    <w:p>
      <w:pPr>
        <w:keepNext w:val="0"/>
        <w:keepLines w:val="0"/>
        <w:spacing w:before="0" w:after="100" w:line="259" w:lineRule="auto"/>
      </w:pPr>
      <w:r>
        <w:rPr>
          <w:rFonts w:ascii="DejaVu Serif" w:hAnsi="DejaVu Serif" w:eastAsia="DejaVu Serif"/>
          <w:b w:val="0"/>
          <w:i/>
          <w:sz w:val="18"/>
        </w:rPr>
        <w:t>Russian source locator: pp. 164–165</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Predictions from different sciences live in different fibres over their domains. A domain adapter is a partial morphism. Its curvature measures the discrepancy between two routes of translation; visual similarity of graphs or lambda values is not a proof of law transfer.</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760720" cy="2531225"/>
            <wp:docPr id="33" name="Picture 33"/>
            <wp:cNvGraphicFramePr>
              <a:graphicFrameLocks noChangeAspect="1"/>
            </wp:cNvGraphicFramePr>
            <a:graphic>
              <a:graphicData uri="http://schemas.openxmlformats.org/drawingml/2006/picture">
                <pic:pic>
                  <pic:nvPicPr>
                    <pic:cNvPr id="0" name="fig30_bundle.png"/>
                    <pic:cNvPicPr/>
                  </pic:nvPicPr>
                  <pic:blipFill>
                    <a:blip r:embed="rId45"/>
                    <a:stretch>
                      <a:fillRect/>
                    </a:stretch>
                  </pic:blipFill>
                  <pic:spPr>
                    <a:xfrm>
                      <a:off x="0" y="0"/>
                      <a:ext cx="5760720" cy="2531225"/>
                    </a:xfrm>
                    <a:prstGeom prst="rect"/>
                  </pic:spPr>
                </pic:pic>
              </a:graphicData>
            </a:graphic>
          </wp:inline>
        </w:drawing>
      </w:r>
    </w:p>
    <w:p>
      <w:pPr>
        <w:keepNext w:val="0"/>
        <w:keepLines/>
        <w:spacing w:before="0" w:after="140" w:line="240" w:lineRule="auto"/>
        <w:jc w:val="center"/>
      </w:pPr>
      <w:bookmarkStart w:id="1090" w:name="T1_FIG_032"/>
      <w:r>
        <w:rPr>
          <w:rFonts w:ascii="DejaVu Serif" w:hAnsi="DejaVu Serif" w:eastAsia="DejaVu Serif"/>
          <w:b w:val="0"/>
          <w:i/>
          <w:color w:val="666666"/>
          <w:sz w:val="17"/>
        </w:rPr>
        <w:t>Figure 30.1. Cross-domain transfer is partial and carries an explicit curvature or path discrepancy.</w:t>
      </w:r>
      <w:bookmarkEnd w:id="1090"/>
    </w:p>
    <w:p>
      <w:pPr>
        <w:pStyle w:val="Heading2"/>
        <w:keepNext/>
        <w:keepLines w:val="0"/>
        <w:spacing w:before="160" w:after="80" w:line="240" w:lineRule="auto"/>
      </w:pPr>
      <w:r>
        <w:t>30.1. Base Category, Fibres, and Partial Projection</w:t>
      </w:r>
    </w:p>
    <w:p>
      <w:pPr>
        <w:keepNext w:val="0"/>
        <w:keepLines w:val="0"/>
        <w:spacing w:before="0" w:after="100" w:line="259" w:lineRule="auto"/>
      </w:pPr>
      <w:r>
        <w:rPr>
          <w:rFonts w:ascii="DejaVu Serif" w:hAnsi="DejaVu Serif" w:eastAsia="DejaVu Serif"/>
          <w:b w:val="0"/>
          <w:i w:val="0"/>
          <w:sz w:val="20"/>
        </w:rPr>
        <w:t>Let Bcal be a small category of domains and admissible translations. Each domain D carries a fibre P_D of predictive packets and a fibre Obs_D of observables. A packet contains its Reper, data, Dom, branches, gates, corridor, loss, and certificate.</w:t>
      </w:r>
    </w:p>
    <w:p>
      <w:pPr>
        <w:keepNext w:val="0"/>
        <w:keepLines/>
        <w:spacing w:before="80" w:after="140" w:line="240" w:lineRule="auto"/>
        <w:jc w:val="center"/>
      </w:pPr>
      <w:r>
        <w:rPr>
          <w:rFonts w:ascii="DejaVu Serif" w:hAnsi="DejaVu Serif" w:eastAsia="DejaVu Serif"/>
          <w:b w:val="0"/>
          <w:i w:val="0"/>
          <w:sz w:val="22"/>
        </w:rPr>
        <w:t>pi_D : P_D -&gt; Obs_D,     p |-&gt; (prediction corridor, status, proof object).</w:t>
      </w:r>
      <w:r>
        <w:rPr>
          <w:rFonts w:ascii="DejaVu Sans" w:hAnsi="DejaVu Sans" w:eastAsia="DejaVu Sans"/>
          <w:b w:val="0"/>
          <w:i/>
          <w:color w:val="666666"/>
          <w:sz w:val="16"/>
        </w:rPr>
        <w:t xml:space="preserve">    [RU p. 164]</w:t>
      </w:r>
    </w:p>
    <w:p>
      <w:pPr>
        <w:keepNext w:val="0"/>
        <w:keepLines w:val="0"/>
        <w:spacing w:before="0" w:after="100" w:line="259" w:lineRule="auto"/>
      </w:pPr>
      <w:r>
        <w:rPr>
          <w:rFonts w:ascii="DejaVu Serif" w:hAnsi="DejaVu Serif" w:eastAsia="DejaVu Serif"/>
          <w:b w:val="0"/>
          <w:i w:val="0"/>
          <w:sz w:val="20"/>
        </w:rPr>
        <w:t>The projection is partial. A missing mandatory object produces bottom/ABSTAIN, never a numerical zero.</w:t>
      </w:r>
    </w:p>
    <w:p>
      <w:pPr>
        <w:keepNext w:val="0"/>
        <w:keepLines/>
        <w:spacing w:before="80" w:after="140" w:line="240" w:lineRule="auto"/>
        <w:jc w:val="center"/>
      </w:pPr>
      <w:r>
        <w:rPr>
          <w:rFonts w:ascii="DejaVu Serif" w:hAnsi="DejaVu Serif" w:eastAsia="DejaVu Serif"/>
          <w:b w:val="0"/>
          <w:i w:val="0"/>
          <w:sz w:val="22"/>
        </w:rPr>
        <w:t>Xi_D(p)=(delta_ass, delta_gate, delta_cal, delta_null, delta_transfer).</w:t>
      </w:r>
      <w:r>
        <w:rPr>
          <w:rFonts w:ascii="DejaVu Sans" w:hAnsi="DejaVu Sans" w:eastAsia="DejaVu Sans"/>
          <w:b w:val="0"/>
          <w:i/>
          <w:color w:val="666666"/>
          <w:sz w:val="16"/>
        </w:rPr>
        <w:t xml:space="preserve">    [RU p. 164]</w:t>
      </w:r>
    </w:p>
    <w:p>
      <w:pPr>
        <w:keepNext w:val="0"/>
        <w:keepLines w:val="0"/>
        <w:spacing w:before="0" w:after="100" w:line="259" w:lineRule="auto"/>
      </w:pPr>
      <w:r>
        <w:rPr>
          <w:rFonts w:ascii="DejaVu Serif" w:hAnsi="DejaVu Serif" w:eastAsia="DejaVu Serif"/>
          <w:b w:val="0"/>
          <w:i w:val="0"/>
          <w:sz w:val="20"/>
        </w:rPr>
        <w:t>The defect vector is domain-invariant only relative to a declared group of admissible relabellings and representation G_D. Its norm is invariant only when G_D acts isometrically.</w:t>
      </w:r>
    </w:p>
    <w:p>
      <w:pPr>
        <w:pStyle w:val="Heading2"/>
        <w:keepNext/>
        <w:keepLines w:val="0"/>
        <w:spacing w:before="160" w:after="80" w:line="240" w:lineRule="auto"/>
      </w:pPr>
      <w:r>
        <w:t>30.2. Partial Adapters and Transfer Curvature</w:t>
      </w:r>
    </w:p>
    <w:p>
      <w:pPr>
        <w:keepNext w:val="0"/>
        <w:keepLines/>
        <w:spacing w:before="80" w:after="140" w:line="240" w:lineRule="auto"/>
        <w:jc w:val="center"/>
      </w:pPr>
      <w:r>
        <w:rPr>
          <w:rFonts w:ascii="DejaVu Serif" w:hAnsi="DejaVu Serif" w:eastAsia="DejaVu Serif"/>
          <w:b w:val="0"/>
          <w:i w:val="0"/>
          <w:sz w:val="22"/>
        </w:rPr>
        <w:t>Theta_f : Dom(Theta_f) subset P_D -&gt; P_Dprime.</w:t>
      </w:r>
      <w:r>
        <w:rPr>
          <w:rFonts w:ascii="DejaVu Sans" w:hAnsi="DejaVu Sans" w:eastAsia="DejaVu Sans"/>
          <w:b w:val="0"/>
          <w:i/>
          <w:color w:val="666666"/>
          <w:sz w:val="16"/>
        </w:rPr>
        <w:t xml:space="preserve">    [RU p. 164]</w:t>
      </w:r>
    </w:p>
    <w:p>
      <w:pPr>
        <w:keepNext w:val="0"/>
        <w:keepLines w:val="0"/>
        <w:spacing w:before="0" w:after="100" w:line="259" w:lineRule="auto"/>
      </w:pPr>
      <w:r>
        <w:rPr>
          <w:rFonts w:ascii="DejaVu Serif" w:hAnsi="DejaVu Serif" w:eastAsia="DejaVu Serif"/>
          <w:b w:val="0"/>
          <w:i w:val="0"/>
          <w:sz w:val="20"/>
        </w:rPr>
        <w:t>The adapter must transport types, units, D/Dom, branches, observable, and status. In linear fibres, for composable f and g, define</w:t>
      </w:r>
    </w:p>
    <w:p>
      <w:pPr>
        <w:keepNext w:val="0"/>
        <w:keepLines/>
        <w:spacing w:before="80" w:after="140" w:line="240" w:lineRule="auto"/>
        <w:jc w:val="center"/>
      </w:pPr>
      <w:r>
        <w:rPr>
          <w:rFonts w:ascii="DejaVu Serif" w:hAnsi="DejaVu Serif" w:eastAsia="DejaVu Serif"/>
          <w:b w:val="0"/>
          <w:i w:val="0"/>
          <w:sz w:val="22"/>
        </w:rPr>
        <w:t>Kcal(g,f)=Theta_g o Theta_f - Theta_{g o f}.</w:t>
      </w:r>
      <w:r>
        <w:rPr>
          <w:rFonts w:ascii="DejaVu Sans" w:hAnsi="DejaVu Sans" w:eastAsia="DejaVu Sans"/>
          <w:b w:val="0"/>
          <w:i/>
          <w:color w:val="666666"/>
          <w:sz w:val="16"/>
        </w:rPr>
        <w:t xml:space="preserve">    [RU p. 164]</w:t>
      </w:r>
    </w:p>
    <w:p>
      <w:pPr>
        <w:keepNext w:val="0"/>
        <w:keepLines w:val="0"/>
        <w:spacing w:before="0" w:after="100" w:line="259" w:lineRule="auto"/>
      </w:pPr>
      <w:r>
        <w:rPr>
          <w:rFonts w:ascii="DejaVu Serif" w:hAnsi="DejaVu Serif" w:eastAsia="DejaVu Serif"/>
          <w:b w:val="0"/>
          <w:i w:val="0"/>
          <w:sz w:val="20"/>
        </w:rPr>
        <w:t>In nonlinear fibres the subtraction is replaced by two paths and a target metric. Theorem 30.2 [THM]. If Theta is a functor into the category of partial maps with equal composite domains, then Kcal(g,f)=0. The converse also needs identity maps and coherence on triple compositions.</w:t>
      </w:r>
    </w:p>
    <w:p>
      <w:pPr>
        <w:keepNext w:val="0"/>
        <w:keepLines w:val="0"/>
        <w:spacing w:before="0" w:after="100" w:line="259" w:lineRule="auto"/>
      </w:pPr>
      <w:r>
        <w:rPr>
          <w:rFonts w:ascii="DejaVu Serif" w:hAnsi="DejaVu Serif" w:eastAsia="DejaVu Serif"/>
          <w:b w:val="0"/>
          <w:i w:val="0"/>
          <w:sz w:val="20"/>
        </w:rPr>
        <w:t>If the target observable projection is L-Lipschitz and the two transfer routes differ by at most kappa, then the prediction outputs differ by at most L kappa. Without estimates of L and kappa, cross-domain prediction remains exploratory.</w:t>
      </w:r>
    </w:p>
    <w:p>
      <w:pPr>
        <w:pStyle w:val="Heading2"/>
        <w:keepNext/>
        <w:keepLines w:val="0"/>
        <w:spacing w:before="160" w:after="80" w:line="240" w:lineRule="auto"/>
      </w:pPr>
      <w:r>
        <w:t>30.3. Local Sections, Gluing, and PN.2 Obstruction</w:t>
      </w:r>
    </w:p>
    <w:p>
      <w:pPr>
        <w:keepNext w:val="0"/>
        <w:keepLines w:val="0"/>
        <w:spacing w:before="0" w:after="100" w:line="259" w:lineRule="auto"/>
      </w:pPr>
      <w:r>
        <w:rPr>
          <w:rFonts w:ascii="DejaVu Serif" w:hAnsi="DejaVu Serif" w:eastAsia="DejaVu Serif"/>
          <w:b w:val="0"/>
          <w:i w:val="0"/>
          <w:sz w:val="20"/>
        </w:rPr>
        <w:t>For a cover {U_i}, local sections s_i agree exactly when their overlap defects vanish. If P_D is a sheaf and the pairwise and triple-overlap conditions hold, a unique global section exists. This is a conditional theorem: each concrete Reper presheaf must be proved to satisfy the sheaf axioms.</w:t>
      </w:r>
    </w:p>
    <w:p>
      <w:pPr>
        <w:keepNext w:val="0"/>
        <w:keepLines w:val="0"/>
        <w:spacing w:before="0" w:after="100" w:line="259" w:lineRule="auto"/>
      </w:pPr>
      <w:r>
        <w:rPr>
          <w:rFonts w:ascii="DejaVu Serif" w:hAnsi="DejaVu Serif" w:eastAsia="DejaVu Serif"/>
          <w:b w:val="0"/>
          <w:i w:val="0"/>
          <w:sz w:val="20"/>
        </w:rPr>
        <w:t>When overlap defects are positive, the output is a corridor or a minimisation problem, not a global point prediction. A positive lower bound is an obstruction to unique gluing.</w:t>
      </w:r>
    </w:p>
    <w:p>
      <w:pPr>
        <w:keepNext w:val="0"/>
        <w:keepLines w:val="0"/>
        <w:spacing w:before="0" w:after="100" w:line="259" w:lineRule="auto"/>
      </w:pPr>
      <w:r>
        <w:rPr>
          <w:rFonts w:ascii="DejaVu Serif" w:hAnsi="DejaVu Serif" w:eastAsia="DejaVu Serif"/>
          <w:b w:val="0"/>
          <w:i w:val="0"/>
          <w:sz w:val="20"/>
        </w:rPr>
        <w:t>Proposition 30.5 [PROP]. If Delta_S Delta_D&gt;0, no branch-blind exact section can reproduce both S and Dfrak on the two branches. Otherwise e_S=e_D=0 would contradict the PN.2 lower bound.</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FANO AND KMA STATUS. </w:t>
            </w:r>
            <w:r>
              <w:rPr>
                <w:rFonts w:ascii="DejaVu Serif" w:hAnsi="DejaVu Serif" w:eastAsia="DejaVu Serif"/>
                <w:b w:val="0"/>
                <w:i w:val="0"/>
                <w:sz w:val="18"/>
              </w:rPr>
              <w:t>The Fano plane is retained as a finite incidence template and search barrier, not as proof of physical seven-dimensionality. KMA values are seed metadata. Target-domain validation remains mandatory.</w:t>
            </w:r>
          </w:p>
        </w:tc>
      </w:tr>
    </w:tbl>
    <w:p>
      <w:pPr>
        <w:spacing w:after="20"/>
      </w:pPr>
    </w:p>
    <w:p>
      <w:pPr>
        <w:pStyle w:val="Heading1"/>
        <w:keepNext/>
        <w:keepLines w:val="0"/>
        <w:spacing w:before="200" w:after="80" w:line="240" w:lineRule="auto"/>
      </w:pPr>
      <w:bookmarkStart w:id="1030" w:name="T1_CH_31"/>
      <w:r>
        <w:t>Chapter 31. Computational Certification and the Boundary of Evidence Status</w:t>
      </w:r>
      <w:bookmarkEnd w:id="1030"/>
    </w:p>
    <w:p>
      <w:pPr>
        <w:keepNext w:val="0"/>
        <w:keepLines w:val="0"/>
        <w:spacing w:before="0" w:after="100" w:line="259" w:lineRule="auto"/>
      </w:pPr>
      <w:r>
        <w:rPr>
          <w:rFonts w:ascii="DejaVu Serif" w:hAnsi="DejaVu Serif" w:eastAsia="DejaVu Serif"/>
          <w:b w:val="0"/>
          <w:i/>
          <w:sz w:val="18"/>
        </w:rPr>
        <w:t>Russian source locator: pp. 166–168</w:t>
      </w:r>
    </w:p>
    <w:tbl>
      <w:tblPr>
        <w:tblW w:type="auto" w:w="0"/>
        <w:jc w:val="center"/>
        <w:tblLayout w:type="fixed"/>
        <w:tblLook w:firstColumn="1" w:firstRow="1" w:lastColumn="0" w:lastRow="0" w:noHBand="0" w:noVBand="1" w:val="04A0"/>
      </w:tblPr>
      <w:tblGrid>
        <w:gridCol w:w="9638"/>
      </w:tblGrid>
      <w:tr>
        <w:trPr>
          <w:cantSplit/>
        </w:trPr>
        <w:tc>
          <w:tcPr>
            <w:tcW w:type="dxa" w:w="10070"/>
            <w:shd w:fill="EAF2F8"/>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1F4E78"/>
                <w:sz w:val="18"/>
              </w:rPr>
              <w:t xml:space="preserve">PLAIN-LANGUAGE EXPLANATION. </w:t>
            </w:r>
            <w:r>
              <w:rPr>
                <w:rFonts w:ascii="DejaVu Serif" w:hAnsi="DejaVu Serif" w:eastAsia="DejaVu Serif"/>
                <w:b w:val="0"/>
                <w:i w:val="0"/>
                <w:sz w:val="18"/>
              </w:rPr>
              <w:t>A certificate joins formula, code, data, domains, branch structure, and status so that a result can be repeated and contradicted. It is valuable because it remembers its own limits. A digest proves identity of bytes, not correctness of the model.</w:t>
            </w:r>
          </w:p>
        </w:tc>
      </w:tr>
    </w:tbl>
    <w:p>
      <w:pPr>
        <w:spacing w:after="20"/>
      </w:pPr>
    </w:p>
    <w:p>
      <w:pPr>
        <w:keepNext w:val="0"/>
        <w:keepLines/>
        <w:spacing w:before="80" w:after="40" w:line="240" w:lineRule="auto"/>
        <w:jc w:val="center"/>
      </w:pPr>
      <w:r>
        <w:drawing>
          <wp:inline xmlns:a="http://schemas.openxmlformats.org/drawingml/2006/main" xmlns:pic="http://schemas.openxmlformats.org/drawingml/2006/picture">
            <wp:extent cx="5760720" cy="2531225"/>
            <wp:docPr id="34" name="Picture 34"/>
            <wp:cNvGraphicFramePr>
              <a:graphicFrameLocks noChangeAspect="1"/>
            </wp:cNvGraphicFramePr>
            <a:graphic>
              <a:graphicData uri="http://schemas.openxmlformats.org/drawingml/2006/picture">
                <pic:pic>
                  <pic:nvPicPr>
                    <pic:cNvPr id="0" name="fig31_cert.png"/>
                    <pic:cNvPicPr/>
                  </pic:nvPicPr>
                  <pic:blipFill>
                    <a:blip r:embed="rId46"/>
                    <a:stretch>
                      <a:fillRect/>
                    </a:stretch>
                  </pic:blipFill>
                  <pic:spPr>
                    <a:xfrm>
                      <a:off x="0" y="0"/>
                      <a:ext cx="5760720" cy="2531225"/>
                    </a:xfrm>
                    <a:prstGeom prst="rect"/>
                  </pic:spPr>
                </pic:pic>
              </a:graphicData>
            </a:graphic>
          </wp:inline>
        </w:drawing>
      </w:r>
    </w:p>
    <w:p>
      <w:pPr>
        <w:keepNext w:val="0"/>
        <w:keepLines/>
        <w:spacing w:before="0" w:after="140" w:line="240" w:lineRule="auto"/>
        <w:jc w:val="center"/>
      </w:pPr>
      <w:bookmarkStart w:id="1091" w:name="T1_FIG_033"/>
      <w:r>
        <w:rPr>
          <w:rFonts w:ascii="DejaVu Serif" w:hAnsi="DejaVu Serif" w:eastAsia="DejaVu Serif"/>
          <w:b w:val="0"/>
          <w:i/>
          <w:color w:val="666666"/>
          <w:sz w:val="17"/>
        </w:rPr>
        <w:t>Figure 31.1. Computational replay, independent rerun, and empirical observation are distinct evidence levels.</w:t>
      </w:r>
      <w:bookmarkEnd w:id="1091"/>
    </w:p>
    <w:p>
      <w:pPr>
        <w:pStyle w:val="Heading2"/>
        <w:keepNext/>
        <w:keepLines w:val="0"/>
        <w:spacing w:before="160" w:after="80" w:line="240" w:lineRule="auto"/>
      </w:pPr>
      <w:r>
        <w:t>31.1. Full Certificate Type and Immutability</w:t>
      </w:r>
    </w:p>
    <w:p>
      <w:pPr>
        <w:keepNext w:val="0"/>
        <w:keepLines/>
        <w:spacing w:before="80" w:after="140" w:line="240" w:lineRule="auto"/>
        <w:jc w:val="center"/>
      </w:pPr>
      <w:r>
        <w:rPr>
          <w:rFonts w:ascii="DejaVu Serif" w:hAnsi="DejaVu Serif" w:eastAsia="DejaVu Serif"/>
          <w:b w:val="0"/>
          <w:i w:val="0"/>
          <w:sz w:val="22"/>
        </w:rPr>
        <w:t>Cert=(id,version,source_hash,code_hash,data_hash,D,Dom,split,B,gates,null,CGI,Xi,H,output,status,PO).</w:t>
      </w:r>
      <w:r>
        <w:rPr>
          <w:rFonts w:ascii="DejaVu Sans" w:hAnsi="DejaVu Sans" w:eastAsia="DejaVu Sans"/>
          <w:b w:val="0"/>
          <w:i/>
          <w:color w:val="666666"/>
          <w:sz w:val="16"/>
        </w:rPr>
        <w:t xml:space="preserve">    [RU p. 166]</w:t>
      </w:r>
    </w:p>
    <w:p>
      <w:pPr>
        <w:keepNext w:val="0"/>
        <w:keepLines w:val="0"/>
        <w:spacing w:before="0" w:after="100" w:line="259" w:lineRule="auto"/>
      </w:pPr>
      <w:r>
        <w:rPr>
          <w:rFonts w:ascii="DejaVu Serif" w:hAnsi="DejaVu Serif" w:eastAsia="DejaVu Serif"/>
          <w:b w:val="0"/>
          <w:i w:val="0"/>
          <w:sz w:val="20"/>
        </w:rPr>
        <w:t>D and Dom are mandatory and distinct. B stores branches; gates are three-valued; null records the matched-null assumptions; CGI stores value, calibration, and threshold; Xi is the Chapter 30 defect vector; H is the Chapter 28 horizon. A correction creates a new id/version and a supersedes link; the old object is never rewritten.</w:t>
      </w:r>
    </w:p>
    <w:p>
      <w:pPr>
        <w:keepNext w:val="0"/>
        <w:keepLines w:val="0"/>
        <w:spacing w:before="80" w:after="60" w:line="259" w:lineRule="auto"/>
      </w:pPr>
      <w:r>
        <w:rPr>
          <w:rFonts w:ascii="DejaVu Serif" w:hAnsi="DejaVu Serif" w:eastAsia="DejaVu Serif"/>
          <w:b/>
          <w:i w:val="0"/>
          <w:sz w:val="18"/>
        </w:rPr>
        <w:t>Three levels of reproducibility</w:t>
      </w:r>
    </w:p>
    <w:tbl>
      <w:tblPr>
        <w:tblW w:type="auto" w:w="0"/>
        <w:jc w:val="center"/>
        <w:tblLayout w:type="fixed"/>
        <w:tblLook w:firstColumn="1" w:firstRow="1" w:lastColumn="0" w:lastRow="0" w:noHBand="0" w:noVBand="1" w:val="04A0"/>
      </w:tblPr>
      <w:tblGrid>
        <w:gridCol w:w="3357"/>
        <w:gridCol w:w="3357"/>
        <w:gridCol w:w="3357"/>
      </w:tblGrid>
      <w:tr>
        <w:trPr>
          <w:tblHeader w:val="true"/>
        </w:trPr>
        <w:tc>
          <w:tcPr>
            <w:tcW w:type="dxa" w:w="737"/>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Level</w:t>
            </w:r>
          </w:p>
        </w:tc>
        <w:tc>
          <w:tcPr>
            <w:tcW w:type="dxa" w:w="5102"/>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Requirement</w:t>
            </w:r>
          </w:p>
        </w:tc>
        <w:tc>
          <w:tcPr>
            <w:tcW w:type="dxa" w:w="3969"/>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Permitted conclusion</w:t>
            </w:r>
          </w:p>
        </w:tc>
      </w:tr>
      <w:tr>
        <w:trPr>
          <w:cantSplit/>
        </w:trPr>
        <w:tc>
          <w:tcPr>
            <w:tcW w:type="dxa" w:w="73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R1</w:t>
            </w:r>
          </w:p>
        </w:tc>
        <w:tc>
          <w:tcPr>
            <w:tcW w:type="dxa" w:w="510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Input and program byte hashes match.</w:t>
            </w:r>
          </w:p>
        </w:tc>
        <w:tc>
          <w:tcPr>
            <w:tcW w:type="dxa" w:w="396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Byte-level identity of the declared inputs.</w:t>
            </w:r>
          </w:p>
        </w:tc>
      </w:tr>
      <w:tr>
        <w:trPr>
          <w:cantSplit/>
        </w:trPr>
        <w:tc>
          <w:tcPr>
            <w:tcW w:type="dxa" w:w="73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R2</w:t>
            </w:r>
          </w:p>
        </w:tc>
        <w:tc>
          <w:tcPr>
            <w:tcW w:type="dxa" w:w="5102"/>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Fixed environment and exact or fully specified arithmetic reproduce the same output.</w:t>
            </w:r>
          </w:p>
        </w:tc>
        <w:tc>
          <w:tcPr>
            <w:tcW w:type="dxa" w:w="3969"/>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Deterministic computational replay.</w:t>
            </w:r>
          </w:p>
        </w:tc>
      </w:tr>
      <w:tr>
        <w:trPr>
          <w:cantSplit/>
        </w:trPr>
        <w:tc>
          <w:tcPr>
            <w:tcW w:type="dxa" w:w="73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R3</w:t>
            </w:r>
          </w:p>
        </w:tc>
        <w:tc>
          <w:tcPr>
            <w:tcW w:type="dxa" w:w="5102"/>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Independent researcher obtains a compatible result on a new corpus under a preregistered protocol.</w:t>
            </w:r>
          </w:p>
        </w:tc>
        <w:tc>
          <w:tcPr>
            <w:tcW w:type="dxa" w:w="3969"/>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Independent subject-matter reproducibility.</w:t>
            </w:r>
          </w:p>
        </w:tc>
      </w:tr>
    </w:tbl>
    <w:p>
      <w:pPr>
        <w:spacing w:after="40"/>
      </w:pPr>
    </w:p>
    <w:p>
      <w:pPr>
        <w:keepNext w:val="0"/>
        <w:keepLines w:val="0"/>
        <w:spacing w:before="0" w:after="100" w:line="259" w:lineRule="auto"/>
      </w:pPr>
      <w:r>
        <w:rPr>
          <w:rFonts w:ascii="DejaVu Serif" w:hAnsi="DejaVu Serif" w:eastAsia="DejaVu Serif"/>
          <w:b w:val="0"/>
          <w:i w:val="0"/>
          <w:sz w:val="20"/>
        </w:rPr>
        <w:t>Theorem 31.1 [THM]. A pure deterministic program with fixed environment, all input bytes, and exact or fully specified rounding returns the same output on replay. SHA-256 equality is evidence of byte identity with negligible collision probability, but does not verify that the program implements the right formula or that the data are representative.</w:t>
      </w:r>
    </w:p>
    <w:p>
      <w:pPr>
        <w:pStyle w:val="Heading2"/>
        <w:keepNext/>
        <w:keepLines w:val="0"/>
        <w:spacing w:before="160" w:after="80" w:line="240" w:lineRule="auto"/>
      </w:pPr>
      <w:r>
        <w:t>31.2. PN2-PO12-A2-v1.0 and the Replay Blocker</w:t>
      </w:r>
    </w:p>
    <w:p>
      <w:pPr>
        <w:keepNext w:val="0"/>
        <w:keepLines w:val="0"/>
        <w:spacing w:before="0" w:after="100" w:line="259" w:lineRule="auto"/>
      </w:pPr>
      <w:r>
        <w:rPr>
          <w:rFonts w:ascii="DejaVu Serif" w:hAnsi="DejaVu Serif" w:eastAsia="DejaVu Serif"/>
          <w:b w:val="0"/>
          <w:i w:val="0"/>
          <w:sz w:val="20"/>
        </w:rPr>
        <w:t>The canonical source documents the A2 structural constants, eleven tests, exact c=1, epsilon_minus=3, kappa_Omega=3/4, and bundle hashes. The source also states that the archive pn2_po12_cert_v1.0.zip was not present in that assembly. Accordingly, Chapter 31 does not claim a new independent code execution. It records the published source certificate and leaves external replay open.</w:t>
      </w: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NO STATUS SUBSTITUTION. </w:t>
            </w:r>
            <w:r>
              <w:rPr>
                <w:rFonts w:ascii="DejaVu Serif" w:hAnsi="DejaVu Serif" w:eastAsia="DejaVu Serif"/>
                <w:b w:val="0"/>
                <w:i w:val="0"/>
                <w:sz w:val="18"/>
              </w:rPr>
              <w:t>A translated certificate record is not a rerun receipt. A local checksum of the monograph is not the checksum of the absent certificate archive.</w:t>
            </w:r>
          </w:p>
        </w:tc>
      </w:tr>
    </w:tbl>
    <w:p>
      <w:pPr>
        <w:spacing w:after="20"/>
      </w:pPr>
    </w:p>
    <w:p>
      <w:pPr>
        <w:pStyle w:val="Heading2"/>
        <w:keepNext/>
        <w:keepLines w:val="0"/>
        <w:spacing w:before="160" w:after="80" w:line="240" w:lineRule="auto"/>
      </w:pPr>
      <w:r>
        <w:t>31.3. Sequential Validity</w:t>
      </w:r>
    </w:p>
    <w:p>
      <w:pPr>
        <w:keepNext w:val="0"/>
        <w:keepLines w:val="0"/>
        <w:spacing w:before="0" w:after="100" w:line="259" w:lineRule="auto"/>
      </w:pPr>
      <w:r>
        <w:rPr>
          <w:rFonts w:ascii="DejaVu Serif" w:hAnsi="DejaVu Serif" w:eastAsia="DejaVu Serif"/>
          <w:b w:val="0"/>
          <w:i w:val="0"/>
          <w:sz w:val="20"/>
        </w:rPr>
        <w:t>For a continuously monitored database, a static p-value is insufficient when publication follows repeated inspection. A preregistered e-process or alpha-spending rule is required.</w:t>
      </w:r>
    </w:p>
    <w:p>
      <w:pPr>
        <w:keepNext w:val="0"/>
        <w:keepLines w:val="0"/>
        <w:spacing w:before="0" w:after="100" w:line="259" w:lineRule="auto"/>
      </w:pPr>
      <w:r>
        <w:rPr>
          <w:rFonts w:ascii="DejaVu Serif" w:hAnsi="DejaVu Serif" w:eastAsia="DejaVu Serif"/>
          <w:b w:val="0"/>
          <w:i w:val="0"/>
          <w:sz w:val="20"/>
        </w:rPr>
        <w:t>Theorem 31.2 [THM]. If E_t is a nonnegative supermartingale under H0 and E_0&lt;=1, then the test that rejects when sup_t E_t&gt;=1/alpha has false-rejection probability at most alpha.</w:t>
      </w:r>
    </w:p>
    <w:p>
      <w:pPr>
        <w:keepNext w:val="0"/>
        <w:keepLines/>
        <w:spacing w:before="80" w:after="140" w:line="240" w:lineRule="auto"/>
        <w:jc w:val="center"/>
      </w:pPr>
      <w:r>
        <w:rPr>
          <w:rFonts w:ascii="DejaVu Serif" w:hAnsi="DejaVu Serif" w:eastAsia="DejaVu Serif"/>
          <w:b w:val="0"/>
          <w:i w:val="0"/>
          <w:sz w:val="22"/>
        </w:rPr>
        <w:t>P_0(sup_t E_t &gt;= 1/alpha) &lt;= alpha E_0 &lt;= alpha.</w:t>
      </w:r>
      <w:r>
        <w:rPr>
          <w:rFonts w:ascii="DejaVu Sans" w:hAnsi="DejaVu Sans" w:eastAsia="DejaVu Sans"/>
          <w:b w:val="0"/>
          <w:i/>
          <w:color w:val="666666"/>
          <w:sz w:val="16"/>
        </w:rPr>
        <w:t xml:space="preserve">    [RU p. 166]</w:t>
      </w:r>
    </w:p>
    <w:p>
      <w:pPr>
        <w:keepNext w:val="0"/>
        <w:keepLines w:val="0"/>
        <w:spacing w:before="0" w:after="100" w:line="259" w:lineRule="auto"/>
      </w:pPr>
      <w:r>
        <w:rPr>
          <w:rFonts w:ascii="DejaVu Serif" w:hAnsi="DejaVu Serif" w:eastAsia="DejaVu Serif"/>
          <w:b w:val="0"/>
          <w:i w:val="0"/>
          <w:sz w:val="20"/>
        </w:rPr>
        <w:t>The supermartingale condition is itself a proof obligation of the concrete null. Without it, continued monitoring introduces undeclared multiplicity and the status is statistical-gate-failed.</w:t>
      </w:r>
    </w:p>
    <w:p>
      <w:pPr>
        <w:pStyle w:val="Heading2"/>
        <w:keepNext/>
        <w:keepLines w:val="0"/>
        <w:spacing w:before="160" w:after="80" w:line="240" w:lineRule="auto"/>
      </w:pPr>
      <w:r>
        <w:t>31.4. Frozen Artifact Card and Final Status Ledger</w:t>
      </w:r>
    </w:p>
    <w:p>
      <w:pPr>
        <w:keepNext w:val="0"/>
        <w:keepLines w:val="0"/>
        <w:spacing w:before="0" w:after="100" w:line="259" w:lineRule="auto"/>
      </w:pPr>
      <w:r>
        <w:rPr>
          <w:rFonts w:ascii="DejaVu Serif" w:hAnsi="DejaVu Serif" w:eastAsia="DejaVu Serif"/>
          <w:b w:val="0"/>
          <w:i w:val="0"/>
          <w:sz w:val="20"/>
        </w:rPr>
        <w:t>The source preserves the following immutable chain without changing any field:</w:t>
      </w:r>
    </w:p>
    <w:p>
      <w:pPr>
        <w:keepNext w:val="0"/>
        <w:keepLines/>
        <w:spacing w:before="80" w:after="140" w:line="240" w:lineRule="auto"/>
        <w:jc w:val="center"/>
      </w:pPr>
      <w:r>
        <w:rPr>
          <w:rFonts w:ascii="DejaVu Serif" w:hAnsi="DejaVu Serif" w:eastAsia="DejaVu Serif"/>
          <w:b w:val="0"/>
          <w:i w:val="0"/>
          <w:sz w:val="22"/>
        </w:rPr>
        <w:t>RIUD-TETRA-RUN006-029 -&gt; PROOF-OBJ-RUN007-0029 -&gt; FORMAL-CARD-RUN009-006 -&gt; SIGNATURE-REVIEW-RUN013-001.</w:t>
      </w:r>
      <w:r>
        <w:rPr>
          <w:rFonts w:ascii="DejaVu Sans" w:hAnsi="DejaVu Sans" w:eastAsia="DejaVu Sans"/>
          <w:b w:val="0"/>
          <w:i/>
          <w:color w:val="666666"/>
          <w:sz w:val="16"/>
        </w:rPr>
        <w:t xml:space="preserve">    [RU p. 167]</w:t>
      </w:r>
    </w:p>
    <w:p>
      <w:pPr>
        <w:keepNext w:val="0"/>
        <w:keepLines/>
        <w:spacing w:before="80" w:after="140" w:line="240" w:lineRule="auto"/>
        <w:jc w:val="center"/>
      </w:pPr>
      <w:r>
        <w:rPr>
          <w:rFonts w:ascii="DejaVu Serif" w:hAnsi="DejaVu Serif" w:eastAsia="DejaVu Serif"/>
          <w:b w:val="0"/>
          <w:i w:val="0"/>
          <w:sz w:val="22"/>
        </w:rPr>
        <w:t>lambda=-0.992736565468,   delta_truth=0.007263434532,   CGI=0.140948882338.</w:t>
      </w:r>
      <w:r>
        <w:rPr>
          <w:rFonts w:ascii="DejaVu Sans" w:hAnsi="DejaVu Sans" w:eastAsia="DejaVu Sans"/>
          <w:b w:val="0"/>
          <w:i/>
          <w:color w:val="666666"/>
          <w:sz w:val="16"/>
        </w:rPr>
        <w:t xml:space="preserve">    [RU p. 167]</w:t>
      </w:r>
    </w:p>
    <w:p>
      <w:pPr>
        <w:keepNext w:val="0"/>
        <w:keepLines w:val="0"/>
        <w:spacing w:before="0" w:after="100" w:line="259" w:lineRule="auto"/>
      </w:pPr>
      <w:r>
        <w:rPr>
          <w:rFonts w:ascii="DejaVu Serif" w:hAnsi="DejaVu Serif" w:eastAsia="DejaVu Serif"/>
          <w:b w:val="0"/>
          <w:i w:val="0"/>
          <w:sz w:val="20"/>
        </w:rPr>
        <w:t>Its status remains signature-ready-not-truth-layer. CGI&lt;1 is a necessary gate in that pipeline, not a sufficient truth condition.</w:t>
      </w:r>
    </w:p>
    <w:p>
      <w:pPr>
        <w:keepNext w:val="0"/>
        <w:keepLines w:val="0"/>
        <w:spacing w:before="80" w:after="60" w:line="259" w:lineRule="auto"/>
      </w:pPr>
      <w:r>
        <w:rPr>
          <w:rFonts w:ascii="DejaVu Serif" w:hAnsi="DejaVu Serif" w:eastAsia="DejaVu Serif"/>
          <w:b/>
          <w:i w:val="0"/>
          <w:sz w:val="18"/>
        </w:rPr>
        <w:t>Final status ledger of the v0.5 translated scope</w:t>
      </w:r>
    </w:p>
    <w:tbl>
      <w:tblPr>
        <w:tblW w:type="auto" w:w="0"/>
        <w:jc w:val="center"/>
        <w:tblLayout w:type="fixed"/>
        <w:tblLook w:firstColumn="1" w:firstRow="1" w:lastColumn="0" w:lastRow="0" w:noHBand="0" w:noVBand="1" w:val="04A0"/>
      </w:tblPr>
      <w:tblGrid>
        <w:gridCol w:w="2517"/>
        <w:gridCol w:w="2517"/>
        <w:gridCol w:w="2517"/>
        <w:gridCol w:w="2517"/>
      </w:tblGrid>
      <w:tr>
        <w:trPr>
          <w:tblHeader w:val="true"/>
        </w:trPr>
        <w:tc>
          <w:tcPr>
            <w:tcW w:type="dxa" w:w="1417"/>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5"/>
              </w:rPr>
              <w:t>Object</w:t>
            </w:r>
          </w:p>
        </w:tc>
        <w:tc>
          <w:tcPr>
            <w:tcW w:type="dxa" w:w="1984"/>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5"/>
              </w:rPr>
              <w:t>Preserved status</w:t>
            </w:r>
          </w:p>
        </w:tc>
        <w:tc>
          <w:tcPr>
            <w:tcW w:type="dxa" w:w="3175"/>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5"/>
              </w:rPr>
              <w:t>Established</w:t>
            </w:r>
          </w:p>
        </w:tc>
        <w:tc>
          <w:tcPr>
            <w:tcW w:type="dxa" w:w="2721"/>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5"/>
              </w:rPr>
              <w:t>Still open</w:t>
            </w:r>
          </w:p>
        </w:tc>
      </w:tr>
      <w:tr>
        <w:trPr>
          <w:cantSplit/>
        </w:trPr>
        <w:tc>
          <w:tcPr>
            <w:tcW w:type="dxa" w:w="141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PN.2</w:t>
            </w:r>
          </w:p>
        </w:tc>
        <w:tc>
          <w:tcPr>
            <w:tcW w:type="dxa" w:w="198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proved under explicit assumptions</w:t>
            </w:r>
          </w:p>
        </w:tc>
        <w:tc>
          <w:tcPr>
            <w:tcW w:type="dxa" w:w="317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Local minimax lower bound.</w:t>
            </w:r>
          </w:p>
        </w:tc>
        <w:tc>
          <w:tcPr>
            <w:tcW w:type="dxa" w:w="272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Physical bridges.</w:t>
            </w:r>
          </w:p>
        </w:tc>
      </w:tr>
      <w:tr>
        <w:trPr>
          <w:cantSplit/>
        </w:trPr>
        <w:tc>
          <w:tcPr>
            <w:tcW w:type="dxa" w:w="141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PO-11</w:t>
            </w:r>
          </w:p>
        </w:tc>
        <w:tc>
          <w:tcPr>
            <w:tcW w:type="dxa" w:w="198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closed abstract</w:t>
            </w:r>
          </w:p>
        </w:tc>
        <w:tc>
          <w:tcPr>
            <w:tcW w:type="dxa" w:w="317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Four explicit models.</w:t>
            </w:r>
          </w:p>
        </w:tc>
        <w:tc>
          <w:tcPr>
            <w:tcW w:type="dxa" w:w="272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Transfer to physical R*R.</w:t>
            </w:r>
          </w:p>
        </w:tc>
      </w:tr>
      <w:tr>
        <w:trPr>
          <w:cantSplit/>
        </w:trPr>
        <w:tc>
          <w:tcPr>
            <w:tcW w:type="dxa" w:w="141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PO-12</w:t>
            </w:r>
          </w:p>
        </w:tc>
        <w:tc>
          <w:tcPr>
            <w:tcW w:type="dxa" w:w="198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closed abstract/source certificate</w:t>
            </w:r>
          </w:p>
        </w:tc>
        <w:tc>
          <w:tcPr>
            <w:tcW w:type="dxa" w:w="317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Published exact A2 tests and hashes.</w:t>
            </w:r>
          </w:p>
        </w:tc>
        <w:tc>
          <w:tcPr>
            <w:tcW w:type="dxa" w:w="272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External replay of the archive.</w:t>
            </w:r>
          </w:p>
        </w:tc>
      </w:tr>
      <w:tr>
        <w:trPr>
          <w:cantSplit/>
        </w:trPr>
        <w:tc>
          <w:tcPr>
            <w:tcW w:type="dxa" w:w="141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Five limits</w:t>
            </w:r>
          </w:p>
        </w:tc>
        <w:tc>
          <w:tcPr>
            <w:tcW w:type="dxa" w:w="198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formalised conditional</w:t>
            </w:r>
          </w:p>
        </w:tc>
        <w:tc>
          <w:tcPr>
            <w:tcW w:type="dxa" w:w="317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Gates, margin, horizon.</w:t>
            </w:r>
          </w:p>
        </w:tc>
        <w:tc>
          <w:tcPr>
            <w:tcW w:type="dxa" w:w="272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Domain thresholds.</w:t>
            </w:r>
          </w:p>
        </w:tc>
      </w:tr>
      <w:tr>
        <w:trPr>
          <w:cantSplit/>
        </w:trPr>
        <w:tc>
          <w:tcPr>
            <w:tcW w:type="dxa" w:w="141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Adaptive Reper</w:t>
            </w:r>
          </w:p>
        </w:tc>
        <w:tc>
          <w:tcPr>
            <w:tcW w:type="dxa" w:w="198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theorem schema</w:t>
            </w:r>
          </w:p>
        </w:tc>
        <w:tc>
          <w:tcPr>
            <w:tcW w:type="dxa" w:w="317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Locality and leakage prohibition.</w:t>
            </w:r>
          </w:p>
        </w:tc>
        <w:tc>
          <w:tcPr>
            <w:tcW w:type="dxa" w:w="272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Empirical evaluation.</w:t>
            </w:r>
          </w:p>
        </w:tc>
      </w:tr>
      <w:tr>
        <w:trPr>
          <w:cantSplit/>
        </w:trPr>
        <w:tc>
          <w:tcPr>
            <w:tcW w:type="dxa" w:w="1417"/>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Predictive bundle</w:t>
            </w:r>
          </w:p>
        </w:tc>
        <w:tc>
          <w:tcPr>
            <w:tcW w:type="dxa" w:w="1984"/>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defined / conditional</w:t>
            </w:r>
          </w:p>
        </w:tc>
        <w:tc>
          <w:tcPr>
            <w:tcW w:type="dxa" w:w="3175"/>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Typed transfer and curvature.</w:t>
            </w:r>
          </w:p>
        </w:tc>
        <w:tc>
          <w:tcPr>
            <w:tcW w:type="dxa" w:w="272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Sheaf property of real fibres.</w:t>
            </w:r>
          </w:p>
        </w:tc>
      </w:tr>
      <w:tr>
        <w:trPr>
          <w:cantSplit/>
        </w:trPr>
        <w:tc>
          <w:tcPr>
            <w:tcW w:type="dxa" w:w="1417"/>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Artifact-1</w:t>
            </w:r>
          </w:p>
        </w:tc>
        <w:tc>
          <w:tcPr>
            <w:tcW w:type="dxa" w:w="1984"/>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frozen</w:t>
            </w:r>
          </w:p>
        </w:tc>
        <w:tc>
          <w:tcPr>
            <w:tcW w:type="dxa" w:w="3175"/>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signature-ready-not-truth-layer.</w:t>
            </w:r>
          </w:p>
        </w:tc>
        <w:tc>
          <w:tcPr>
            <w:tcW w:type="dxa" w:w="272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5"/>
              </w:rPr>
              <w:t>Certificate-lock review.</w:t>
            </w:r>
          </w:p>
        </w:tc>
      </w:tr>
    </w:tbl>
    <w:p>
      <w:pPr>
        <w:spacing w:after="40"/>
      </w:pPr>
    </w:p>
    <w:tbl>
      <w:tblPr>
        <w:tblW w:type="auto" w:w="0"/>
        <w:jc w:val="center"/>
        <w:tblLayout w:type="fixed"/>
        <w:tblLook w:firstColumn="1" w:firstRow="1" w:lastColumn="0" w:lastRow="0" w:noHBand="0" w:noVBand="1" w:val="04A0"/>
      </w:tblPr>
      <w:tblGrid>
        <w:gridCol w:w="9638"/>
      </w:tblGrid>
      <w:tr>
        <w:trPr>
          <w:cantSplit/>
        </w:trPr>
        <w:tc>
          <w:tcPr>
            <w:tcW w:type="dxa" w:w="10070"/>
            <w:shd w:fill="FBE9E7"/>
            <w:tcMar>
              <w:top w:w="125" w:type="dxa"/>
              <w:start w:w="155" w:type="dxa"/>
              <w:bottom w:w="125" w:type="dxa"/>
              <w:end w:w="155" w:type="dxa"/>
            </w:tcMar>
            <w:vAlign w:val="center"/>
          </w:tcPr>
          <w:p>
            <w:pPr>
              <w:keepNext w:val="0"/>
              <w:keepLines w:val="0"/>
              <w:spacing w:before="0" w:after="0" w:line="259" w:lineRule="auto"/>
            </w:pPr>
            <w:r>
              <w:rPr>
                <w:rFonts w:ascii="DejaVu Sans" w:hAnsi="DejaVu Sans" w:eastAsia="DejaVu Sans"/>
                <w:b/>
                <w:i w:val="0"/>
                <w:color w:val="A61C1C"/>
                <w:sz w:val="18"/>
              </w:rPr>
              <w:t xml:space="preserve">FINAL BOUNDARY. </w:t>
            </w:r>
            <w:r>
              <w:rPr>
                <w:rFonts w:ascii="DejaVu Serif" w:hAnsi="DejaVu Serif" w:eastAsia="DejaVu Serif"/>
                <w:b w:val="0"/>
                <w:i w:val="0"/>
                <w:sz w:val="18"/>
              </w:rPr>
              <w:t>The v0.5 checkpoint ends at Chapter 31. It adds no experimental data, performs no independent EXT-RUN, and does not promote any physical claim. The next stage begins with typed domain adapters and independent predictive validation.</w:t>
            </w:r>
          </w:p>
        </w:tc>
      </w:tr>
    </w:tbl>
    <w:p>
      <w:pPr>
        <w:spacing w:after="20"/>
      </w:pPr>
    </w:p>
    <w:p>
      <w:r>
        <w:br w:type="page"/>
      </w:r>
    </w:p>
    <w:p>
      <w:pPr>
        <w:pStyle w:val="Heading1"/>
        <w:keepNext/>
        <w:keepLines w:val="0"/>
        <w:spacing w:before="200" w:after="80" w:line="240" w:lineRule="auto"/>
      </w:pPr>
      <w:r>
        <w:t>T1-EN-PN2-v0.5 — Checkpoint Register</w:t>
      </w:r>
    </w:p>
    <w:tbl>
      <w:tblPr>
        <w:tblW w:type="auto" w:w="0"/>
        <w:jc w:val="center"/>
        <w:tblLayout w:type="fixed"/>
        <w:tblLook w:firstColumn="1" w:firstRow="1" w:lastColumn="0" w:lastRow="0" w:noHBand="0" w:noVBand="1" w:val="04A0"/>
      </w:tblPr>
      <w:tblGrid>
        <w:gridCol w:w="5035"/>
        <w:gridCol w:w="5035"/>
      </w:tblGrid>
      <w:tr>
        <w:trPr>
          <w:tblHeader w:val="true"/>
        </w:trPr>
        <w:tc>
          <w:tcPr>
            <w:tcW w:type="dxa" w:w="2891"/>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Register item</w:t>
            </w:r>
          </w:p>
        </w:tc>
        <w:tc>
          <w:tcPr>
            <w:tcW w:type="dxa" w:w="6406"/>
            <w:shd w:fill="1F4E78"/>
            <w:tcMar>
              <w:top w:w="90" w:type="dxa"/>
              <w:start w:w="110" w:type="dxa"/>
              <w:bottom w:w="90" w:type="dxa"/>
              <w:end w:w="110" w:type="dxa"/>
            </w:tcMar>
            <w:vAlign w:val="center"/>
          </w:tcPr>
          <w:p>
            <w:pPr>
              <w:keepNext w:val="0"/>
              <w:keepLines w:val="0"/>
              <w:spacing w:before="0" w:after="0" w:line="240" w:lineRule="auto"/>
              <w:jc w:val="center"/>
            </w:pPr>
            <w:r>
              <w:rPr>
                <w:rFonts w:ascii="DejaVu Sans" w:hAnsi="DejaVu Sans" w:eastAsia="DejaVu Sans"/>
                <w:b/>
                <w:i w:val="0"/>
                <w:color w:val="FFFFFF"/>
                <w:sz w:val="16"/>
              </w:rPr>
              <w:t>Value</w:t>
            </w:r>
          </w:p>
        </w:tc>
      </w:tr>
      <w:tr>
        <w:trPr>
          <w:cantSplit/>
        </w:trPr>
        <w:tc>
          <w:tcPr>
            <w:tcW w:type="dxa" w:w="289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Translated scope</w:t>
            </w:r>
          </w:p>
        </w:tc>
        <w:tc>
          <w:tcPr>
            <w:tcW w:type="dxa" w:w="640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Chapters 1–31; new material Chapters 27–31.</w:t>
            </w:r>
          </w:p>
        </w:tc>
      </w:tr>
      <w:tr>
        <w:trPr>
          <w:cantSplit/>
        </w:trPr>
        <w:tc>
          <w:tcPr>
            <w:tcW w:type="dxa" w:w="289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Russian locators added</w:t>
            </w:r>
          </w:p>
        </w:tc>
        <w:tc>
          <w:tcPr>
            <w:tcW w:type="dxa" w:w="640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pp. 140–168.</w:t>
            </w:r>
          </w:p>
        </w:tc>
      </w:tr>
      <w:tr>
        <w:trPr>
          <w:cantSplit/>
        </w:trPr>
        <w:tc>
          <w:tcPr>
            <w:tcW w:type="dxa" w:w="289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Canonical theorem package</w:t>
            </w:r>
          </w:p>
        </w:tc>
        <w:tc>
          <w:tcPr>
            <w:tcW w:type="dxa" w:w="640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PN.2 local minimax theorem with conditional uniform form.</w:t>
            </w:r>
          </w:p>
        </w:tc>
      </w:tr>
      <w:tr>
        <w:trPr>
          <w:cantSplit/>
        </w:trPr>
        <w:tc>
          <w:tcPr>
            <w:tcW w:type="dxa" w:w="289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Internal Appendix A</w:t>
            </w:r>
          </w:p>
        </w:tc>
        <w:tc>
          <w:tcPr>
            <w:tcW w:type="dxa" w:w="640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Four exact constructions; PO-11 closed abstract.</w:t>
            </w:r>
          </w:p>
        </w:tc>
      </w:tr>
      <w:tr>
        <w:trPr>
          <w:cantSplit/>
        </w:trPr>
        <w:tc>
          <w:tcPr>
            <w:tcW w:type="dxa" w:w="289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Internal Appendix B</w:t>
            </w:r>
          </w:p>
        </w:tc>
        <w:tc>
          <w:tcPr>
            <w:tcW w:type="dxa" w:w="640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Source-documented certificate; PO-12 closed abstract/source-certificate.</w:t>
            </w:r>
          </w:p>
        </w:tc>
      </w:tr>
      <w:tr>
        <w:trPr>
          <w:cantSplit/>
        </w:trPr>
        <w:tc>
          <w:tcPr>
            <w:tcW w:type="dxa" w:w="289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Physical register</w:t>
            </w:r>
          </w:p>
        </w:tc>
        <w:tc>
          <w:tcPr>
            <w:tcW w:type="dxa" w:w="640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F-1–F-14 preserved as PHY-HYP/OPEN.</w:t>
            </w:r>
          </w:p>
        </w:tc>
      </w:tr>
      <w:tr>
        <w:trPr>
          <w:cantSplit/>
        </w:trPr>
        <w:tc>
          <w:tcPr>
            <w:tcW w:type="dxa" w:w="289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Predictive architecture</w:t>
            </w:r>
          </w:p>
        </w:tc>
        <w:tc>
          <w:tcPr>
            <w:tcW w:type="dxa" w:w="640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Five limits, finite horizon, local rebuilding, bundle, certification levels.</w:t>
            </w:r>
          </w:p>
        </w:tc>
      </w:tr>
      <w:tr>
        <w:trPr>
          <w:cantSplit/>
        </w:trPr>
        <w:tc>
          <w:tcPr>
            <w:tcW w:type="dxa" w:w="2891"/>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Evidence firewall</w:t>
            </w:r>
          </w:p>
        </w:tc>
        <w:tc>
          <w:tcPr>
            <w:tcW w:type="dxa" w:w="6406"/>
            <w:shd w:fill="F7F9FB"/>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NUM-SOURCE != EXT-RUN != EMP-OBS.</w:t>
            </w:r>
          </w:p>
        </w:tc>
      </w:tr>
      <w:tr>
        <w:trPr>
          <w:cantSplit/>
        </w:trPr>
        <w:tc>
          <w:tcPr>
            <w:tcW w:type="dxa" w:w="2891"/>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Next checkpoint</w:t>
            </w:r>
          </w:p>
        </w:tc>
        <w:tc>
          <w:tcPr>
            <w:tcW w:type="dxa" w:w="6406"/>
            <w:tcMar>
              <w:top w:w="80" w:type="dxa"/>
              <w:start w:w="100" w:type="dxa"/>
              <w:bottom w:w="80" w:type="dxa"/>
              <w:end w:w="100" w:type="dxa"/>
            </w:tcMar>
            <w:vAlign w:val="center"/>
          </w:tcPr>
          <w:p>
            <w:pPr>
              <w:keepNext w:val="0"/>
              <w:keepLines w:val="0"/>
              <w:spacing w:before="0" w:after="0" w:line="240" w:lineRule="auto"/>
              <w:jc w:val="left"/>
            </w:pPr>
            <w:r>
              <w:rPr>
                <w:rFonts w:ascii="DejaVu Serif" w:hAnsi="DejaVu Serif" w:eastAsia="DejaVu Serif"/>
                <w:b w:val="0"/>
                <w:i w:val="0"/>
                <w:sz w:val="16"/>
              </w:rPr>
              <w:t>T1-EN-DATA-v0.6: Chapters 32–40.</w:t>
            </w:r>
          </w:p>
        </w:tc>
      </w:tr>
    </w:tbl>
    <w:p>
      <w:pPr>
        <w:spacing w:after="40"/>
      </w:pPr>
    </w:p>
    <w:p>
      <w:pPr>
        <w:keepNext w:val="0"/>
        <w:keepLines/>
        <w:spacing w:before="80" w:after="140" w:line="240" w:lineRule="auto"/>
        <w:jc w:val="center"/>
      </w:pPr>
      <w:r>
        <w:rPr>
          <w:rFonts w:ascii="DejaVu Serif" w:hAnsi="DejaVu Serif" w:eastAsia="DejaVu Serif"/>
          <w:b w:val="0"/>
          <w:i w:val="0"/>
          <w:sz w:val="22"/>
        </w:rPr>
        <w:t>Status_EN(x) &lt;= Status_RU(x),     truth_layer_promotion=0.</w:t>
      </w:r>
    </w:p>
    <w:p>
      <w:r>
        <w:br w:type="page"/>
      </w:r>
    </w:p>
    <w:p>
      <w:pPr>
        <w:pStyle w:val="Heading1"/>
        <w:keepNext/>
      </w:pPr>
      <w:r>
        <w:t>T1-EN-DATA-v0.6</w:t>
      </w:r>
    </w:p>
    <w:p>
      <w:pPr>
        <w:jc w:val="center"/>
      </w:pPr>
      <w:r>
        <w:rPr>
          <w:rFonts w:ascii="DejaVu Sans" w:hAnsi="DejaVu Sans" w:eastAsia="DejaVu Sans"/>
          <w:b/>
          <w:i w:val="0"/>
          <w:color w:val="9C6B1B"/>
          <w:sz w:val="24"/>
        </w:rPr>
        <w:t>CONTROLLED ENGLISH TRANSLATION OF CHAPTERS 32-40</w:t>
      </w:r>
    </w:p>
    <w:p>
      <w:pPr>
        <w:spacing w:after="80" w:line="269" w:lineRule="auto"/>
        <w:jc w:val="both"/>
      </w:pPr>
      <w:r>
        <w:rPr>
          <w:rFonts w:ascii="DejaVu Serif" w:hAnsi="DejaVu Serif" w:eastAsia="DejaVu Serif"/>
          <w:b w:val="0"/>
          <w:i w:val="0"/>
        </w:rPr>
        <w:t>This checkpoint extends the frozen Russian Volume I derivative through Chapter 40. It translates the typed domain-adapter layer, data identity and provenance, identifiability and transportability, conformal calibration, blocker-safe execution, covariate-shift correction, anytime-valid monitoring, and branch aggregation. The Russian source remains authoritative for formulas, status labels, hypotheses, and page locators.</w:t>
      </w:r>
    </w:p>
    <w:p>
      <w:pPr>
        <w:spacing w:before="80" w:after="100"/>
        <w:jc w:val="center"/>
      </w:pPr>
      <w:r>
        <w:rPr>
          <w:rFonts w:ascii="DejaVu Serif" w:hAnsi="DejaVu Serif" w:eastAsia="DejaVu Serif"/>
          <w:b w:val="0"/>
          <w:i w:val="0"/>
          <w:sz w:val="21"/>
        </w:rPr>
        <w:t>Authority(T1-RU v197) &gt; Authority(T1-EN v0.6);   Status_EN(x) &lt;= Status_RU(x)</w:t>
      </w:r>
    </w:p>
    <w:tbl>
      <w:tblPr>
        <w:tblStyle w:val="TableGrid"/>
        <w:tblW w:type="auto" w:w="0"/>
        <w:jc w:val="center"/>
        <w:tblLook w:firstColumn="1" w:firstRow="1" w:lastColumn="0" w:lastRow="0" w:noHBand="0" w:noVBand="1" w:val="04A0"/>
      </w:tblPr>
      <w:tblGrid>
        <w:gridCol w:w="10070"/>
      </w:tblGrid>
      <w:tr>
        <w:tc>
          <w:tcPr>
            <w:tcW w:type="dxa" w:w="10070"/>
            <w:shd w:fill="F9EAEA"/>
            <w:tcMar>
              <w:top w:w="120" w:type="dxa"/>
              <w:start w:w="140" w:type="dxa"/>
              <w:bottom w:w="120" w:type="dxa"/>
              <w:end w:w="140" w:type="dxa"/>
            </w:tcMar>
          </w:tcPr>
          <w:p>
            <w:r>
              <w:rPr>
                <w:rFonts w:ascii="DejaVu Sans" w:hAnsi="DejaVu Sans" w:eastAsia="DejaVu Sans"/>
                <w:b/>
                <w:i w:val="0"/>
                <w:color w:val="9E2A2B"/>
                <w:sz w:val="18"/>
              </w:rPr>
              <w:t xml:space="preserve">Status firewall. </w:t>
            </w:r>
            <w:r>
              <w:rPr>
                <w:rFonts w:ascii="DejaVu Serif" w:hAnsi="DejaVu Serif" w:eastAsia="DejaVu Serif"/>
                <w:b w:val="0"/>
                <w:i w:val="0"/>
                <w:sz w:val="18"/>
              </w:rPr>
              <w:t>truth_layer_promotion=0. Type correctness, database integrity, replay, conformal coverage, regret bounds, and e-process evidence do not by themselves imply EXT-RUN or EMP-OBS.</w:t>
            </w:r>
          </w:p>
        </w:tc>
      </w:tr>
    </w:tbl>
    <w:p>
      <w:pPr>
        <w:spacing w:after="40"/>
      </w:pPr>
    </w:p>
    <w:p>
      <w:pPr>
        <w:pStyle w:val="Heading2"/>
        <w:keepNext/>
      </w:pPr>
      <w:r>
        <w:t>v0.6 Change-Set and Parity Scope</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181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ID</w:t>
            </w:r>
          </w:p>
        </w:tc>
        <w:tc>
          <w:tcPr>
            <w:tcW w:type="dxa" w:w="6123"/>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Change</w:t>
            </w:r>
          </w:p>
        </w:tc>
        <w:tc>
          <w:tcPr>
            <w:tcW w:type="dxa" w:w="181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Status</w:t>
            </w:r>
          </w:p>
        </w:tc>
      </w:tr>
      <w:tr>
        <w:tc>
          <w:tcPr>
            <w:tcW w:type="dxa" w:w="1814"/>
            <w:tcMar>
              <w:top w:w="90" w:type="dxa"/>
              <w:start w:w="110" w:type="dxa"/>
              <w:bottom w:w="90" w:type="dxa"/>
              <w:end w:w="110" w:type="dxa"/>
            </w:tcMar>
            <w:vAlign w:val="center"/>
          </w:tcPr>
          <w:p>
            <w:pPr>
              <w:jc w:val="center"/>
            </w:pPr>
            <w:r>
              <w:rPr>
                <w:rFonts w:ascii="DejaVu Serif" w:hAnsi="DejaVu Serif" w:eastAsia="DejaVu Serif"/>
                <w:b w:val="0"/>
                <w:i w:val="0"/>
                <w:sz w:val="17"/>
              </w:rPr>
              <w:t>T1-EN-CS-041</w:t>
            </w:r>
          </w:p>
        </w:tc>
        <w:tc>
          <w:tcPr>
            <w:tcW w:type="dxa" w:w="6123"/>
            <w:tcMar>
              <w:top w:w="90" w:type="dxa"/>
              <w:start w:w="110" w:type="dxa"/>
              <w:bottom w:w="90" w:type="dxa"/>
              <w:end w:w="110" w:type="dxa"/>
            </w:tcMar>
            <w:vAlign w:val="center"/>
          </w:tcPr>
          <w:p>
            <w:pPr>
              <w:jc w:val="left"/>
            </w:pPr>
            <w:r>
              <w:rPr>
                <w:rFonts w:ascii="DejaVu Serif" w:hAnsi="DejaVu Serif" w:eastAsia="DejaVu Serif"/>
                <w:b w:val="0"/>
                <w:i w:val="0"/>
                <w:sz w:val="17"/>
              </w:rPr>
              <w:t>Translated Chapters 32-40 with Russian page locators 169-189.</w:t>
            </w:r>
          </w:p>
        </w:tc>
        <w:tc>
          <w:tcPr>
            <w:tcW w:type="dxa" w:w="1814"/>
            <w:tcMar>
              <w:top w:w="90" w:type="dxa"/>
              <w:start w:w="110" w:type="dxa"/>
              <w:bottom w:w="90" w:type="dxa"/>
              <w:end w:w="110" w:type="dxa"/>
            </w:tcMar>
            <w:vAlign w:val="center"/>
          </w:tcPr>
          <w:p>
            <w:pPr>
              <w:jc w:val="left"/>
            </w:pPr>
            <w:r>
              <w:rPr>
                <w:rFonts w:ascii="DejaVu Serif" w:hAnsi="DejaVu Serif" w:eastAsia="DejaVu Serif"/>
                <w:b w:val="0"/>
                <w:i w:val="0"/>
                <w:sz w:val="17"/>
              </w:rPr>
              <w:t>CLOSED-DOC</w:t>
            </w:r>
          </w:p>
        </w:tc>
      </w:tr>
      <w:tr>
        <w:tc>
          <w:tcPr>
            <w:tcW w:type="dxa" w:w="1814"/>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T1-EN-CS-042</w:t>
            </w:r>
          </w:p>
        </w:tc>
        <w:tc>
          <w:tcPr>
            <w:tcW w:type="dxa" w:w="6123"/>
            <w:tcMar>
              <w:top w:w="90" w:type="dxa"/>
              <w:start w:w="110" w:type="dxa"/>
              <w:bottom w:w="90" w:type="dxa"/>
              <w:end w:w="110" w:type="dxa"/>
            </w:tcMar>
            <w:vAlign w:val="center"/>
            <w:shd w:fill="F4F7FA"/>
          </w:tcPr>
          <w:p>
            <w:pPr>
              <w:jc w:val="left"/>
            </w:pPr>
            <w:r>
              <w:rPr>
                <w:rFonts w:ascii="DejaVu Serif" w:hAnsi="DejaVu Serif" w:eastAsia="DejaVu Serif"/>
                <w:b w:val="0"/>
                <w:i w:val="0"/>
                <w:sz w:val="17"/>
              </w:rPr>
              <w:t>Added a typed-adapter and source-anchor contract.</w:t>
            </w:r>
          </w:p>
        </w:tc>
        <w:tc>
          <w:tcPr>
            <w:tcW w:type="dxa" w:w="1814"/>
            <w:tcMar>
              <w:top w:w="90" w:type="dxa"/>
              <w:start w:w="110" w:type="dxa"/>
              <w:bottom w:w="90" w:type="dxa"/>
              <w:end w:w="110" w:type="dxa"/>
            </w:tcMar>
            <w:vAlign w:val="center"/>
            <w:shd w:fill="F4F7FA"/>
          </w:tcPr>
          <w:p>
            <w:pPr>
              <w:jc w:val="left"/>
            </w:pPr>
            <w:r>
              <w:rPr>
                <w:rFonts w:ascii="DejaVu Serif" w:hAnsi="DejaVu Serif" w:eastAsia="DejaVu Serif"/>
                <w:b w:val="0"/>
                <w:i w:val="0"/>
                <w:sz w:val="17"/>
              </w:rPr>
              <w:t>DEF/PROP</w:t>
            </w:r>
          </w:p>
        </w:tc>
      </w:tr>
      <w:tr>
        <w:tc>
          <w:tcPr>
            <w:tcW w:type="dxa" w:w="1814"/>
            <w:tcMar>
              <w:top w:w="90" w:type="dxa"/>
              <w:start w:w="110" w:type="dxa"/>
              <w:bottom w:w="90" w:type="dxa"/>
              <w:end w:w="110" w:type="dxa"/>
            </w:tcMar>
            <w:vAlign w:val="center"/>
          </w:tcPr>
          <w:p>
            <w:pPr>
              <w:jc w:val="center"/>
            </w:pPr>
            <w:r>
              <w:rPr>
                <w:rFonts w:ascii="DejaVu Serif" w:hAnsi="DejaVu Serif" w:eastAsia="DejaVu Serif"/>
                <w:b w:val="0"/>
                <w:i w:val="0"/>
                <w:sz w:val="17"/>
              </w:rPr>
              <w:t>T1-EN-CS-043</w:t>
            </w:r>
          </w:p>
        </w:tc>
        <w:tc>
          <w:tcPr>
            <w:tcW w:type="dxa" w:w="6123"/>
            <w:tcMar>
              <w:top w:w="90" w:type="dxa"/>
              <w:start w:w="110" w:type="dxa"/>
              <w:bottom w:w="90" w:type="dxa"/>
              <w:end w:w="110" w:type="dxa"/>
            </w:tcMar>
            <w:vAlign w:val="center"/>
          </w:tcPr>
          <w:p>
            <w:pPr>
              <w:jc w:val="left"/>
            </w:pPr>
            <w:r>
              <w:rPr>
                <w:rFonts w:ascii="DejaVu Serif" w:hAnsi="DejaVu Serif" w:eastAsia="DejaVu Serif"/>
                <w:b w:val="0"/>
                <w:i w:val="0"/>
                <w:sz w:val="17"/>
              </w:rPr>
              <w:t>Preserved the 46 raw / 45 byte-unique / 45 database-row import audit and its counter blocker.</w:t>
            </w:r>
          </w:p>
        </w:tc>
        <w:tc>
          <w:tcPr>
            <w:tcW w:type="dxa" w:w="1814"/>
            <w:tcMar>
              <w:top w:w="90" w:type="dxa"/>
              <w:start w:w="110" w:type="dxa"/>
              <w:bottom w:w="90" w:type="dxa"/>
              <w:end w:w="110" w:type="dxa"/>
            </w:tcMar>
            <w:vAlign w:val="center"/>
          </w:tcPr>
          <w:p>
            <w:pPr>
              <w:jc w:val="left"/>
            </w:pPr>
            <w:r>
              <w:rPr>
                <w:rFonts w:ascii="DejaVu Serif" w:hAnsi="DejaVu Serif" w:eastAsia="DejaVu Serif"/>
                <w:b w:val="0"/>
                <w:i w:val="0"/>
                <w:sz w:val="17"/>
              </w:rPr>
              <w:t>NUM-AUDIT</w:t>
            </w:r>
          </w:p>
        </w:tc>
      </w:tr>
      <w:tr>
        <w:tc>
          <w:tcPr>
            <w:tcW w:type="dxa" w:w="1814"/>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T1-EN-CS-044</w:t>
            </w:r>
          </w:p>
        </w:tc>
        <w:tc>
          <w:tcPr>
            <w:tcW w:type="dxa" w:w="6123"/>
            <w:tcMar>
              <w:top w:w="90" w:type="dxa"/>
              <w:start w:w="110" w:type="dxa"/>
              <w:bottom w:w="90" w:type="dxa"/>
              <w:end w:w="110" w:type="dxa"/>
            </w:tcMar>
            <w:vAlign w:val="center"/>
            <w:shd w:fill="F4F7FA"/>
          </w:tcPr>
          <w:p>
            <w:pPr>
              <w:jc w:val="left"/>
            </w:pPr>
            <w:r>
              <w:rPr>
                <w:rFonts w:ascii="DejaVu Serif" w:hAnsi="DejaVu Serif" w:eastAsia="DejaVu Serif"/>
                <w:b w:val="0"/>
                <w:i w:val="0"/>
                <w:sz w:val="17"/>
              </w:rPr>
              <w:t>Translated identifiability, support, matched-null, and split-validation gates.</w:t>
            </w:r>
          </w:p>
        </w:tc>
        <w:tc>
          <w:tcPr>
            <w:tcW w:type="dxa" w:w="1814"/>
            <w:tcMar>
              <w:top w:w="90" w:type="dxa"/>
              <w:start w:w="110" w:type="dxa"/>
              <w:bottom w:w="90" w:type="dxa"/>
              <w:end w:w="110" w:type="dxa"/>
            </w:tcMar>
            <w:vAlign w:val="center"/>
            <w:shd w:fill="F4F7FA"/>
          </w:tcPr>
          <w:p>
            <w:pPr>
              <w:jc w:val="left"/>
            </w:pPr>
            <w:r>
              <w:rPr>
                <w:rFonts w:ascii="DejaVu Serif" w:hAnsi="DejaVu Serif" w:eastAsia="DejaVu Serif"/>
                <w:b w:val="0"/>
                <w:i w:val="0"/>
                <w:sz w:val="17"/>
              </w:rPr>
              <w:t>THM/COND</w:t>
            </w:r>
          </w:p>
        </w:tc>
      </w:tr>
      <w:tr>
        <w:tc>
          <w:tcPr>
            <w:tcW w:type="dxa" w:w="1814"/>
            <w:tcMar>
              <w:top w:w="90" w:type="dxa"/>
              <w:start w:w="110" w:type="dxa"/>
              <w:bottom w:w="90" w:type="dxa"/>
              <w:end w:w="110" w:type="dxa"/>
            </w:tcMar>
            <w:vAlign w:val="center"/>
          </w:tcPr>
          <w:p>
            <w:pPr>
              <w:jc w:val="center"/>
            </w:pPr>
            <w:r>
              <w:rPr>
                <w:rFonts w:ascii="DejaVu Serif" w:hAnsi="DejaVu Serif" w:eastAsia="DejaVu Serif"/>
                <w:b w:val="0"/>
                <w:i w:val="0"/>
                <w:sz w:val="17"/>
              </w:rPr>
              <w:t>T1-EN-CS-045</w:t>
            </w:r>
          </w:p>
        </w:tc>
        <w:tc>
          <w:tcPr>
            <w:tcW w:type="dxa" w:w="6123"/>
            <w:tcMar>
              <w:top w:w="90" w:type="dxa"/>
              <w:start w:w="110" w:type="dxa"/>
              <w:bottom w:w="90" w:type="dxa"/>
              <w:end w:w="110" w:type="dxa"/>
            </w:tcMar>
            <w:vAlign w:val="center"/>
          </w:tcPr>
          <w:p>
            <w:pPr>
              <w:jc w:val="left"/>
            </w:pPr>
            <w:r>
              <w:rPr>
                <w:rFonts w:ascii="DejaVu Serif" w:hAnsi="DejaVu Serif" w:eastAsia="DejaVu Serif"/>
                <w:b w:val="0"/>
                <w:i w:val="0"/>
                <w:sz w:val="17"/>
              </w:rPr>
              <w:t>Translated split and weighted conformal corridors with branch-union semantics.</w:t>
            </w:r>
          </w:p>
        </w:tc>
        <w:tc>
          <w:tcPr>
            <w:tcW w:type="dxa" w:w="1814"/>
            <w:tcMar>
              <w:top w:w="90" w:type="dxa"/>
              <w:start w:w="110" w:type="dxa"/>
              <w:bottom w:w="90" w:type="dxa"/>
              <w:end w:w="110" w:type="dxa"/>
            </w:tcMar>
            <w:vAlign w:val="center"/>
          </w:tcPr>
          <w:p>
            <w:pPr>
              <w:jc w:val="left"/>
            </w:pPr>
            <w:r>
              <w:rPr>
                <w:rFonts w:ascii="DejaVu Serif" w:hAnsi="DejaVu Serif" w:eastAsia="DejaVu Serif"/>
                <w:b w:val="0"/>
                <w:i w:val="0"/>
                <w:sz w:val="17"/>
              </w:rPr>
              <w:t>THM/COND</w:t>
            </w:r>
          </w:p>
        </w:tc>
      </w:tr>
      <w:tr>
        <w:tc>
          <w:tcPr>
            <w:tcW w:type="dxa" w:w="1814"/>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T1-EN-CS-046</w:t>
            </w:r>
          </w:p>
        </w:tc>
        <w:tc>
          <w:tcPr>
            <w:tcW w:type="dxa" w:w="6123"/>
            <w:tcMar>
              <w:top w:w="90" w:type="dxa"/>
              <w:start w:w="110" w:type="dxa"/>
              <w:bottom w:w="90" w:type="dxa"/>
              <w:end w:w="110" w:type="dxa"/>
            </w:tcMar>
            <w:vAlign w:val="center"/>
            <w:shd w:fill="F4F7FA"/>
          </w:tcPr>
          <w:p>
            <w:pPr>
              <w:jc w:val="left"/>
            </w:pPr>
            <w:r>
              <w:rPr>
                <w:rFonts w:ascii="DejaVu Serif" w:hAnsi="DejaVu Serif" w:eastAsia="DejaVu Serif"/>
                <w:b w:val="0"/>
                <w:i w:val="0"/>
                <w:sz w:val="17"/>
              </w:rPr>
              <w:t>Translated blocker absorption, replay passport, e-process, and Hedge regret results.</w:t>
            </w:r>
          </w:p>
        </w:tc>
        <w:tc>
          <w:tcPr>
            <w:tcW w:type="dxa" w:w="1814"/>
            <w:tcMar>
              <w:top w:w="90" w:type="dxa"/>
              <w:start w:w="110" w:type="dxa"/>
              <w:bottom w:w="90" w:type="dxa"/>
              <w:end w:w="110" w:type="dxa"/>
            </w:tcMar>
            <w:vAlign w:val="center"/>
            <w:shd w:fill="F4F7FA"/>
          </w:tcPr>
          <w:p>
            <w:pPr>
              <w:jc w:val="left"/>
            </w:pPr>
            <w:r>
              <w:rPr>
                <w:rFonts w:ascii="DejaVu Serif" w:hAnsi="DejaVu Serif" w:eastAsia="DejaVu Serif"/>
                <w:b w:val="0"/>
                <w:i w:val="0"/>
                <w:sz w:val="17"/>
              </w:rPr>
              <w:t>THM/PROP/NUM</w:t>
            </w:r>
          </w:p>
        </w:tc>
      </w:tr>
      <w:tr>
        <w:tc>
          <w:tcPr>
            <w:tcW w:type="dxa" w:w="1814"/>
            <w:tcMar>
              <w:top w:w="90" w:type="dxa"/>
              <w:start w:w="110" w:type="dxa"/>
              <w:bottom w:w="90" w:type="dxa"/>
              <w:end w:w="110" w:type="dxa"/>
            </w:tcMar>
            <w:vAlign w:val="center"/>
          </w:tcPr>
          <w:p>
            <w:pPr>
              <w:jc w:val="center"/>
            </w:pPr>
            <w:r>
              <w:rPr>
                <w:rFonts w:ascii="DejaVu Serif" w:hAnsi="DejaVu Serif" w:eastAsia="DejaVu Serif"/>
                <w:b w:val="0"/>
                <w:i w:val="0"/>
                <w:sz w:val="17"/>
              </w:rPr>
              <w:t>T1-EN-CS-047</w:t>
            </w:r>
          </w:p>
        </w:tc>
        <w:tc>
          <w:tcPr>
            <w:tcW w:type="dxa" w:w="6123"/>
            <w:tcMar>
              <w:top w:w="90" w:type="dxa"/>
              <w:start w:w="110" w:type="dxa"/>
              <w:bottom w:w="90" w:type="dxa"/>
              <w:end w:w="110" w:type="dxa"/>
            </w:tcMar>
            <w:vAlign w:val="center"/>
          </w:tcPr>
          <w:p>
            <w:pPr>
              <w:jc w:val="left"/>
            </w:pPr>
            <w:r>
              <w:rPr>
                <w:rFonts w:ascii="DejaVu Serif" w:hAnsi="DejaVu Serif" w:eastAsia="DejaVu Serif"/>
                <w:b w:val="0"/>
                <w:i w:val="0"/>
                <w:sz w:val="17"/>
              </w:rPr>
              <w:t>Added nine English diagrams and a cumulative status ledger.</w:t>
            </w:r>
          </w:p>
        </w:tc>
        <w:tc>
          <w:tcPr>
            <w:tcW w:type="dxa" w:w="1814"/>
            <w:tcMar>
              <w:top w:w="90" w:type="dxa"/>
              <w:start w:w="110" w:type="dxa"/>
              <w:bottom w:w="90" w:type="dxa"/>
              <w:end w:w="110" w:type="dxa"/>
            </w:tcMar>
            <w:vAlign w:val="center"/>
          </w:tcPr>
          <w:p>
            <w:pPr>
              <w:jc w:val="left"/>
            </w:pPr>
            <w:r>
              <w:rPr>
                <w:rFonts w:ascii="DejaVu Serif" w:hAnsi="DejaVu Serif" w:eastAsia="DejaVu Serif"/>
                <w:b w:val="0"/>
                <w:i w:val="0"/>
                <w:sz w:val="17"/>
              </w:rPr>
              <w:t>DOC-QA</w:t>
            </w:r>
          </w:p>
        </w:tc>
      </w:tr>
    </w:tbl>
    <w:p>
      <w:pPr>
        <w:spacing w:after="40"/>
      </w:pPr>
    </w:p>
    <w:p>
      <w:pPr>
        <w:pStyle w:val="Heading1"/>
        <w:keepNext/>
      </w:pPr>
      <w:r>
        <w:t>Part VIII. Domain Adapters and Independent Predictive Validation</w:t>
      </w:r>
    </w:p>
    <w:p>
      <w:pPr>
        <w:spacing w:after="80" w:line="269" w:lineRule="auto"/>
        <w:jc w:val="both"/>
      </w:pPr>
      <w:r>
        <w:rPr>
          <w:rFonts w:ascii="DejaVu Serif" w:hAnsi="DejaVu Serif" w:eastAsia="DejaVu Serif"/>
          <w:b w:val="0"/>
          <w:i w:val="0"/>
        </w:rPr>
        <w:t>This part develops concrete domain adapters, identity and provenance rules, transport assumptions, calibration corridors, and a computational contract. The numerical database counts refer to a verified project snapshot, not to a universal volume of knowledge.</w:t>
      </w:r>
    </w:p>
    <w:p>
      <w:pPr>
        <w:pStyle w:val="Heading1"/>
        <w:keepNext/>
      </w:pPr>
      <w:bookmarkStart w:id="1031" w:name="T1_CH_32"/>
      <w:r>
        <w:t>Chapter 32. Strict Specification of KLT-RBD Domain Adapters</w:t>
      </w:r>
      <w:bookmarkEnd w:id="1031"/>
    </w:p>
    <w:p>
      <w:pPr>
        <w:spacing w:after="80" w:line="269" w:lineRule="auto"/>
        <w:jc w:val="both"/>
      </w:pPr>
      <w:r>
        <w:rPr>
          <w:rFonts w:ascii="DejaVu Serif" w:hAnsi="DejaVu Serif" w:eastAsia="DejaVu Serif"/>
          <w:b w:val="0"/>
          <w:i w:val="0"/>
        </w:rPr>
        <w:t>Russian source locator: pp. 169-171</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What must be defined before one algorithm can operate in several scientific domains?</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Each domain receives its own data types, units, observables, admissibility rules, and null model. The common engine is not permitted to infer these from a column name.</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A domain adapter is a partial typed composition of encoding, Reper construction, observation, loss, matched-null, and certification.</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A type-correct adapter proves interface coherence only. It does not establish the empirical truth of a domain hypothesis.</w:t>
            </w:r>
          </w:p>
        </w:tc>
      </w:tr>
    </w:tbl>
    <w:p>
      <w:pPr>
        <w:spacing w:after="40"/>
      </w:pPr>
    </w:p>
    <w:p>
      <w:pPr>
        <w:keepNext/>
        <w:jc w:val="center"/>
      </w:pPr>
      <w:r>
        <w:drawing>
          <wp:inline xmlns:a="http://schemas.openxmlformats.org/drawingml/2006/main" xmlns:pic="http://schemas.openxmlformats.org/drawingml/2006/picture">
            <wp:extent cx="5623560" cy="2510902"/>
            <wp:docPr id="35" name="Picture 35"/>
            <wp:cNvGraphicFramePr>
              <a:graphicFrameLocks noChangeAspect="1"/>
            </wp:cNvGraphicFramePr>
            <a:graphic>
              <a:graphicData uri="http://schemas.openxmlformats.org/drawingml/2006/picture">
                <pic:pic>
                  <pic:nvPicPr>
                    <pic:cNvPr id="0" name="fig32_adapter.png"/>
                    <pic:cNvPicPr/>
                  </pic:nvPicPr>
                  <pic:blipFill>
                    <a:blip r:embed="rId47"/>
                    <a:stretch>
                      <a:fillRect/>
                    </a:stretch>
                  </pic:blipFill>
                  <pic:spPr>
                    <a:xfrm>
                      <a:off x="0" y="0"/>
                      <a:ext cx="5623560" cy="2510902"/>
                    </a:xfrm>
                    <a:prstGeom prst="rect"/>
                  </pic:spPr>
                </pic:pic>
              </a:graphicData>
            </a:graphic>
          </wp:inline>
        </w:drawing>
      </w:r>
    </w:p>
    <w:p>
      <w:pPr>
        <w:pStyle w:val="Caption"/>
        <w:spacing w:before="40" w:after="160"/>
        <w:jc w:val="center"/>
      </w:pPr>
      <w:bookmarkStart w:id="1092" w:name="T1_FIG_034"/>
      <w:r>
        <w:t>Figure 32.1. A domain adapter preserves types, units, D, Dom, and the source anchor.</w:t>
      </w:r>
      <w:bookmarkEnd w:id="1092"/>
    </w:p>
    <w:p>
      <w:pPr>
        <w:pStyle w:val="Heading2"/>
        <w:keepNext/>
      </w:pPr>
      <w:r>
        <w:t>32.1. Domain as a Typed Object</w:t>
      </w:r>
    </w:p>
    <w:p>
      <w:pPr>
        <w:spacing w:before="80" w:after="100"/>
        <w:jc w:val="center"/>
      </w:pPr>
      <w:r>
        <w:rPr>
          <w:rFonts w:ascii="DejaVu Serif" w:hAnsi="DejaVu Serif" w:eastAsia="DejaVu Serif"/>
          <w:b w:val="0"/>
          <w:i w:val="0"/>
          <w:sz w:val="21"/>
        </w:rPr>
        <w:t>Dcal_delta = (Raw_delta, X_delta, Y_delta, Sigma_delta, Unit_delta, Time_delta)</w:t>
      </w:r>
      <w:r>
        <w:rPr>
          <w:rFonts w:ascii="DejaVu Serif" w:hAnsi="DejaVu Serif" w:eastAsia="DejaVu Serif"/>
          <w:b w:val="0"/>
          <w:i/>
          <w:color w:val="6B7280"/>
          <w:sz w:val="17"/>
        </w:rPr>
        <w:t xml:space="preserve">    [RU p. 169]</w:t>
      </w:r>
    </w:p>
    <w:p>
      <w:pPr>
        <w:spacing w:after="80" w:line="269" w:lineRule="auto"/>
        <w:jc w:val="both"/>
      </w:pPr>
      <w:r>
        <w:rPr>
          <w:rFonts w:ascii="DejaVu Serif" w:hAnsi="DejaVu Serif" w:eastAsia="DejaVu Serif"/>
          <w:b w:val="0"/>
          <w:i w:val="0"/>
        </w:rPr>
        <w:t>Raw_delta is the space of raw records, X_delta the space of cleaned states, Y_delta the observable-response space, Sigma_delta the admitted transformations, Unit_delta the unit system, and Time_delta the temporal scale. None of these components is identified with the evidence set D or with the mathematical domain Dom.</w:t>
      </w:r>
    </w:p>
    <w:p>
      <w:pPr>
        <w:spacing w:before="80" w:after="100"/>
        <w:jc w:val="center"/>
      </w:pPr>
      <w:r>
        <w:rPr>
          <w:rFonts w:ascii="DejaVu Serif" w:hAnsi="DejaVu Serif" w:eastAsia="DejaVu Serif"/>
          <w:b w:val="0"/>
          <w:i w:val="0"/>
          <w:sz w:val="21"/>
        </w:rPr>
        <w:t>A_delta = (Enc_delta, Rep_delta, Obs_delta, Loss_delta, Null_delta, Cert_delta)</w:t>
      </w:r>
      <w:r>
        <w:rPr>
          <w:rFonts w:ascii="DejaVu Serif" w:hAnsi="DejaVu Serif" w:eastAsia="DejaVu Serif"/>
          <w:b w:val="0"/>
          <w:i/>
          <w:color w:val="6B7280"/>
          <w:sz w:val="17"/>
        </w:rPr>
        <w:t xml:space="preserve">    [RU p. 169]</w:t>
      </w:r>
    </w:p>
    <w:p>
      <w:pPr>
        <w:spacing w:after="80" w:line="269" w:lineRule="auto"/>
        <w:jc w:val="both"/>
      </w:pPr>
      <w:r>
        <w:rPr>
          <w:rFonts w:ascii="DejaVu Serif" w:hAnsi="DejaVu Serif" w:eastAsia="DejaVu Serif"/>
          <w:b w:val="0"/>
          <w:i w:val="0"/>
        </w:rPr>
        <w:t>Enc_delta:Raw_delta -&gt; X_delta is partial and encodes a record; Rep_delta:X_delta -&gt; Rcal_delta is partial and constructs a Reper; Obs_delta:X_delta -&gt; Y_delta specifies the observable; Loss_delta evaluates a forecast; Null_delta defines the matched-null; and Cert_delta emits an evidence passport. Dom(A_delta) is the intersection of the domains of all actually invoked operators. The finite evidence set D_delta is a separate object, so the inclusion D_delta subset Dom(A_delta) is a proof obligation.</w:t>
      </w:r>
    </w:p>
    <w:p>
      <w:pPr>
        <w:pStyle w:val="Heading2"/>
        <w:keepNext/>
      </w:pPr>
      <w:r>
        <w:t>32.2. Correctness Conditions</w:t>
      </w:r>
    </w:p>
    <w:p>
      <w:pPr>
        <w:spacing w:after="80" w:line="269" w:lineRule="auto"/>
        <w:jc w:val="both"/>
      </w:pPr>
      <w:r>
        <w:rPr>
          <w:rFonts w:ascii="DejaVu Serif" w:hAnsi="DejaVu Serif" w:eastAsia="DejaVu Serif"/>
          <w:b w:val="0"/>
          <w:i w:val="0"/>
        </w:rPr>
        <w:t>Definition 32.1 [DEF]. The adapter A_delta is correct on D_delta when: (i) Enc_delta is defined on every record; (ii) Obs_delta has the declared response type and units; (iii) every Reper stores source_id, U/I/R/D, limits, operators, status, and revision; (iv) Null_delta preserves the registered conditioning covariates; (v) Cert_delta stores hashes, D, Dom, and all blockers; and (vi) loss of a mandatory field returns bottom/Block rather than numerical zero.</w:t>
      </w:r>
    </w:p>
    <w:p>
      <w:pPr>
        <w:spacing w:before="100" w:after="60"/>
      </w:pPr>
      <w:r>
        <w:rPr>
          <w:rFonts w:ascii="DejaVu Serif" w:hAnsi="DejaVu Serif" w:eastAsia="DejaVu Serif"/>
          <w:b/>
          <w:i w:val="0"/>
          <w:color w:val="173B63"/>
        </w:rPr>
        <w:t xml:space="preserve">Theorem 32.1 - Type soundness of composition [THM]. </w:t>
      </w:r>
      <w:r>
        <w:rPr>
          <w:rFonts w:ascii="DejaVu Serif" w:hAnsi="DejaVu Serif" w:eastAsia="DejaVu Serif"/>
          <w:b w:val="0"/>
          <w:i w:val="0"/>
        </w:rPr>
        <w:t>If Enc_delta, Rep_delta, and Obs_delta are type-compatible and x belongs to Dom(Rep_delta o Enc_delta), then Obs_delta(Enc_delta(x)) and the constructed Reper refer to one state in X_delta. If one domain inclusion fails, the composite is not defined as a function.</w:t>
      </w:r>
    </w:p>
    <w:p>
      <w:pPr>
        <w:ind w:left="283" w:right="113"/>
        <w:jc w:val="both"/>
      </w:pPr>
      <w:r>
        <w:rPr>
          <w:rFonts w:ascii="DejaVu Serif" w:hAnsi="DejaVu Serif" w:eastAsia="DejaVu Serif"/>
          <w:b/>
          <w:i/>
        </w:rPr>
        <w:t xml:space="preserve">Proof. </w:t>
      </w:r>
      <w:r>
        <w:rPr>
          <w:rFonts w:ascii="DejaVu Serif" w:hAnsi="DejaVu Serif" w:eastAsia="DejaVu Serif"/>
          <w:b w:val="0"/>
          <w:i/>
        </w:rPr>
        <w:t>A defined composite requires Enc_delta(x) to belong simultaneously to Dom(Rep_delta) and Dom(Obs_delta). Both operators then receive an object of the same declared type X_delta. If either inclusion fails, at least one value is absent, so writing a total function would be a type error.</w:t>
      </w:r>
    </w:p>
    <w:p>
      <w:pPr>
        <w:pStyle w:val="Heading2"/>
        <w:keepNext/>
      </w:pPr>
      <w:r>
        <w:t>32.3. Canonical Reper Record and Source Anchor</w:t>
      </w:r>
    </w:p>
    <w:p>
      <w:pPr>
        <w:spacing w:before="80" w:after="100"/>
        <w:jc w:val="center"/>
      </w:pPr>
      <w:r>
        <w:rPr>
          <w:rFonts w:ascii="DejaVu Serif" w:hAnsi="DejaVu Serif" w:eastAsia="DejaVu Serif"/>
          <w:b w:val="0"/>
          <w:i w:val="0"/>
          <w:sz w:val="21"/>
        </w:rPr>
        <w:t>r=(reper_id, source_id, work_id, domain, U, I, R, D, limits, operators, status, revision)</w:t>
      </w:r>
      <w:r>
        <w:rPr>
          <w:rFonts w:ascii="DejaVu Serif" w:hAnsi="DejaVu Serif" w:eastAsia="DejaVu Serif"/>
          <w:b w:val="0"/>
          <w:i/>
          <w:color w:val="6B7280"/>
          <w:sz w:val="17"/>
        </w:rPr>
        <w:t xml:space="preserve">    [RU p. 170]</w:t>
      </w:r>
    </w:p>
    <w:p>
      <w:pPr>
        <w:spacing w:after="80" w:line="269" w:lineRule="auto"/>
        <w:jc w:val="both"/>
      </w:pPr>
      <w:r>
        <w:rPr>
          <w:rFonts w:ascii="DejaVu Serif" w:hAnsi="DejaVu Serif" w:eastAsia="DejaVu Serif"/>
          <w:b w:val="0"/>
          <w:i w:val="0"/>
        </w:rPr>
        <w:t>The full Atlas record may also include subdomain, author, source_title, tags, formula_hint, extraction_level, confidence, copyright_mode, source_basis, r_weight, u_connectivity, and created_at. A database column is not automatically a mathematical hypothesis; each theorem must state which fields enter its assumptions.</w:t>
      </w:r>
    </w:p>
    <w:p>
      <w:pPr>
        <w:spacing w:after="80" w:line="269" w:lineRule="auto"/>
        <w:jc w:val="both"/>
      </w:pPr>
      <w:r>
        <w:rPr>
          <w:rFonts w:ascii="DejaVu Serif" w:hAnsi="DejaVu Serif" w:eastAsia="DejaVu Serif"/>
          <w:b w:val="0"/>
          <w:i w:val="0"/>
        </w:rPr>
        <w:t>Axiom 32.A [DEF-A]. No domain Reper is authorised without a D-source anchor: source_id and source_basis must be nonempty, the sources/works reference must resolve, and copyright_mode must permit the intended operation.</w:t>
      </w:r>
    </w:p>
    <w:p>
      <w:pPr>
        <w:spacing w:before="100" w:after="60"/>
      </w:pPr>
      <w:r>
        <w:rPr>
          <w:rFonts w:ascii="DejaVu Serif" w:hAnsi="DejaVu Serif" w:eastAsia="DejaVu Serif"/>
          <w:b/>
          <w:i w:val="0"/>
          <w:color w:val="173B63"/>
        </w:rPr>
        <w:t xml:space="preserve">Proposition 32.2 - Orphan-source blocker [PROP]. </w:t>
      </w:r>
      <w:r>
        <w:rPr>
          <w:rFonts w:ascii="DejaVu Serif" w:hAnsi="DejaVu Serif" w:eastAsia="DejaVu Serif"/>
          <w:b w:val="0"/>
          <w:i w:val="0"/>
        </w:rPr>
        <w:t>If source_id does not resolve in the sources table, every claim using that Reper receives blocker=orphan-source regardless of lambda or CGI.</w:t>
      </w:r>
    </w:p>
    <w:p>
      <w:pPr>
        <w:ind w:left="283" w:right="113"/>
        <w:jc w:val="both"/>
      </w:pPr>
      <w:r>
        <w:rPr>
          <w:rFonts w:ascii="DejaVu Serif" w:hAnsi="DejaVu Serif" w:eastAsia="DejaVu Serif"/>
          <w:b/>
          <w:i/>
        </w:rPr>
        <w:t xml:space="preserve">Proof. </w:t>
      </w:r>
      <w:r>
        <w:rPr>
          <w:rFonts w:ascii="DejaVu Serif" w:hAnsi="DejaVu Serif" w:eastAsia="DejaVu Serif"/>
          <w:b w:val="0"/>
          <w:i/>
        </w:rPr>
        <w:t>Both lambda and CGI are computed relative to source data and assumptions. Without a resolvable source, D and the computation conditions cannot be reconstructed, so the certificate is incomplete.</w:t>
      </w:r>
    </w:p>
    <w:p>
      <w:pPr>
        <w:pStyle w:val="Heading2"/>
        <w:keepNext/>
      </w:pPr>
      <w:r>
        <w:t>32.4. Domain-Code Catalogue</w:t>
      </w:r>
    </w:p>
    <w:tbl>
      <w:tblPr>
        <w:tblStyle w:val="TableGrid"/>
        <w:tblW w:type="auto" w:w="0"/>
        <w:jc w:val="center"/>
        <w:tblLook w:firstColumn="1" w:firstRow="1" w:lastColumn="0" w:lastRow="0" w:noHBand="0" w:noVBand="1" w:val="04A0"/>
      </w:tblPr>
      <w:tblGrid>
        <w:gridCol w:w="2517"/>
        <w:gridCol w:w="2517"/>
        <w:gridCol w:w="2517"/>
        <w:gridCol w:w="2517"/>
      </w:tblGrid>
      <w:tr>
        <w:trPr>
          <w:tblHeader w:val="true"/>
        </w:trPr>
        <w:tc>
          <w:tcPr>
            <w:tcW w:type="dxa" w:w="136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Code</w:t>
            </w:r>
          </w:p>
        </w:tc>
        <w:tc>
          <w:tcPr>
            <w:tcW w:type="dxa" w:w="238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Domain</w:t>
            </w:r>
          </w:p>
        </w:tc>
        <w:tc>
          <w:tcPr>
            <w:tcW w:type="dxa" w:w="306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Typical observable</w:t>
            </w:r>
          </w:p>
        </w:tc>
        <w:tc>
          <w:tcPr>
            <w:tcW w:type="dxa" w:w="2835"/>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Mandatory qualification</w:t>
            </w:r>
          </w:p>
        </w:tc>
      </w:tr>
      <w:tr>
        <w:tc>
          <w:tcPr>
            <w:tcW w:type="dxa" w:w="1361"/>
            <w:tcMar>
              <w:top w:w="90" w:type="dxa"/>
              <w:start w:w="110" w:type="dxa"/>
              <w:bottom w:w="90" w:type="dxa"/>
              <w:end w:w="110" w:type="dxa"/>
            </w:tcMar>
            <w:vAlign w:val="center"/>
          </w:tcPr>
          <w:p>
            <w:pPr>
              <w:jc w:val="center"/>
            </w:pPr>
            <w:r>
              <w:rPr>
                <w:rFonts w:ascii="DejaVu Serif" w:hAnsi="DejaVu Serif" w:eastAsia="DejaVu Serif"/>
                <w:b w:val="0"/>
                <w:i w:val="0"/>
                <w:sz w:val="16"/>
              </w:rPr>
              <w:t>PHYS</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6"/>
              </w:rPr>
              <w:t>Physics</w:t>
            </w:r>
          </w:p>
        </w:tc>
        <w:tc>
          <w:tcPr>
            <w:tcW w:type="dxa" w:w="3061"/>
            <w:tcMar>
              <w:top w:w="90" w:type="dxa"/>
              <w:start w:w="110" w:type="dxa"/>
              <w:bottom w:w="90" w:type="dxa"/>
              <w:end w:w="110" w:type="dxa"/>
            </w:tcMar>
            <w:vAlign w:val="center"/>
          </w:tcPr>
          <w:p>
            <w:pPr>
              <w:jc w:val="left"/>
            </w:pPr>
            <w:r>
              <w:rPr>
                <w:rFonts w:ascii="DejaVu Serif" w:hAnsi="DejaVu Serif" w:eastAsia="DejaVu Serif"/>
                <w:b w:val="0"/>
                <w:i w:val="0"/>
                <w:sz w:val="16"/>
              </w:rPr>
              <w:t>Measurement with units and instrument model</w:t>
            </w:r>
          </w:p>
        </w:tc>
        <w:tc>
          <w:tcPr>
            <w:tcW w:type="dxa" w:w="2835"/>
            <w:tcMar>
              <w:top w:w="90" w:type="dxa"/>
              <w:start w:w="110" w:type="dxa"/>
              <w:bottom w:w="90" w:type="dxa"/>
              <w:end w:w="110" w:type="dxa"/>
            </w:tcMar>
            <w:vAlign w:val="center"/>
          </w:tcPr>
          <w:p>
            <w:pPr>
              <w:jc w:val="left"/>
            </w:pPr>
            <w:r>
              <w:rPr>
                <w:rFonts w:ascii="DejaVu Serif" w:hAnsi="DejaVu Serif" w:eastAsia="DejaVu Serif"/>
                <w:b w:val="0"/>
                <w:i w:val="0"/>
                <w:sz w:val="16"/>
              </w:rPr>
              <w:t>Experimental calibration</w:t>
            </w:r>
          </w:p>
        </w:tc>
      </w:tr>
      <w:tr>
        <w:tc>
          <w:tcPr>
            <w:tcW w:type="dxa" w:w="136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CHEM</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6"/>
              </w:rPr>
              <w:t>Chemistry</w:t>
            </w:r>
          </w:p>
        </w:tc>
        <w:tc>
          <w:tcPr>
            <w:tcW w:type="dxa" w:w="3061"/>
            <w:tcMar>
              <w:top w:w="90" w:type="dxa"/>
              <w:start w:w="110" w:type="dxa"/>
              <w:bottom w:w="90" w:type="dxa"/>
              <w:end w:w="110" w:type="dxa"/>
            </w:tcMar>
            <w:vAlign w:val="center"/>
            <w:shd w:fill="F4F7FA"/>
          </w:tcPr>
          <w:p>
            <w:pPr>
              <w:jc w:val="left"/>
            </w:pPr>
            <w:r>
              <w:rPr>
                <w:rFonts w:ascii="DejaVu Serif" w:hAnsi="DejaVu Serif" w:eastAsia="DejaVu Serif"/>
                <w:b w:val="0"/>
                <w:i w:val="0"/>
                <w:sz w:val="16"/>
              </w:rPr>
              <w:t>Composition, channel, rate, spectrum</w:t>
            </w:r>
          </w:p>
        </w:tc>
        <w:tc>
          <w:tcPr>
            <w:tcW w:type="dxa" w:w="28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Stoichiometry, redox, energy, and kinetics separated</w:t>
            </w:r>
          </w:p>
        </w:tc>
      </w:tr>
      <w:tr>
        <w:tc>
          <w:tcPr>
            <w:tcW w:type="dxa" w:w="1361"/>
            <w:tcMar>
              <w:top w:w="90" w:type="dxa"/>
              <w:start w:w="110" w:type="dxa"/>
              <w:bottom w:w="90" w:type="dxa"/>
              <w:end w:w="110" w:type="dxa"/>
            </w:tcMar>
            <w:vAlign w:val="center"/>
          </w:tcPr>
          <w:p>
            <w:pPr>
              <w:jc w:val="center"/>
            </w:pPr>
            <w:r>
              <w:rPr>
                <w:rFonts w:ascii="DejaVu Serif" w:hAnsi="DejaVu Serif" w:eastAsia="DejaVu Serif"/>
                <w:b w:val="0"/>
                <w:i w:val="0"/>
                <w:sz w:val="16"/>
              </w:rPr>
              <w:t>BIO</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6"/>
              </w:rPr>
              <w:t>Biology</w:t>
            </w:r>
          </w:p>
        </w:tc>
        <w:tc>
          <w:tcPr>
            <w:tcW w:type="dxa" w:w="3061"/>
            <w:tcMar>
              <w:top w:w="90" w:type="dxa"/>
              <w:start w:w="110" w:type="dxa"/>
              <w:bottom w:w="90" w:type="dxa"/>
              <w:end w:w="110" w:type="dxa"/>
            </w:tcMar>
            <w:vAlign w:val="center"/>
          </w:tcPr>
          <w:p>
            <w:pPr>
              <w:jc w:val="left"/>
            </w:pPr>
            <w:r>
              <w:rPr>
                <w:rFonts w:ascii="DejaVu Serif" w:hAnsi="DejaVu Serif" w:eastAsia="DejaVu Serif"/>
                <w:b w:val="0"/>
                <w:i w:val="0"/>
                <w:sz w:val="16"/>
              </w:rPr>
              <w:t>Phenotype, state, sequence</w:t>
            </w:r>
          </w:p>
        </w:tc>
        <w:tc>
          <w:tcPr>
            <w:tcW w:type="dxa" w:w="2835"/>
            <w:tcMar>
              <w:top w:w="90" w:type="dxa"/>
              <w:start w:w="110" w:type="dxa"/>
              <w:bottom w:w="90" w:type="dxa"/>
              <w:end w:w="110" w:type="dxa"/>
            </w:tcMar>
            <w:vAlign w:val="center"/>
          </w:tcPr>
          <w:p>
            <w:pPr>
              <w:jc w:val="left"/>
            </w:pPr>
            <w:r>
              <w:rPr>
                <w:rFonts w:ascii="DejaVu Serif" w:hAnsi="DejaVu Serif" w:eastAsia="DejaVu Serif"/>
                <w:b w:val="0"/>
                <w:i w:val="0"/>
                <w:sz w:val="16"/>
              </w:rPr>
              <w:t>Accession, build, and pipeline</w:t>
            </w:r>
          </w:p>
        </w:tc>
      </w:tr>
      <w:tr>
        <w:tc>
          <w:tcPr>
            <w:tcW w:type="dxa" w:w="136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MECH</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6"/>
              </w:rPr>
              <w:t>Mechanics</w:t>
            </w:r>
          </w:p>
        </w:tc>
        <w:tc>
          <w:tcPr>
            <w:tcW w:type="dxa" w:w="3061"/>
            <w:tcMar>
              <w:top w:w="90" w:type="dxa"/>
              <w:start w:w="110" w:type="dxa"/>
              <w:bottom w:w="90" w:type="dxa"/>
              <w:end w:w="110" w:type="dxa"/>
            </w:tcMar>
            <w:vAlign w:val="center"/>
            <w:shd w:fill="F4F7FA"/>
          </w:tcPr>
          <w:p>
            <w:pPr>
              <w:jc w:val="left"/>
            </w:pPr>
            <w:r>
              <w:rPr>
                <w:rFonts w:ascii="DejaVu Serif" w:hAnsi="DejaVu Serif" w:eastAsia="DejaVu Serif"/>
                <w:b w:val="0"/>
                <w:i w:val="0"/>
                <w:sz w:val="16"/>
              </w:rPr>
              <w:t>Load, displacement, stability</w:t>
            </w:r>
          </w:p>
        </w:tc>
        <w:tc>
          <w:tcPr>
            <w:tcW w:type="dxa" w:w="28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Boundary conditions</w:t>
            </w:r>
          </w:p>
        </w:tc>
      </w:tr>
      <w:tr>
        <w:tc>
          <w:tcPr>
            <w:tcW w:type="dxa" w:w="1361"/>
            <w:tcMar>
              <w:top w:w="90" w:type="dxa"/>
              <w:start w:w="110" w:type="dxa"/>
              <w:bottom w:w="90" w:type="dxa"/>
              <w:end w:w="110" w:type="dxa"/>
            </w:tcMar>
            <w:vAlign w:val="center"/>
          </w:tcPr>
          <w:p>
            <w:pPr>
              <w:jc w:val="center"/>
            </w:pPr>
            <w:r>
              <w:rPr>
                <w:rFonts w:ascii="DejaVu Serif" w:hAnsi="DejaVu Serif" w:eastAsia="DejaVu Serif"/>
                <w:b w:val="0"/>
                <w:i w:val="0"/>
                <w:sz w:val="16"/>
              </w:rPr>
              <w:t>NGEOM</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6"/>
              </w:rPr>
              <w:t>Descriptive geometry</w:t>
            </w:r>
          </w:p>
        </w:tc>
        <w:tc>
          <w:tcPr>
            <w:tcW w:type="dxa" w:w="3061"/>
            <w:tcMar>
              <w:top w:w="90" w:type="dxa"/>
              <w:start w:w="110" w:type="dxa"/>
              <w:bottom w:w="90" w:type="dxa"/>
              <w:end w:w="110" w:type="dxa"/>
            </w:tcMar>
            <w:vAlign w:val="center"/>
          </w:tcPr>
          <w:p>
            <w:pPr>
              <w:jc w:val="left"/>
            </w:pPr>
            <w:r>
              <w:rPr>
                <w:rFonts w:ascii="DejaVu Serif" w:hAnsi="DejaVu Serif" w:eastAsia="DejaVu Serif"/>
                <w:b w:val="0"/>
                <w:i w:val="0"/>
                <w:sz w:val="16"/>
              </w:rPr>
              <w:t>Projection, section, visibility</w:t>
            </w:r>
          </w:p>
        </w:tc>
        <w:tc>
          <w:tcPr>
            <w:tcW w:type="dxa" w:w="2835"/>
            <w:tcMar>
              <w:top w:w="90" w:type="dxa"/>
              <w:start w:w="110" w:type="dxa"/>
              <w:bottom w:w="90" w:type="dxa"/>
              <w:end w:w="110" w:type="dxa"/>
            </w:tcMar>
            <w:vAlign w:val="center"/>
          </w:tcPr>
          <w:p>
            <w:pPr>
              <w:jc w:val="left"/>
            </w:pPr>
            <w:r>
              <w:rPr>
                <w:rFonts w:ascii="DejaVu Serif" w:hAnsi="DejaVu Serif" w:eastAsia="DejaVu Serif"/>
                <w:b w:val="0"/>
                <w:i w:val="0"/>
                <w:sz w:val="16"/>
              </w:rPr>
              <w:t>Reper and centre of projection</w:t>
            </w:r>
          </w:p>
        </w:tc>
      </w:tr>
      <w:tr>
        <w:tc>
          <w:tcPr>
            <w:tcW w:type="dxa" w:w="136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FIN / BANK / INS</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6"/>
              </w:rPr>
              <w:t>Finance, banking, insurance</w:t>
            </w:r>
          </w:p>
        </w:tc>
        <w:tc>
          <w:tcPr>
            <w:tcW w:type="dxa" w:w="3061"/>
            <w:tcMar>
              <w:top w:w="90" w:type="dxa"/>
              <w:start w:w="110" w:type="dxa"/>
              <w:bottom w:w="90" w:type="dxa"/>
              <w:end w:w="110" w:type="dxa"/>
            </w:tcMar>
            <w:vAlign w:val="center"/>
            <w:shd w:fill="F4F7FA"/>
          </w:tcPr>
          <w:p>
            <w:pPr>
              <w:jc w:val="left"/>
            </w:pPr>
            <w:r>
              <w:rPr>
                <w:rFonts w:ascii="DejaVu Serif" w:hAnsi="DejaVu Serif" w:eastAsia="DejaVu Serif"/>
                <w:b w:val="0"/>
                <w:i w:val="0"/>
                <w:sz w:val="16"/>
              </w:rPr>
              <w:t>Price, liquidity, reserve, risk</w:t>
            </w:r>
          </w:p>
        </w:tc>
        <w:tc>
          <w:tcPr>
            <w:tcW w:type="dxa" w:w="28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Regime and timestamp</w:t>
            </w:r>
          </w:p>
        </w:tc>
      </w:tr>
      <w:tr>
        <w:tc>
          <w:tcPr>
            <w:tcW w:type="dxa" w:w="1361"/>
            <w:tcMar>
              <w:top w:w="90" w:type="dxa"/>
              <w:start w:w="110" w:type="dxa"/>
              <w:bottom w:w="90" w:type="dxa"/>
              <w:end w:w="110" w:type="dxa"/>
            </w:tcMar>
            <w:vAlign w:val="center"/>
          </w:tcPr>
          <w:p>
            <w:pPr>
              <w:jc w:val="center"/>
            </w:pPr>
            <w:r>
              <w:rPr>
                <w:rFonts w:ascii="DejaVu Serif" w:hAnsi="DejaVu Serif" w:eastAsia="DejaVu Serif"/>
                <w:b w:val="0"/>
                <w:i w:val="0"/>
                <w:sz w:val="16"/>
              </w:rPr>
              <w:t>CONSTR / ARCH</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6"/>
              </w:rPr>
              <w:t>Construction and architecture</w:t>
            </w:r>
          </w:p>
        </w:tc>
        <w:tc>
          <w:tcPr>
            <w:tcW w:type="dxa" w:w="3061"/>
            <w:tcMar>
              <w:top w:w="90" w:type="dxa"/>
              <w:start w:w="110" w:type="dxa"/>
              <w:bottom w:w="90" w:type="dxa"/>
              <w:end w:w="110" w:type="dxa"/>
            </w:tcMar>
            <w:vAlign w:val="center"/>
          </w:tcPr>
          <w:p>
            <w:pPr>
              <w:jc w:val="left"/>
            </w:pPr>
            <w:r>
              <w:rPr>
                <w:rFonts w:ascii="DejaVu Serif" w:hAnsi="DejaVu Serif" w:eastAsia="DejaVu Serif"/>
                <w:b w:val="0"/>
                <w:i w:val="0"/>
                <w:sz w:val="16"/>
              </w:rPr>
              <w:t>Time, resource, defect, function</w:t>
            </w:r>
          </w:p>
        </w:tc>
        <w:tc>
          <w:tcPr>
            <w:tcW w:type="dxa" w:w="2835"/>
            <w:tcMar>
              <w:top w:w="90" w:type="dxa"/>
              <w:start w:w="110" w:type="dxa"/>
              <w:bottom w:w="90" w:type="dxa"/>
              <w:end w:w="110" w:type="dxa"/>
            </w:tcMar>
            <w:vAlign w:val="center"/>
          </w:tcPr>
          <w:p>
            <w:pPr>
              <w:jc w:val="left"/>
            </w:pPr>
            <w:r>
              <w:rPr>
                <w:rFonts w:ascii="DejaVu Serif" w:hAnsi="DejaVu Serif" w:eastAsia="DejaVu Serif"/>
                <w:b w:val="0"/>
                <w:i w:val="0"/>
                <w:sz w:val="16"/>
              </w:rPr>
              <w:t>Normative version</w:t>
            </w:r>
          </w:p>
        </w:tc>
      </w:tr>
      <w:tr>
        <w:tc>
          <w:tcPr>
            <w:tcW w:type="dxa" w:w="136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HIST / LIT</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6"/>
              </w:rPr>
              <w:t>History and literature</w:t>
            </w:r>
          </w:p>
        </w:tc>
        <w:tc>
          <w:tcPr>
            <w:tcW w:type="dxa" w:w="3061"/>
            <w:tcMar>
              <w:top w:w="90" w:type="dxa"/>
              <w:start w:w="110" w:type="dxa"/>
              <w:bottom w:w="90" w:type="dxa"/>
              <w:end w:w="110" w:type="dxa"/>
            </w:tcMar>
            <w:vAlign w:val="center"/>
            <w:shd w:fill="F4F7FA"/>
          </w:tcPr>
          <w:p>
            <w:pPr>
              <w:jc w:val="left"/>
            </w:pPr>
            <w:r>
              <w:rPr>
                <w:rFonts w:ascii="DejaVu Serif" w:hAnsi="DejaVu Serif" w:eastAsia="DejaVu Serif"/>
                <w:b w:val="0"/>
                <w:i w:val="0"/>
                <w:sz w:val="16"/>
              </w:rPr>
              <w:t>Source, motive, period, narrative</w:t>
            </w:r>
          </w:p>
        </w:tc>
        <w:tc>
          <w:tcPr>
            <w:tcW w:type="dxa" w:w="28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Semantic, not physical, observable</w:t>
            </w:r>
          </w:p>
        </w:tc>
      </w:tr>
      <w:tr>
        <w:tc>
          <w:tcPr>
            <w:tcW w:type="dxa" w:w="1361"/>
            <w:tcMar>
              <w:top w:w="90" w:type="dxa"/>
              <w:start w:w="110" w:type="dxa"/>
              <w:bottom w:w="90" w:type="dxa"/>
              <w:end w:w="110" w:type="dxa"/>
            </w:tcMar>
            <w:vAlign w:val="center"/>
          </w:tcPr>
          <w:p>
            <w:pPr>
              <w:jc w:val="center"/>
            </w:pPr>
            <w:r>
              <w:rPr>
                <w:rFonts w:ascii="DejaVu Serif" w:hAnsi="DejaVu Serif" w:eastAsia="DejaVu Serif"/>
                <w:b w:val="0"/>
                <w:i w:val="0"/>
                <w:sz w:val="16"/>
              </w:rPr>
              <w:t>GEO / STRAT</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6"/>
              </w:rPr>
              <w:t>Geography and strategy</w:t>
            </w:r>
          </w:p>
        </w:tc>
        <w:tc>
          <w:tcPr>
            <w:tcW w:type="dxa" w:w="3061"/>
            <w:tcMar>
              <w:top w:w="90" w:type="dxa"/>
              <w:start w:w="110" w:type="dxa"/>
              <w:bottom w:w="90" w:type="dxa"/>
              <w:end w:w="110" w:type="dxa"/>
            </w:tcMar>
            <w:vAlign w:val="center"/>
          </w:tcPr>
          <w:p>
            <w:pPr>
              <w:jc w:val="left"/>
            </w:pPr>
            <w:r>
              <w:rPr>
                <w:rFonts w:ascii="DejaVu Serif" w:hAnsi="DejaVu Serif" w:eastAsia="DejaVu Serif"/>
                <w:b w:val="0"/>
                <w:i w:val="0"/>
                <w:sz w:val="16"/>
              </w:rPr>
              <w:t>Territory, flow, scenario, constraint</w:t>
            </w:r>
          </w:p>
        </w:tc>
        <w:tc>
          <w:tcPr>
            <w:tcW w:type="dxa" w:w="2835"/>
            <w:tcMar>
              <w:top w:w="90" w:type="dxa"/>
              <w:start w:w="110" w:type="dxa"/>
              <w:bottom w:w="90" w:type="dxa"/>
              <w:end w:w="110" w:type="dxa"/>
            </w:tcMar>
            <w:vAlign w:val="center"/>
          </w:tcPr>
          <w:p>
            <w:pPr>
              <w:jc w:val="left"/>
            </w:pPr>
            <w:r>
              <w:rPr>
                <w:rFonts w:ascii="DejaVu Serif" w:hAnsi="DejaVu Serif" w:eastAsia="DejaVu Serif"/>
                <w:b w:val="0"/>
                <w:i w:val="0"/>
                <w:sz w:val="16"/>
              </w:rPr>
              <w:t>Limits and source chronology</w:t>
            </w:r>
          </w:p>
        </w:tc>
      </w:tr>
    </w:tbl>
    <w:p>
      <w:pPr>
        <w:spacing w:after="40"/>
      </w:pPr>
    </w:p>
    <w:p>
      <w:pPr>
        <w:pStyle w:val="Heading2"/>
        <w:keepNext/>
      </w:pPr>
      <w:r>
        <w:t>32.5. Cross-Domain Strategic Slice</w:t>
      </w:r>
    </w:p>
    <w:p>
      <w:pPr>
        <w:spacing w:before="80" w:after="100"/>
        <w:jc w:val="center"/>
      </w:pPr>
      <w:r>
        <w:rPr>
          <w:rFonts w:ascii="DejaVu Serif" w:hAnsi="DejaVu Serif" w:eastAsia="DejaVu Serif"/>
          <w:b w:val="0"/>
          <w:i w:val="0"/>
          <w:sz w:val="21"/>
        </w:rPr>
        <w:t>SAR_j=(Goal_j; RBD_slice_j, Limits_j, Lambda_j, CGI_j, Evidence_j, Rebuild_j)</w:t>
      </w:r>
      <w:r>
        <w:rPr>
          <w:rFonts w:ascii="DejaVu Serif" w:hAnsi="DejaVu Serif" w:eastAsia="DejaVu Serif"/>
          <w:b w:val="0"/>
          <w:i/>
          <w:color w:val="6B7280"/>
          <w:sz w:val="17"/>
        </w:rPr>
        <w:t xml:space="preserve">    [RU p. 171]</w:t>
      </w:r>
    </w:p>
    <w:p>
      <w:pPr>
        <w:spacing w:before="80" w:after="100"/>
        <w:jc w:val="center"/>
      </w:pPr>
      <w:r>
        <w:rPr>
          <w:rFonts w:ascii="DejaVu Serif" w:hAnsi="DejaVu Serif" w:eastAsia="DejaVu Serif"/>
          <w:b w:val="0"/>
          <w:i w:val="0"/>
          <w:sz w:val="21"/>
        </w:rPr>
        <w:t>RBD_slice_j subset P_delta1 x_C P_delta2 x_C ... x_C P_deltam</w:t>
      </w:r>
      <w:r>
        <w:rPr>
          <w:rFonts w:ascii="DejaVu Serif" w:hAnsi="DejaVu Serif" w:eastAsia="DejaVu Serif"/>
          <w:b w:val="0"/>
          <w:i/>
          <w:color w:val="6B7280"/>
          <w:sz w:val="17"/>
        </w:rPr>
        <w:t xml:space="preserve">    [RU p. 171]</w:t>
      </w:r>
    </w:p>
    <w:p>
      <w:pPr>
        <w:spacing w:before="100" w:after="60"/>
      </w:pPr>
      <w:r>
        <w:rPr>
          <w:rFonts w:ascii="DejaVu Serif" w:hAnsi="DejaVu Serif" w:eastAsia="DejaVu Serif"/>
          <w:b/>
          <w:i w:val="0"/>
          <w:color w:val="173B63"/>
        </w:rPr>
        <w:t xml:space="preserve">Proposition 32.3 - Empty compatibility fibre product [PROP]. </w:t>
      </w:r>
      <w:r>
        <w:rPr>
          <w:rFonts w:ascii="DejaVu Serif" w:hAnsi="DejaVu Serif" w:eastAsia="DejaVu Serif"/>
          <w:b w:val="0"/>
          <w:i w:val="0"/>
        </w:rPr>
        <w:t>If two domain packets assign incompatible time intervals or units to the same canonical_id and no registered transformation exists, their fibre product over the compatibility base C is empty.</w:t>
      </w:r>
    </w:p>
    <w:p>
      <w:pPr>
        <w:ind w:left="283" w:right="113"/>
        <w:jc w:val="both"/>
      </w:pPr>
      <w:r>
        <w:rPr>
          <w:rFonts w:ascii="DejaVu Serif" w:hAnsi="DejaVu Serif" w:eastAsia="DejaVu Serif"/>
          <w:b/>
          <w:i/>
        </w:rPr>
        <w:t xml:space="preserve">Proof. </w:t>
      </w:r>
      <w:r>
        <w:rPr>
          <w:rFonts w:ascii="DejaVu Serif" w:hAnsi="DejaVu Serif" w:eastAsia="DejaVu Serif"/>
          <w:b w:val="0"/>
          <w:i/>
        </w:rPr>
        <w:t>A point of the fibre product must have the same image in C. Incompatible intervals or units yield different images and therefore no common point.</w:t>
      </w:r>
    </w:p>
    <w:p>
      <w:pPr>
        <w:pStyle w:val="Heading2"/>
        <w:keepNext/>
      </w:pPr>
      <w:r>
        <w:t>32.6. Minimal Executable Contract</w:t>
      </w:r>
    </w:p>
    <w:p>
      <w:pPr>
        <w:spacing w:after="80" w:line="269" w:lineRule="auto"/>
        <w:jc w:val="both"/>
      </w:pPr>
      <w:r>
        <w:rPr>
          <w:rFonts w:ascii="DejaVu Serif" w:hAnsi="DejaVu Serif" w:eastAsia="DejaVu Serif"/>
          <w:b w:val="0"/>
          <w:i w:val="0"/>
        </w:rPr>
        <w:t>The minimal contract contains parse, validate, canonicalize, build_reper, predict_set, attach_fact, score, rebuild, and emit_certificate. Every function returns Result(value, errors, warnings), so a damaged row cannot silently disappear or become an admissible observation.</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A domain adapter is not a translator that erases differences between languages. It is the discipline of encounter: it must show what survives the passage from phenomenon to record and what remains outside the encoding.</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ADAPTER-CERT-v196i7. </w:t>
            </w:r>
            <w:r>
              <w:rPr>
                <w:rFonts w:ascii="DejaVu Serif" w:hAnsi="DejaVu Serif" w:eastAsia="DejaVu Serif"/>
                <w:b w:val="0"/>
                <w:i w:val="0"/>
                <w:sz w:val="18"/>
              </w:rPr>
              <w:t>domain=delta; Raw/X/Y=typed; Enc/Rep/Obs=partial; D/Dom=distinct; units=explicit; source-anchor=mandatory; null=registered; missing-field=bottom; strategy-slice=fibre-product-over-compatibility; empirical-truth=not-inferred-from-type-correctness.</w:t>
            </w:r>
          </w:p>
        </w:tc>
      </w:tr>
    </w:tbl>
    <w:p>
      <w:pPr>
        <w:spacing w:after="40"/>
      </w:pPr>
    </w:p>
    <w:p>
      <w:pPr>
        <w:pStyle w:val="Heading1"/>
        <w:keepNext/>
      </w:pPr>
      <w:bookmarkStart w:id="1032" w:name="T1_CH_33"/>
      <w:r>
        <w:t>Chapter 33. Identity, Provenance, and Data Integrity</w:t>
      </w:r>
      <w:bookmarkEnd w:id="1032"/>
    </w:p>
    <w:p>
      <w:pPr>
        <w:spacing w:after="80" w:line="269" w:lineRule="auto"/>
        <w:jc w:val="both"/>
      </w:pPr>
      <w:r>
        <w:rPr>
          <w:rFonts w:ascii="DejaVu Serif" w:hAnsi="DejaVu Serif" w:eastAsia="DejaVu Serif"/>
          <w:b w:val="0"/>
          <w:i w:val="0"/>
        </w:rPr>
        <w:t>Russian source locator: pp. 172-173</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When do two files represent one object, and how is the derivation history preserved?</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One file may have two names and two files may have one name. A proof chain needs separate path, byte, and semantic identities.</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Raw records are quotiented by a proven equivalence relation, while provenance is stored as a directed acyclic graph.</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A matching hash establishes byte identity for the checked files; it does not establish semantic equivalence between different documents.</w:t>
            </w:r>
          </w:p>
        </w:tc>
      </w:tr>
    </w:tbl>
    <w:p>
      <w:pPr>
        <w:spacing w:after="40"/>
      </w:pPr>
    </w:p>
    <w:p>
      <w:pPr>
        <w:keepNext/>
        <w:jc w:val="center"/>
      </w:pPr>
      <w:r>
        <w:drawing>
          <wp:inline xmlns:a="http://schemas.openxmlformats.org/drawingml/2006/main" xmlns:pic="http://schemas.openxmlformats.org/drawingml/2006/picture">
            <wp:extent cx="5623560" cy="2510902"/>
            <wp:docPr id="36" name="Picture 36"/>
            <wp:cNvGraphicFramePr>
              <a:graphicFrameLocks noChangeAspect="1"/>
            </wp:cNvGraphicFramePr>
            <a:graphic>
              <a:graphicData uri="http://schemas.openxmlformats.org/drawingml/2006/picture">
                <pic:pic>
                  <pic:nvPicPr>
                    <pic:cNvPr id="0" name="fig33_prov.png"/>
                    <pic:cNvPicPr/>
                  </pic:nvPicPr>
                  <pic:blipFill>
                    <a:blip r:embed="rId48"/>
                    <a:stretch>
                      <a:fillRect/>
                    </a:stretch>
                  </pic:blipFill>
                  <pic:spPr>
                    <a:xfrm>
                      <a:off x="0" y="0"/>
                      <a:ext cx="5623560" cy="2510902"/>
                    </a:xfrm>
                    <a:prstGeom prst="rect"/>
                  </pic:spPr>
                </pic:pic>
              </a:graphicData>
            </a:graphic>
          </wp:inline>
        </w:drawing>
      </w:r>
    </w:p>
    <w:p>
      <w:pPr>
        <w:pStyle w:val="Caption"/>
        <w:spacing w:before="40" w:after="160"/>
        <w:jc w:val="center"/>
      </w:pPr>
      <w:bookmarkStart w:id="1093" w:name="T1_FIG_035"/>
      <w:r>
        <w:t>Figure 33.1. Path, byte, and semantic identity are different relations; provenance records the transformation path.</w:t>
      </w:r>
      <w:bookmarkEnd w:id="1093"/>
    </w:p>
    <w:p>
      <w:pPr>
        <w:pStyle w:val="Heading2"/>
        <w:keepNext/>
      </w:pPr>
      <w:r>
        <w:t>33.1. Three Levels of Identity</w:t>
      </w:r>
    </w:p>
    <w:p>
      <w:pPr>
        <w:spacing w:before="80" w:after="100"/>
        <w:jc w:val="center"/>
      </w:pPr>
      <w:r>
        <w:rPr>
          <w:rFonts w:ascii="DejaVu Serif" w:hAnsi="DejaVu Serif" w:eastAsia="DejaVu Serif"/>
          <w:b w:val="0"/>
          <w:i w:val="0"/>
          <w:sz w:val="21"/>
        </w:rPr>
        <w:t>id_path(a)=normalize(path_a);   id_byte(a)=(|a|, SHA256(a))</w:t>
      </w:r>
      <w:r>
        <w:rPr>
          <w:rFonts w:ascii="DejaVu Serif" w:hAnsi="DejaVu Serif" w:eastAsia="DejaVu Serif"/>
          <w:b w:val="0"/>
          <w:i/>
          <w:color w:val="6B7280"/>
          <w:sz w:val="17"/>
        </w:rPr>
        <w:t xml:space="preserve">    [RU p. 172]</w:t>
      </w:r>
    </w:p>
    <w:p>
      <w:pPr>
        <w:spacing w:after="80" w:line="269" w:lineRule="auto"/>
        <w:jc w:val="both"/>
      </w:pPr>
      <w:r>
        <w:rPr>
          <w:rFonts w:ascii="DejaVu Serif" w:hAnsi="DejaVu Serif" w:eastAsia="DejaVu Serif"/>
          <w:b w:val="0"/>
          <w:i w:val="0"/>
        </w:rPr>
        <w:t>The semantic identifier is assigned only after a domain comparison of version, language, object, and role. Definition 33.1 [DEF]. On a finite set of files, a is byte-equivalent to b exactly when their byte sequences are equal. SHA-256 is a fast index; a critical conflict may be settled by direct byte comparison.</w:t>
      </w:r>
    </w:p>
    <w:p>
      <w:pPr>
        <w:spacing w:before="100" w:after="60"/>
      </w:pPr>
      <w:r>
        <w:rPr>
          <w:rFonts w:ascii="DejaVu Serif" w:hAnsi="DejaVu Serif" w:eastAsia="DejaVu Serif"/>
          <w:b/>
          <w:i w:val="0"/>
          <w:color w:val="173B63"/>
        </w:rPr>
        <w:t xml:space="preserve">Theorem 33.1 - Byte quotient and idempotent canonicalisation [THM]. </w:t>
      </w:r>
      <w:r>
        <w:rPr>
          <w:rFonts w:ascii="DejaVu Serif" w:hAnsi="DejaVu Serif" w:eastAsia="DejaVu Serif"/>
          <w:b w:val="0"/>
          <w:i w:val="0"/>
        </w:rPr>
        <w:t>The quotient A/~_b has one class for each distinct byte sequence. After selecting a representative, the canonicalisation map kappa is idempotent: kappa(kappa(a))=kappa(a).</w:t>
      </w:r>
    </w:p>
    <w:p>
      <w:pPr>
        <w:ind w:left="283" w:right="113"/>
        <w:jc w:val="both"/>
      </w:pPr>
      <w:r>
        <w:rPr>
          <w:rFonts w:ascii="DejaVu Serif" w:hAnsi="DejaVu Serif" w:eastAsia="DejaVu Serif"/>
          <w:b/>
          <w:i/>
        </w:rPr>
        <w:t xml:space="preserve">Proof. </w:t>
      </w:r>
      <w:r>
        <w:rPr>
          <w:rFonts w:ascii="DejaVu Serif" w:hAnsi="DejaVu Serif" w:eastAsia="DejaVu Serif"/>
          <w:b w:val="0"/>
          <w:i/>
        </w:rPr>
        <w:t>Byte equality is reflexive, symmetric, and transitive, so it partitions A. Re-canonicalising a selected representative stays in the same class.</w:t>
      </w:r>
    </w:p>
    <w:p>
      <w:pPr>
        <w:pStyle w:val="Heading2"/>
        <w:keepNext/>
      </w:pPr>
      <w:r>
        <w:t>33.2. Concrete Import Audit v1.0</w:t>
      </w:r>
    </w:p>
    <w:p>
      <w:pPr>
        <w:spacing w:after="80" w:line="269" w:lineRule="auto"/>
        <w:jc w:val="both"/>
      </w:pPr>
      <w:r>
        <w:rPr>
          <w:rFonts w:ascii="DejaVu Serif" w:hAnsi="DejaVu Serif" w:eastAsia="DejaVu Serif"/>
          <w:b w:val="0"/>
          <w:i w:val="0"/>
        </w:rPr>
        <w:t>The discovered and classified CSV files contain 46 raw rows but 45 distinct SHA-256 values. Index_mirrors_klt510_v4_1.html and index_mirrors_klt510_v4_1.html have the same size (49,981 bytes), the same digest b2efc1635f4ddfca168cb832e17be9a41a05fe2bdbf736eb2457808b3daf4a4b, and direct byte equality. The SQLite import_artifacts table and the entity-map export contain 45 rows, while the run report preserves imported_artifact_count=46. The snapshot is immutable; the mismatch is documented rather than overwritten.</w:t>
      </w:r>
    </w:p>
    <w:tbl>
      <w:tblPr>
        <w:tblStyle w:val="TableGrid"/>
        <w:tblW w:type="auto" w:w="0"/>
        <w:jc w:val="center"/>
        <w:tblLook w:firstColumn="1" w:firstRow="1" w:lastColumn="0" w:lastRow="0" w:noHBand="0" w:noVBand="1" w:val="04A0"/>
      </w:tblPr>
      <w:tblGrid>
        <w:gridCol w:w="2517"/>
        <w:gridCol w:w="2517"/>
        <w:gridCol w:w="2517"/>
        <w:gridCol w:w="2517"/>
      </w:tblGrid>
      <w:tr>
        <w:trPr>
          <w:tblHeader w:val="true"/>
        </w:trPr>
        <w:tc>
          <w:tcPr>
            <w:tcW w:type="dxa" w:w="260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Audit object</w:t>
            </w:r>
          </w:p>
        </w:tc>
        <w:tc>
          <w:tcPr>
            <w:tcW w:type="dxa" w:w="147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Result</w:t>
            </w:r>
          </w:p>
        </w:tc>
        <w:tc>
          <w:tcPr>
            <w:tcW w:type="dxa" w:w="198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Status</w:t>
            </w:r>
          </w:p>
        </w:tc>
        <w:tc>
          <w:tcPr>
            <w:tcW w:type="dxa" w:w="3685"/>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Required action</w:t>
            </w:r>
          </w:p>
        </w:tc>
      </w:tr>
      <w:tr>
        <w:tc>
          <w:tcPr>
            <w:tcW w:type="dxa" w:w="2608"/>
            <w:tcMar>
              <w:top w:w="90" w:type="dxa"/>
              <w:start w:w="110" w:type="dxa"/>
              <w:bottom w:w="90" w:type="dxa"/>
              <w:end w:w="110" w:type="dxa"/>
            </w:tcMar>
            <w:vAlign w:val="center"/>
          </w:tcPr>
          <w:p>
            <w:pPr>
              <w:jc w:val="center"/>
            </w:pPr>
            <w:r>
              <w:rPr>
                <w:rFonts w:ascii="DejaVu Serif" w:hAnsi="DejaVu Serif" w:eastAsia="DejaVu Serif"/>
                <w:b w:val="0"/>
                <w:i w:val="0"/>
                <w:sz w:val="16"/>
              </w:rPr>
              <w:t>Raw rows</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6"/>
              </w:rPr>
              <w:t>46</w:t>
            </w:r>
          </w:p>
        </w:tc>
        <w:tc>
          <w:tcPr>
            <w:tcW w:type="dxa" w:w="1984"/>
            <w:tcMar>
              <w:top w:w="90" w:type="dxa"/>
              <w:start w:w="110" w:type="dxa"/>
              <w:bottom w:w="90" w:type="dxa"/>
              <w:end w:w="110" w:type="dxa"/>
            </w:tcMar>
            <w:vAlign w:val="center"/>
          </w:tcPr>
          <w:p>
            <w:pPr>
              <w:jc w:val="left"/>
            </w:pPr>
            <w:r>
              <w:rPr>
                <w:rFonts w:ascii="DejaVu Serif" w:hAnsi="DejaVu Serif" w:eastAsia="DejaVu Serif"/>
                <w:b w:val="0"/>
                <w:i w:val="0"/>
                <w:sz w:val="16"/>
              </w:rPr>
              <w:t>verified</w:t>
            </w:r>
          </w:p>
        </w:tc>
        <w:tc>
          <w:tcPr>
            <w:tcW w:type="dxa" w:w="3685"/>
            <w:tcMar>
              <w:top w:w="90" w:type="dxa"/>
              <w:start w:w="110" w:type="dxa"/>
              <w:bottom w:w="90" w:type="dxa"/>
              <w:end w:w="110" w:type="dxa"/>
            </w:tcMar>
            <w:vAlign w:val="center"/>
          </w:tcPr>
          <w:p>
            <w:pPr>
              <w:jc w:val="left"/>
            </w:pPr>
            <w:r>
              <w:rPr>
                <w:rFonts w:ascii="DejaVu Serif" w:hAnsi="DejaVu Serif" w:eastAsia="DejaVu Serif"/>
                <w:b w:val="0"/>
                <w:i w:val="0"/>
                <w:sz w:val="16"/>
              </w:rPr>
              <w:t>Preserve as N_raw</w:t>
            </w:r>
          </w:p>
        </w:tc>
      </w:tr>
      <w:tr>
        <w:tc>
          <w:tcPr>
            <w:tcW w:type="dxa" w:w="2608"/>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Byte-unique objects</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6"/>
              </w:rPr>
              <w:t>45</w:t>
            </w:r>
          </w:p>
        </w:tc>
        <w:tc>
          <w:tcPr>
            <w:tcW w:type="dxa" w:w="1984"/>
            <w:tcMar>
              <w:top w:w="90" w:type="dxa"/>
              <w:start w:w="110" w:type="dxa"/>
              <w:bottom w:w="90" w:type="dxa"/>
              <w:end w:w="110" w:type="dxa"/>
            </w:tcMar>
            <w:vAlign w:val="center"/>
            <w:shd w:fill="F4F7FA"/>
          </w:tcPr>
          <w:p>
            <w:pPr>
              <w:jc w:val="left"/>
            </w:pPr>
            <w:r>
              <w:rPr>
                <w:rFonts w:ascii="DejaVu Serif" w:hAnsi="DejaVu Serif" w:eastAsia="DejaVu Serif"/>
                <w:b w:val="0"/>
                <w:i w:val="0"/>
                <w:sz w:val="16"/>
              </w:rPr>
              <w:t>verified</w:t>
            </w:r>
          </w:p>
        </w:tc>
        <w:tc>
          <w:tcPr>
            <w:tcW w:type="dxa" w:w="3685"/>
            <w:tcMar>
              <w:top w:w="90" w:type="dxa"/>
              <w:start w:w="110" w:type="dxa"/>
              <w:bottom w:w="90" w:type="dxa"/>
              <w:end w:w="110" w:type="dxa"/>
            </w:tcMar>
            <w:vAlign w:val="center"/>
            <w:shd w:fill="F4F7FA"/>
          </w:tcPr>
          <w:p>
            <w:pPr>
              <w:jc w:val="left"/>
            </w:pPr>
            <w:r>
              <w:rPr>
                <w:rFonts w:ascii="DejaVu Serif" w:hAnsi="DejaVu Serif" w:eastAsia="DejaVu Serif"/>
                <w:b w:val="0"/>
                <w:i w:val="0"/>
                <w:sz w:val="16"/>
              </w:rPr>
              <w:t>Preserve as N_byte</w:t>
            </w:r>
          </w:p>
        </w:tc>
      </w:tr>
      <w:tr>
        <w:tc>
          <w:tcPr>
            <w:tcW w:type="dxa" w:w="2608"/>
            <w:tcMar>
              <w:top w:w="90" w:type="dxa"/>
              <w:start w:w="110" w:type="dxa"/>
              <w:bottom w:w="90" w:type="dxa"/>
              <w:end w:w="110" w:type="dxa"/>
            </w:tcMar>
            <w:vAlign w:val="center"/>
          </w:tcPr>
          <w:p>
            <w:pPr>
              <w:jc w:val="center"/>
            </w:pPr>
            <w:r>
              <w:rPr>
                <w:rFonts w:ascii="DejaVu Serif" w:hAnsi="DejaVu Serif" w:eastAsia="DejaVu Serif"/>
                <w:b w:val="0"/>
                <w:i w:val="0"/>
                <w:sz w:val="16"/>
              </w:rPr>
              <w:t>import_artifacts</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6"/>
              </w:rPr>
              <w:t>45</w:t>
            </w:r>
          </w:p>
        </w:tc>
        <w:tc>
          <w:tcPr>
            <w:tcW w:type="dxa" w:w="1984"/>
            <w:tcMar>
              <w:top w:w="90" w:type="dxa"/>
              <w:start w:w="110" w:type="dxa"/>
              <w:bottom w:w="90" w:type="dxa"/>
              <w:end w:w="110" w:type="dxa"/>
            </w:tcMar>
            <w:vAlign w:val="center"/>
          </w:tcPr>
          <w:p>
            <w:pPr>
              <w:jc w:val="left"/>
            </w:pPr>
            <w:r>
              <w:rPr>
                <w:rFonts w:ascii="DejaVu Serif" w:hAnsi="DejaVu Serif" w:eastAsia="DejaVu Serif"/>
                <w:b w:val="0"/>
                <w:i w:val="0"/>
                <w:sz w:val="16"/>
              </w:rPr>
              <w:t>verified read-only</w:t>
            </w:r>
          </w:p>
        </w:tc>
        <w:tc>
          <w:tcPr>
            <w:tcW w:type="dxa" w:w="3685"/>
            <w:tcMar>
              <w:top w:w="90" w:type="dxa"/>
              <w:start w:w="110" w:type="dxa"/>
              <w:bottom w:w="90" w:type="dxa"/>
              <w:end w:w="110" w:type="dxa"/>
            </w:tcMar>
            <w:vAlign w:val="center"/>
          </w:tcPr>
          <w:p>
            <w:pPr>
              <w:jc w:val="left"/>
            </w:pPr>
            <w:r>
              <w:rPr>
                <w:rFonts w:ascii="DejaVu Serif" w:hAnsi="DejaVu Serif" w:eastAsia="DejaVu Serif"/>
                <w:b w:val="0"/>
                <w:i w:val="0"/>
                <w:sz w:val="16"/>
              </w:rPr>
              <w:t>Align a future report</w:t>
            </w:r>
          </w:p>
        </w:tc>
      </w:tr>
      <w:tr>
        <w:tc>
          <w:tcPr>
            <w:tcW w:type="dxa" w:w="2608"/>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Run imported count</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6"/>
              </w:rPr>
              <w:t>46</w:t>
            </w:r>
          </w:p>
        </w:tc>
        <w:tc>
          <w:tcPr>
            <w:tcW w:type="dxa" w:w="1984"/>
            <w:tcMar>
              <w:top w:w="90" w:type="dxa"/>
              <w:start w:w="110" w:type="dxa"/>
              <w:bottom w:w="90" w:type="dxa"/>
              <w:end w:w="110" w:type="dxa"/>
            </w:tcMar>
            <w:vAlign w:val="center"/>
            <w:shd w:fill="F4F7FA"/>
          </w:tcPr>
          <w:p>
            <w:pPr>
              <w:jc w:val="left"/>
            </w:pPr>
            <w:r>
              <w:rPr>
                <w:rFonts w:ascii="DejaVu Serif" w:hAnsi="DejaVu Serif" w:eastAsia="DejaVu Serif"/>
                <w:b w:val="0"/>
                <w:i w:val="0"/>
                <w:sz w:val="16"/>
              </w:rPr>
              <w:t>counter mismatch</w:t>
            </w:r>
          </w:p>
        </w:tc>
        <w:tc>
          <w:tcPr>
            <w:tcW w:type="dxa" w:w="3685"/>
            <w:tcMar>
              <w:top w:w="90" w:type="dxa"/>
              <w:start w:w="110" w:type="dxa"/>
              <w:bottom w:w="90" w:type="dxa"/>
              <w:end w:w="110" w:type="dxa"/>
            </w:tcMar>
            <w:vAlign w:val="center"/>
            <w:shd w:fill="F4F7FA"/>
          </w:tcPr>
          <w:p>
            <w:pPr>
              <w:jc w:val="left"/>
            </w:pPr>
            <w:r>
              <w:rPr>
                <w:rFonts w:ascii="DejaVu Serif" w:hAnsi="DejaVu Serif" w:eastAsia="DejaVu Serif"/>
                <w:b w:val="0"/>
                <w:i w:val="0"/>
                <w:sz w:val="16"/>
              </w:rPr>
              <w:t>Repair only in a new version</w:t>
            </w:r>
          </w:p>
        </w:tc>
      </w:tr>
      <w:tr>
        <w:tc>
          <w:tcPr>
            <w:tcW w:type="dxa" w:w="2608"/>
            <w:tcMar>
              <w:top w:w="90" w:type="dxa"/>
              <w:start w:w="110" w:type="dxa"/>
              <w:bottom w:w="90" w:type="dxa"/>
              <w:end w:w="110" w:type="dxa"/>
            </w:tcMar>
            <w:vAlign w:val="center"/>
          </w:tcPr>
          <w:p>
            <w:pPr>
              <w:jc w:val="center"/>
            </w:pPr>
            <w:r>
              <w:rPr>
                <w:rFonts w:ascii="DejaVu Serif" w:hAnsi="DejaVu Serif" w:eastAsia="DejaVu Serif"/>
                <w:b w:val="0"/>
                <w:i w:val="0"/>
                <w:sz w:val="16"/>
              </w:rPr>
              <w:t>SQLite integrity_check</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6"/>
              </w:rPr>
              <w:t>ok</w:t>
            </w:r>
          </w:p>
        </w:tc>
        <w:tc>
          <w:tcPr>
            <w:tcW w:type="dxa" w:w="1984"/>
            <w:tcMar>
              <w:top w:w="90" w:type="dxa"/>
              <w:start w:w="110" w:type="dxa"/>
              <w:bottom w:w="90" w:type="dxa"/>
              <w:end w:w="110" w:type="dxa"/>
            </w:tcMar>
            <w:vAlign w:val="center"/>
          </w:tcPr>
          <w:p>
            <w:pPr>
              <w:jc w:val="left"/>
            </w:pPr>
            <w:r>
              <w:rPr>
                <w:rFonts w:ascii="DejaVu Serif" w:hAnsi="DejaVu Serif" w:eastAsia="DejaVu Serif"/>
                <w:b w:val="0"/>
                <w:i w:val="0"/>
                <w:sz w:val="16"/>
              </w:rPr>
              <w:t>pass</w:t>
            </w:r>
          </w:p>
        </w:tc>
        <w:tc>
          <w:tcPr>
            <w:tcW w:type="dxa" w:w="3685"/>
            <w:tcMar>
              <w:top w:w="90" w:type="dxa"/>
              <w:start w:w="110" w:type="dxa"/>
              <w:bottom w:w="90" w:type="dxa"/>
              <w:end w:w="110" w:type="dxa"/>
            </w:tcMar>
            <w:vAlign w:val="center"/>
          </w:tcPr>
          <w:p>
            <w:pPr>
              <w:jc w:val="left"/>
            </w:pPr>
            <w:r>
              <w:rPr>
                <w:rFonts w:ascii="DejaVu Serif" w:hAnsi="DejaVu Serif" w:eastAsia="DejaVu Serif"/>
                <w:b w:val="0"/>
                <w:i w:val="0"/>
                <w:sz w:val="16"/>
              </w:rPr>
              <w:t>Preserve database hash</w:t>
            </w:r>
          </w:p>
        </w:tc>
      </w:tr>
      <w:tr>
        <w:tc>
          <w:tcPr>
            <w:tcW w:type="dxa" w:w="2608"/>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foreign_key_check</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6"/>
              </w:rPr>
              <w:t>0 violations</w:t>
            </w:r>
          </w:p>
        </w:tc>
        <w:tc>
          <w:tcPr>
            <w:tcW w:type="dxa" w:w="1984"/>
            <w:tcMar>
              <w:top w:w="90" w:type="dxa"/>
              <w:start w:w="110" w:type="dxa"/>
              <w:bottom w:w="90" w:type="dxa"/>
              <w:end w:w="110" w:type="dxa"/>
            </w:tcMar>
            <w:vAlign w:val="center"/>
            <w:shd w:fill="F4F7FA"/>
          </w:tcPr>
          <w:p>
            <w:pPr>
              <w:jc w:val="left"/>
            </w:pPr>
            <w:r>
              <w:rPr>
                <w:rFonts w:ascii="DejaVu Serif" w:hAnsi="DejaVu Serif" w:eastAsia="DejaVu Serif"/>
                <w:b w:val="0"/>
                <w:i w:val="0"/>
                <w:sz w:val="16"/>
              </w:rPr>
              <w:t>pass</w:t>
            </w:r>
          </w:p>
        </w:tc>
        <w:tc>
          <w:tcPr>
            <w:tcW w:type="dxa" w:w="3685"/>
            <w:tcMar>
              <w:top w:w="90" w:type="dxa"/>
              <w:start w:w="110" w:type="dxa"/>
              <w:bottom w:w="90" w:type="dxa"/>
              <w:end w:w="110" w:type="dxa"/>
            </w:tcMar>
            <w:vAlign w:val="center"/>
            <w:shd w:fill="F4F7FA"/>
          </w:tcPr>
          <w:p>
            <w:pPr>
              <w:jc w:val="left"/>
            </w:pPr>
            <w:r>
              <w:rPr>
                <w:rFonts w:ascii="DejaVu Serif" w:hAnsi="DejaVu Serif" w:eastAsia="DejaVu Serif"/>
                <w:b w:val="0"/>
                <w:i w:val="0"/>
                <w:sz w:val="16"/>
              </w:rPr>
              <w:t>Keep as mandatory test</w:t>
            </w:r>
          </w:p>
        </w:tc>
      </w:tr>
    </w:tbl>
    <w:p>
      <w:pPr>
        <w:spacing w:after="40"/>
      </w:pPr>
    </w:p>
    <w:p>
      <w:pPr>
        <w:spacing w:before="100" w:after="60"/>
      </w:pPr>
      <w:r>
        <w:rPr>
          <w:rFonts w:ascii="DejaVu Serif" w:hAnsi="DejaVu Serif" w:eastAsia="DejaVu Serif"/>
          <w:b/>
          <w:i w:val="0"/>
          <w:color w:val="173B63"/>
        </w:rPr>
        <w:t xml:space="preserve">Proposition 33.2 - Counter relation [PROP]. </w:t>
      </w:r>
      <w:r>
        <w:rPr>
          <w:rFonts w:ascii="DejaVu Serif" w:hAnsi="DejaVu Serif" w:eastAsia="DejaVu Serif"/>
          <w:b w:val="0"/>
          <w:i w:val="0"/>
        </w:rPr>
        <w:t>For this snapshot N_raw=46, N_byte=N_db=45, and N_duplicate=1; hence N_raw=N_db+N_duplicate.</w:t>
      </w:r>
    </w:p>
    <w:p>
      <w:pPr>
        <w:ind w:left="283" w:right="113"/>
        <w:jc w:val="both"/>
      </w:pPr>
      <w:r>
        <w:rPr>
          <w:rFonts w:ascii="DejaVu Serif" w:hAnsi="DejaVu Serif" w:eastAsia="DejaVu Serif"/>
          <w:b/>
          <w:i/>
        </w:rPr>
        <w:t xml:space="preserve">Proof. </w:t>
      </w:r>
      <w:r>
        <w:rPr>
          <w:rFonts w:ascii="DejaVu Serif" w:hAnsi="DejaVu Serif" w:eastAsia="DejaVu Serif"/>
          <w:b w:val="0"/>
          <w:i/>
        </w:rPr>
        <w:t>One nontrivial byte-equivalence class contains the two case variants; the remaining 44 classes are singletons. Therefore there are 45 classes and one excess raw row.</w:t>
      </w:r>
    </w:p>
    <w:p>
      <w:pPr>
        <w:pStyle w:val="Heading2"/>
        <w:keepNext/>
      </w:pPr>
      <w:r>
        <w:t>33.3. Provenance as an Evidential DAG</w:t>
      </w:r>
    </w:p>
    <w:p>
      <w:pPr>
        <w:spacing w:after="80" w:line="269" w:lineRule="auto"/>
        <w:jc w:val="both"/>
      </w:pPr>
      <w:r>
        <w:rPr>
          <w:rFonts w:ascii="DejaVu Serif" w:hAnsi="DejaVu Serif" w:eastAsia="DejaVu Serif"/>
          <w:b w:val="0"/>
          <w:i w:val="0"/>
        </w:rPr>
        <w:t>For each result define G_prov=(V,E), with vertex types raw, normalized, reper, forecast, fact, score, and certificate. An edge u-&gt;v means that v was computed directly from u. source_hash is attached to raw data, code_hash to a transformation, and result_hash to an output.</w:t>
      </w:r>
    </w:p>
    <w:p>
      <w:pPr>
        <w:spacing w:before="100" w:after="60"/>
      </w:pPr>
      <w:r>
        <w:rPr>
          <w:rFonts w:ascii="DejaVu Serif" w:hAnsi="DejaVu Serif" w:eastAsia="DejaVu Serif"/>
          <w:b/>
          <w:i w:val="0"/>
          <w:color w:val="173B63"/>
        </w:rPr>
        <w:t xml:space="preserve">Theorem 33.3 - Acyclicity under a strict rank [THM]. </w:t>
      </w:r>
      <w:r>
        <w:rPr>
          <w:rFonts w:ascii="DejaVu Serif" w:hAnsi="DejaVu Serif" w:eastAsia="DejaVu Serif"/>
          <w:b w:val="0"/>
          <w:i w:val="0"/>
        </w:rPr>
        <w:t>If every edge u-&gt;v strictly increases a version number or computation timestamp, then G_prov is acyclic.</w:t>
      </w:r>
    </w:p>
    <w:p>
      <w:pPr>
        <w:ind w:left="283" w:right="113"/>
        <w:jc w:val="both"/>
      </w:pPr>
      <w:r>
        <w:rPr>
          <w:rFonts w:ascii="DejaVu Serif" w:hAnsi="DejaVu Serif" w:eastAsia="DejaVu Serif"/>
          <w:b/>
          <w:i/>
        </w:rPr>
        <w:t xml:space="preserve">Proof. </w:t>
      </w:r>
      <w:r>
        <w:rPr>
          <w:rFonts w:ascii="DejaVu Serif" w:hAnsi="DejaVu Serif" w:eastAsia="DejaVu Serif"/>
          <w:b w:val="0"/>
          <w:i/>
        </w:rPr>
        <w:t>Along a directed cycle the rank would have to increase strictly and return to its initial value, which is impossible.</w:t>
      </w:r>
    </w:p>
    <w:p>
      <w:pPr>
        <w:pStyle w:val="Heading2"/>
        <w:keepNext/>
      </w:pPr>
      <w:r>
        <w:t>33.4. Referential Integrity</w:t>
      </w:r>
    </w:p>
    <w:p>
      <w:pPr>
        <w:spacing w:before="100" w:after="60"/>
      </w:pPr>
      <w:r>
        <w:rPr>
          <w:rFonts w:ascii="DejaVu Serif" w:hAnsi="DejaVu Serif" w:eastAsia="DejaVu Serif"/>
          <w:b/>
          <w:i w:val="0"/>
          <w:color w:val="173B63"/>
        </w:rPr>
        <w:t xml:space="preserve">Proposition 33.4 - Transactional foreign-key gate [PROP]. </w:t>
      </w:r>
      <w:r>
        <w:rPr>
          <w:rFonts w:ascii="DejaVu Serif" w:hAnsi="DejaVu Serif" w:eastAsia="DejaVu Serif"/>
          <w:b w:val="0"/>
          <w:i w:val="0"/>
        </w:rPr>
        <w:t>If all inserts are transactional, foreign keys are enabled, and COMMIT occurs only after PRAGMA foreign_key_check returns the empty set, the committed state contains no SQLite orphan links detectable by that check.</w:t>
      </w:r>
    </w:p>
    <w:p>
      <w:pPr>
        <w:ind w:left="283" w:right="113"/>
        <w:jc w:val="both"/>
      </w:pPr>
      <w:r>
        <w:rPr>
          <w:rFonts w:ascii="DejaVu Serif" w:hAnsi="DejaVu Serif" w:eastAsia="DejaVu Serif"/>
          <w:b/>
          <w:i/>
        </w:rPr>
        <w:t xml:space="preserve">Proof. </w:t>
      </w:r>
      <w:r>
        <w:rPr>
          <w:rFonts w:ascii="DejaVu Serif" w:hAnsi="DejaVu Serif" w:eastAsia="DejaVu Serif"/>
          <w:b w:val="0"/>
          <w:i/>
        </w:rPr>
        <w:t>Any foreign-key violation appears in the check output; the COMMIT rule excludes such a transaction from the committed state.</w:t>
      </w:r>
    </w:p>
    <w:p>
      <w:pPr>
        <w:spacing w:after="80" w:line="269" w:lineRule="auto"/>
        <w:jc w:val="both"/>
      </w:pPr>
      <w:r>
        <w:rPr>
          <w:rFonts w:ascii="DejaVu Serif" w:hAnsi="DejaVu Serif" w:eastAsia="DejaVu Serif"/>
          <w:b w:val="0"/>
          <w:i w:val="0"/>
        </w:rPr>
        <w:t>Foreign-key integrity is necessary but not sufficient for semantic correctness. It proves that the referenced row exists, not that the stated relation is true.</w:t>
      </w:r>
    </w:p>
    <w:p>
      <w:pPr>
        <w:pStyle w:val="Heading2"/>
        <w:keepNext/>
      </w:pPr>
      <w:r>
        <w:t>33.5. Privacy as Partial Observability</w:t>
      </w:r>
    </w:p>
    <w:p>
      <w:pPr>
        <w:spacing w:after="80" w:line="269" w:lineRule="auto"/>
        <w:jc w:val="both"/>
      </w:pPr>
      <w:r>
        <w:rPr>
          <w:rFonts w:ascii="DejaVu Serif" w:hAnsi="DejaVu Serif" w:eastAsia="DejaVu Serif"/>
          <w:b w:val="0"/>
          <w:i w:val="0"/>
        </w:rPr>
        <w:t>PUB, MIXED, PRIVATE, and CLOSED classify permission to publish, not evidential quality. The public projection Pub:Artifact -&gt; Artifact_pub is partial and requires a passed public_private_splits decision. In the verified snapshot, 41 imported objects are PUB and four are MIXED; all four MIXED objects remain in needs_review. This is an active publication blocker, not a database error.</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A filename is only one perspective on an object. Provenance returns the object to its history: where it came from, which operation transformed it, and why the current record may participate in an inference.</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ID-PROV-CERT-v196i7. </w:t>
            </w:r>
            <w:r>
              <w:rPr>
                <w:rFonts w:ascii="DejaVu Serif" w:hAnsi="DejaVu Serif" w:eastAsia="DejaVu Serif"/>
                <w:b w:val="0"/>
                <w:i w:val="0"/>
                <w:sz w:val="18"/>
              </w:rPr>
              <w:t>identity={path,byte,semantic}; raw_count=46; byte_unique=45; db_rows=45; duplicate_pair={Index,index}; byte_equal=true; counter_mismatch=open; integrity_check=ok; foreign_keys=0; provenance=DAG-under-rank; privacy={PUB:41,MIXED:4-needs-review}; historical-snapshot=immutable.</w:t>
            </w:r>
          </w:p>
        </w:tc>
      </w:tr>
    </w:tbl>
    <w:p>
      <w:pPr>
        <w:spacing w:after="40"/>
      </w:pPr>
    </w:p>
    <w:p>
      <w:pPr>
        <w:pStyle w:val="Heading1"/>
        <w:keepNext/>
      </w:pPr>
      <w:bookmarkStart w:id="1033" w:name="T1_CH_34"/>
      <w:r>
        <w:t>Chapter 34. Identifiability, Transportability, and Independent Validation</w:t>
      </w:r>
      <w:bookmarkEnd w:id="1033"/>
    </w:p>
    <w:p>
      <w:pPr>
        <w:spacing w:after="80" w:line="269" w:lineRule="auto"/>
        <w:jc w:val="both"/>
      </w:pPr>
      <w:r>
        <w:rPr>
          <w:rFonts w:ascii="DejaVu Serif" w:hAnsi="DejaVu Serif" w:eastAsia="DejaVu Serif"/>
          <w:b w:val="0"/>
          <w:i w:val="0"/>
        </w:rPr>
        <w:t>Russian source locator: pp. 174-175</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What can be recovered from observations, and when may a result move from one population or domain to another?</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No program can recover a hidden distinction when two models produce the same observable law. Transport additionally requires target support within source support.</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Identifiability is defined through observational equivalence; target risk is expressed through a Radon-Nikodym weight; matched-null inference uses group invariance.</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All results are conditional on distributions and registered interfaces. They do not validate a concrete domain hypothesis without data.</w:t>
            </w:r>
          </w:p>
        </w:tc>
      </w:tr>
    </w:tbl>
    <w:p>
      <w:pPr>
        <w:spacing w:after="40"/>
      </w:pPr>
    </w:p>
    <w:p>
      <w:pPr>
        <w:keepNext/>
        <w:jc w:val="center"/>
      </w:pPr>
      <w:r>
        <w:drawing>
          <wp:inline xmlns:a="http://schemas.openxmlformats.org/drawingml/2006/main" xmlns:pic="http://schemas.openxmlformats.org/drawingml/2006/picture">
            <wp:extent cx="5623560" cy="2510902"/>
            <wp:docPr id="37" name="Picture 37"/>
            <wp:cNvGraphicFramePr>
              <a:graphicFrameLocks noChangeAspect="1"/>
            </wp:cNvGraphicFramePr>
            <a:graphic>
              <a:graphicData uri="http://schemas.openxmlformats.org/drawingml/2006/picture">
                <pic:pic>
                  <pic:nvPicPr>
                    <pic:cNvPr id="0" name="fig34_transport.png"/>
                    <pic:cNvPicPr/>
                  </pic:nvPicPr>
                  <pic:blipFill>
                    <a:blip r:embed="rId49"/>
                    <a:stretch>
                      <a:fillRect/>
                    </a:stretch>
                  </pic:blipFill>
                  <pic:spPr>
                    <a:xfrm>
                      <a:off x="0" y="0"/>
                      <a:ext cx="5623560" cy="2510902"/>
                    </a:xfrm>
                    <a:prstGeom prst="rect"/>
                  </pic:spPr>
                </pic:pic>
              </a:graphicData>
            </a:graphic>
          </wp:inline>
        </w:drawing>
      </w:r>
    </w:p>
    <w:p>
      <w:pPr>
        <w:pStyle w:val="Caption"/>
        <w:spacing w:before="40" w:after="160"/>
        <w:jc w:val="center"/>
      </w:pPr>
      <w:bookmarkStart w:id="1094" w:name="T1_FIG_036"/>
      <w:r>
        <w:t>Figure 34.1. Identifiability, support, matched-null, and independent-source gates are conjunctive.</w:t>
      </w:r>
      <w:bookmarkEnd w:id="1094"/>
    </w:p>
    <w:p>
      <w:pPr>
        <w:pStyle w:val="Heading2"/>
        <w:keepNext/>
      </w:pPr>
      <w:r>
        <w:t>34.1. Observational Equivalence</w:t>
      </w:r>
    </w:p>
    <w:p>
      <w:pPr>
        <w:spacing w:before="80" w:after="100"/>
        <w:jc w:val="center"/>
      </w:pPr>
      <w:r>
        <w:rPr>
          <w:rFonts w:ascii="DejaVu Serif" w:hAnsi="DejaVu Serif" w:eastAsia="DejaVu Serif"/>
          <w:b w:val="0"/>
          <w:i w:val="0"/>
          <w:sz w:val="21"/>
        </w:rPr>
        <w:t>theta ~_obs theta_prime  iff  P_theta = P_theta_prime on the observable sigma-algebra</w:t>
      </w:r>
      <w:r>
        <w:rPr>
          <w:rFonts w:ascii="DejaVu Serif" w:hAnsi="DejaVu Serif" w:eastAsia="DejaVu Serif"/>
          <w:b w:val="0"/>
          <w:i/>
          <w:color w:val="6B7280"/>
          <w:sz w:val="17"/>
        </w:rPr>
        <w:t xml:space="preserve">    [RU p. 174]</w:t>
      </w:r>
    </w:p>
    <w:p>
      <w:pPr>
        <w:spacing w:after="80" w:line="269" w:lineRule="auto"/>
        <w:jc w:val="both"/>
      </w:pPr>
      <w:r>
        <w:rPr>
          <w:rFonts w:ascii="DejaVu Serif" w:hAnsi="DejaVu Serif" w:eastAsia="DejaVu Serif"/>
          <w:b w:val="0"/>
          <w:i w:val="0"/>
        </w:rPr>
        <w:t>Definition 34.1 [DEF]. A parameter theta is identifiable when theta~_obs theta_prime implies theta=theta_prime. A functional psi(theta) may be identifiable even when theta is not, provided observational equivalence implies equality of psi.</w:t>
      </w:r>
    </w:p>
    <w:p>
      <w:pPr>
        <w:spacing w:before="100" w:after="60"/>
      </w:pPr>
      <w:r>
        <w:rPr>
          <w:rFonts w:ascii="DejaVu Serif" w:hAnsi="DejaVu Serif" w:eastAsia="DejaVu Serif"/>
          <w:b/>
          <w:i w:val="0"/>
          <w:color w:val="173B63"/>
        </w:rPr>
        <w:t xml:space="preserve">Theorem 34.1 - Impossibility of exact selection [THM]. </w:t>
      </w:r>
      <w:r>
        <w:rPr>
          <w:rFonts w:ascii="DejaVu Serif" w:hAnsi="DejaVu Serif" w:eastAsia="DejaVu Serif"/>
          <w:b w:val="0"/>
          <w:i w:val="0"/>
        </w:rPr>
        <w:t>If theta is not equal to theta_prime but P_theta=P_theta_prime, no estimator can equal theta almost surely under P_theta and equal theta_prime almost surely under P_theta_prime.</w:t>
      </w:r>
    </w:p>
    <w:p>
      <w:pPr>
        <w:ind w:left="283" w:right="113"/>
        <w:jc w:val="both"/>
      </w:pPr>
      <w:r>
        <w:rPr>
          <w:rFonts w:ascii="DejaVu Serif" w:hAnsi="DejaVu Serif" w:eastAsia="DejaVu Serif"/>
          <w:b/>
          <w:i/>
        </w:rPr>
        <w:t xml:space="preserve">Proof. </w:t>
      </w:r>
      <w:r>
        <w:rPr>
          <w:rFonts w:ascii="DejaVu Serif" w:hAnsi="DejaVu Serif" w:eastAsia="DejaVu Serif"/>
          <w:b w:val="0"/>
          <w:i/>
        </w:rPr>
        <w:t>The event {theta_hat=theta} would have probability one under P_theta and zero under P_theta_prime. Equal observable laws assign the same probability to every observable event, giving a contradiction.</w:t>
      </w:r>
    </w:p>
    <w:p>
      <w:pPr>
        <w:spacing w:after="80" w:line="269" w:lineRule="auto"/>
        <w:jc w:val="both"/>
      </w:pPr>
      <w:r>
        <w:rPr>
          <w:rFonts w:ascii="DejaVu Serif" w:hAnsi="DejaVu Serif" w:eastAsia="DejaVu Serif"/>
          <w:b w:val="0"/>
          <w:i w:val="0"/>
        </w:rPr>
        <w:t>Kurpishev PN.2 supplies a specific structural mechanism of such impossibility: hidden branches require one answer while the observable and structural gaps remain positive.</w:t>
      </w:r>
    </w:p>
    <w:p>
      <w:pPr>
        <w:pStyle w:val="Heading2"/>
        <w:keepNext/>
      </w:pPr>
      <w:r>
        <w:t>34.2. Support Condition for Transfer</w:t>
      </w:r>
    </w:p>
    <w:p>
      <w:pPr>
        <w:spacing w:before="80" w:after="100"/>
        <w:jc w:val="center"/>
      </w:pPr>
      <w:r>
        <w:rPr>
          <w:rFonts w:ascii="DejaVu Serif" w:hAnsi="DejaVu Serif" w:eastAsia="DejaVu Serif"/>
          <w:b w:val="0"/>
          <w:i w:val="0"/>
          <w:sz w:val="21"/>
        </w:rPr>
        <w:t>R_T(f)=E_T[loss]=E_S[w(X,Y) loss],   w=dP_T/dP_S,   P_T &lt;&lt; P_S</w:t>
      </w:r>
      <w:r>
        <w:rPr>
          <w:rFonts w:ascii="DejaVu Serif" w:hAnsi="DejaVu Serif" w:eastAsia="DejaVu Serif"/>
          <w:b w:val="0"/>
          <w:i/>
          <w:color w:val="6B7280"/>
          <w:sz w:val="17"/>
        </w:rPr>
        <w:t xml:space="preserve">    [RU p. 174]</w:t>
      </w:r>
    </w:p>
    <w:p>
      <w:pPr>
        <w:spacing w:before="100" w:after="60"/>
      </w:pPr>
      <w:r>
        <w:rPr>
          <w:rFonts w:ascii="DejaVu Serif" w:hAnsi="DejaVu Serif" w:eastAsia="DejaVu Serif"/>
          <w:b/>
          <w:i w:val="0"/>
          <w:color w:val="173B63"/>
        </w:rPr>
        <w:t xml:space="preserve">Theorem 34.2 - Weighted target-risk identity [THM]. </w:t>
      </w:r>
      <w:r>
        <w:rPr>
          <w:rFonts w:ascii="DejaVu Serif" w:hAnsi="DejaVu Serif" w:eastAsia="DejaVu Serif"/>
          <w:b w:val="0"/>
          <w:i w:val="0"/>
        </w:rPr>
        <w:t>If P_T is absolutely continuous with respect to P_S and w*loss is integrable, then the target risk equals the weighted source risk.</w:t>
      </w:r>
    </w:p>
    <w:p>
      <w:pPr>
        <w:ind w:left="283" w:right="113"/>
        <w:jc w:val="both"/>
      </w:pPr>
      <w:r>
        <w:rPr>
          <w:rFonts w:ascii="DejaVu Serif" w:hAnsi="DejaVu Serif" w:eastAsia="DejaVu Serif"/>
          <w:b/>
          <w:i/>
        </w:rPr>
        <w:t xml:space="preserve">Proof. </w:t>
      </w:r>
      <w:r>
        <w:rPr>
          <w:rFonts w:ascii="DejaVu Serif" w:hAnsi="DejaVu Serif" w:eastAsia="DejaVu Serif"/>
          <w:b w:val="0"/>
          <w:i/>
        </w:rPr>
        <w:t>This is the defining integral identity of the Radon-Nikodym derivative.</w:t>
      </w:r>
    </w:p>
    <w:tbl>
      <w:tblPr>
        <w:tblStyle w:val="TableGrid"/>
        <w:tblW w:type="auto" w:w="0"/>
        <w:jc w:val="center"/>
        <w:tblLook w:firstColumn="1" w:firstRow="1" w:lastColumn="0" w:lastRow="0" w:noHBand="0" w:noVBand="1" w:val="04A0"/>
      </w:tblPr>
      <w:tblGrid>
        <w:gridCol w:w="10070"/>
      </w:tblGrid>
      <w:tr>
        <w:tc>
          <w:tcPr>
            <w:tcW w:type="dxa" w:w="10070"/>
            <w:shd w:fill="F9EAEA"/>
            <w:tcMar>
              <w:top w:w="120" w:type="dxa"/>
              <w:start w:w="140" w:type="dxa"/>
              <w:bottom w:w="120" w:type="dxa"/>
              <w:end w:w="140" w:type="dxa"/>
            </w:tcMar>
          </w:tcPr>
          <w:p>
            <w:r>
              <w:rPr>
                <w:rFonts w:ascii="DejaVu Sans" w:hAnsi="DejaVu Sans" w:eastAsia="DejaVu Sans"/>
                <w:b/>
                <w:i w:val="0"/>
                <w:color w:val="9E2A2B"/>
                <w:sz w:val="18"/>
              </w:rPr>
              <w:t xml:space="preserve">Counterexample 34.1. </w:t>
            </w:r>
            <w:r>
              <w:rPr>
                <w:rFonts w:ascii="DejaVu Serif" w:hAnsi="DejaVu Serif" w:eastAsia="DejaVu Serif"/>
                <w:b w:val="0"/>
                <w:i w:val="0"/>
                <w:sz w:val="18"/>
              </w:rPr>
              <w:t>If there is a set A with P_T(A)&gt;0 and P_S(A)=0, source data contain no evidence about the loss on A. No finite weighting repairs the gap. The adapter must return support-gap/ABSTAIN.</w:t>
            </w:r>
          </w:p>
        </w:tc>
      </w:tr>
    </w:tbl>
    <w:p>
      <w:pPr>
        <w:spacing w:after="40"/>
      </w:pPr>
    </w:p>
    <w:p>
      <w:pPr>
        <w:pStyle w:val="Heading2"/>
        <w:keepNext/>
      </w:pPr>
      <w:r>
        <w:t>34.3. Structural Transport of a Reper</w:t>
      </w:r>
    </w:p>
    <w:p>
      <w:pPr>
        <w:spacing w:after="80" w:line="269" w:lineRule="auto"/>
        <w:jc w:val="both"/>
      </w:pPr>
      <w:r>
        <w:rPr>
          <w:rFonts w:ascii="DejaVu Serif" w:hAnsi="DejaVu Serif" w:eastAsia="DejaVu Serif"/>
          <w:b w:val="0"/>
          <w:i w:val="0"/>
        </w:rPr>
        <w:t>A transfer Theta_{S-&gt;T} must make the observation diagram commute on Dom(Theta), preserve units and time indices, carry the source anchor, and control the transfer curvature from Chapter 30.</w:t>
      </w:r>
    </w:p>
    <w:p>
      <w:pPr>
        <w:spacing w:before="100" w:after="60"/>
      </w:pPr>
      <w:r>
        <w:rPr>
          <w:rFonts w:ascii="DejaVu Serif" w:hAnsi="DejaVu Serif" w:eastAsia="DejaVu Serif"/>
          <w:b/>
          <w:i w:val="0"/>
          <w:color w:val="173B63"/>
        </w:rPr>
        <w:t xml:space="preserve">Proposition 34.3 - Internal lambda does not repair a noncommutative observable map [PROP]. </w:t>
      </w:r>
      <w:r>
        <w:rPr>
          <w:rFonts w:ascii="DejaVu Serif" w:hAnsi="DejaVu Serif" w:eastAsia="DejaVu Serif"/>
          <w:b w:val="0"/>
          <w:i w:val="0"/>
        </w:rPr>
        <w:t>If Obs_T o Theta differs from phi_Y o Obs_S, equality of internal lambda coordinates does not imply equality of target predictions.</w:t>
      </w:r>
    </w:p>
    <w:p>
      <w:pPr>
        <w:ind w:left="283" w:right="113"/>
        <w:jc w:val="both"/>
      </w:pPr>
      <w:r>
        <w:rPr>
          <w:rFonts w:ascii="DejaVu Serif" w:hAnsi="DejaVu Serif" w:eastAsia="DejaVu Serif"/>
          <w:b/>
          <w:i/>
        </w:rPr>
        <w:t xml:space="preserve">Proof. </w:t>
      </w:r>
      <w:r>
        <w:rPr>
          <w:rFonts w:ascii="DejaVu Serif" w:hAnsi="DejaVu Serif" w:eastAsia="DejaVu Serif"/>
          <w:b w:val="0"/>
          <w:i/>
        </w:rPr>
        <w:t>Noncommutativity provides a packet for which the two routes yield different observables. The internal coordinate does not erase that difference.</w:t>
      </w:r>
    </w:p>
    <w:p>
      <w:pPr>
        <w:pStyle w:val="Heading2"/>
        <w:keepNext/>
      </w:pPr>
      <w:r>
        <w:t>34.4. Matched-Null as Group Randomisation</w:t>
      </w:r>
    </w:p>
    <w:p>
      <w:pPr>
        <w:spacing w:before="80" w:after="100"/>
        <w:jc w:val="center"/>
      </w:pPr>
      <w:r>
        <w:rPr>
          <w:rFonts w:ascii="DejaVu Serif" w:hAnsi="DejaVu Serif" w:eastAsia="DejaVu Serif"/>
          <w:b w:val="0"/>
          <w:i w:val="0"/>
          <w:sz w:val="21"/>
        </w:rPr>
        <w:t>p_G(Z)=|{g in G : T(gZ)&gt;=T(Z)}| / |G|</w:t>
      </w:r>
      <w:r>
        <w:rPr>
          <w:rFonts w:ascii="DejaVu Serif" w:hAnsi="DejaVu Serif" w:eastAsia="DejaVu Serif"/>
          <w:b w:val="0"/>
          <w:i/>
          <w:color w:val="6B7280"/>
          <w:sz w:val="17"/>
        </w:rPr>
        <w:t xml:space="preserve">    [RU p. 175]</w:t>
      </w:r>
    </w:p>
    <w:p>
      <w:pPr>
        <w:spacing w:before="100" w:after="60"/>
      </w:pPr>
      <w:r>
        <w:rPr>
          <w:rFonts w:ascii="DejaVu Serif" w:hAnsi="DejaVu Serif" w:eastAsia="DejaVu Serif"/>
          <w:b/>
          <w:i w:val="0"/>
          <w:color w:val="173B63"/>
        </w:rPr>
        <w:t xml:space="preserve">Theorem 34.4 - Exact randomisation level [THM]. </w:t>
      </w:r>
      <w:r>
        <w:rPr>
          <w:rFonts w:ascii="DejaVu Serif" w:hAnsi="DejaVu Serif" w:eastAsia="DejaVu Serif"/>
          <w:b w:val="0"/>
          <w:i w:val="0"/>
        </w:rPr>
        <w:t>If a finite group G acts on Z and the null law conditional on the orbit GZ is invariant, then P_0(p_G&lt;=alpha)&lt;=alpha, with ordinary discrete conservatism. For B sampled transformations use p_hat=(1+#)/(B+1).</w:t>
      </w:r>
    </w:p>
    <w:p>
      <w:pPr>
        <w:ind w:left="283" w:right="113"/>
        <w:jc w:val="both"/>
      </w:pPr>
      <w:r>
        <w:rPr>
          <w:rFonts w:ascii="DejaVu Serif" w:hAnsi="DejaVu Serif" w:eastAsia="DejaVu Serif"/>
          <w:b/>
          <w:i/>
        </w:rPr>
        <w:t xml:space="preserve">Proof. </w:t>
      </w:r>
      <w:r>
        <w:rPr>
          <w:rFonts w:ascii="DejaVu Serif" w:hAnsi="DejaVu Serif" w:eastAsia="DejaVu Serif"/>
          <w:b w:val="0"/>
          <w:i/>
        </w:rPr>
        <w:t>Under the null, the observed position is exchangeable with the positions on its orbit. The upper-tail rank is exact or conservative; the plus-one correction includes the observed configuration in the Monte Carlo rank.</w:t>
      </w:r>
    </w:p>
    <w:p>
      <w:pPr>
        <w:pStyle w:val="Heading2"/>
        <w:keepNext/>
      </w:pPr>
      <w:r>
        <w:t>34.5. Independent Validation Route</w:t>
      </w:r>
    </w:p>
    <w:p>
      <w:pPr>
        <w:spacing w:before="80" w:after="100"/>
        <w:jc w:val="center"/>
      </w:pPr>
      <w:r>
        <w:rPr>
          <w:rFonts w:ascii="DejaVu Serif" w:hAnsi="DejaVu Serif" w:eastAsia="DejaVu Serif"/>
          <w:b w:val="0"/>
          <w:i w:val="0"/>
          <w:sz w:val="21"/>
        </w:rPr>
        <w:t>T_train independent of T_cal independent of T_test;   source(T_ext) != source(T_train union T_cal union T_test)</w:t>
      </w:r>
      <w:r>
        <w:rPr>
          <w:rFonts w:ascii="DejaVu Serif" w:hAnsi="DejaVu Serif" w:eastAsia="DejaVu Serif"/>
          <w:b w:val="0"/>
          <w:i/>
          <w:color w:val="6B7280"/>
          <w:sz w:val="17"/>
        </w:rPr>
        <w:t xml:space="preserve">    [RU p. 175]</w:t>
      </w:r>
    </w:p>
    <w:p>
      <w:pPr>
        <w:spacing w:after="80" w:line="269" w:lineRule="auto"/>
        <w:jc w:val="both"/>
      </w:pPr>
      <w:r>
        <w:rPr>
          <w:rFonts w:ascii="DejaVu Serif" w:hAnsi="DejaVu Serif" w:eastAsia="DejaVu Serif"/>
          <w:b w:val="0"/>
          <w:i w:val="0"/>
        </w:rPr>
        <w:t>Features are selected on train, thresholds and corridors on calibration, one frozen evaluation is performed on test, and transfer is examined on an external corpus. Opening test and then changing the model creates a new version. Distinct source labels do not automatically imply statistical independence; shared instruments, references, or duplicated objects must be audited in provenance.</w:t>
      </w:r>
    </w:p>
    <w:p>
      <w:pPr>
        <w:pStyle w:val="Heading2"/>
        <w:keepNext/>
      </w:pPr>
      <w:r>
        <w:t>34.6. CGI and the Noncompensation Rule</w:t>
      </w:r>
    </w:p>
    <w:p>
      <w:pPr>
        <w:spacing w:before="100" w:after="60"/>
      </w:pPr>
      <w:r>
        <w:rPr>
          <w:rFonts w:ascii="DejaVu Serif" w:hAnsi="DejaVu Serif" w:eastAsia="DejaVu Serif"/>
          <w:b/>
          <w:i w:val="0"/>
          <w:color w:val="173B63"/>
        </w:rPr>
        <w:t xml:space="preserve">Theorem 34.5 - No status promotion through compensation [THM]. </w:t>
      </w:r>
      <w:r>
        <w:rPr>
          <w:rFonts w:ascii="DejaVu Serif" w:hAnsi="DejaVu Serif" w:eastAsia="DejaVu Serif"/>
          <w:b w:val="0"/>
          <w:i w:val="0"/>
        </w:rPr>
        <w:t>If any mandatory identifiability, support, null-invariance, or independent-validation gate equals 0 or bottom, truth_layer_promotion remains 0 regardless of CGI.</w:t>
      </w:r>
    </w:p>
    <w:p>
      <w:pPr>
        <w:ind w:left="283" w:right="113"/>
        <w:jc w:val="both"/>
      </w:pPr>
      <w:r>
        <w:rPr>
          <w:rFonts w:ascii="DejaVu Serif" w:hAnsi="DejaVu Serif" w:eastAsia="DejaVu Serif"/>
          <w:b/>
          <w:i/>
        </w:rPr>
        <w:t xml:space="preserve">Proof. </w:t>
      </w:r>
      <w:r>
        <w:rPr>
          <w:rFonts w:ascii="DejaVu Serif" w:hAnsi="DejaVu Serif" w:eastAsia="DejaVu Serif"/>
          <w:b w:val="0"/>
          <w:i/>
        </w:rPr>
        <w:t>Authorisation is the conjunction of mandatory gates. A zero or undefined conjunct cannot be changed to one by a separate numerical field.</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Transportability is not visual similarity. It is a right to carry a result across a boundary. That right exists only after showing that the target side does not contain relevant possibilities the source sample never observed.</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TRANSPORT-CERT-v196i7. </w:t>
            </w:r>
            <w:r>
              <w:rPr>
                <w:rFonts w:ascii="DejaVu Serif" w:hAnsi="DejaVu Serif" w:eastAsia="DejaVu Serif"/>
                <w:b w:val="0"/>
                <w:i w:val="0"/>
                <w:sz w:val="18"/>
              </w:rPr>
              <w:t>identifiability=explicit; support=P_T&lt;&lt;P_S-or-gap; risk-transfer=Radon-Nikodym-weighted; observation-diagram=commutative; curvature=bounded; matched-null=group-invariant; split=train/cal/test/ext; CGI&lt;1=noncompensating-gate; failed-gate=&gt;truth_layer_promotion=0.</w:t>
            </w:r>
          </w:p>
        </w:tc>
      </w:tr>
    </w:tbl>
    <w:p>
      <w:pPr>
        <w:spacing w:after="40"/>
      </w:pPr>
    </w:p>
    <w:p>
      <w:pPr>
        <w:pStyle w:val="Heading1"/>
        <w:keepNext/>
      </w:pPr>
      <w:bookmarkStart w:id="1034" w:name="T1_CH_35"/>
      <w:r>
        <w:t>Chapter 35. Forecast Corridors, Conformal Calibration, and Abstention</w:t>
      </w:r>
      <w:bookmarkEnd w:id="1034"/>
    </w:p>
    <w:p>
      <w:pPr>
        <w:spacing w:after="80" w:line="269" w:lineRule="auto"/>
        <w:jc w:val="both"/>
      </w:pPr>
      <w:r>
        <w:rPr>
          <w:rFonts w:ascii="DejaVu Serif" w:hAnsi="DejaVu Serif" w:eastAsia="DejaVu Serif"/>
          <w:b w:val="0"/>
          <w:i w:val="0"/>
        </w:rPr>
        <w:t>Russian source locator: pp. 176-177</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How should a predictive method report uncertainty when several PN.2 branches remain admissible?</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The output is a calibrated set of future values, not merely a central number. Hidden branches enlarge the honest answer.</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Split conformal prediction gives finite-sample marginal coverage under exchangeability; branch-aware PN.2 output uses a union of branch corridors.</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The guarantee is not pointwise conditional coverage and may fail under unmodelled temporal drift or unsupported transfer.</w:t>
            </w:r>
          </w:p>
        </w:tc>
      </w:tr>
    </w:tbl>
    <w:p>
      <w:pPr>
        <w:spacing w:after="40"/>
      </w:pPr>
    </w:p>
    <w:p>
      <w:pPr>
        <w:keepNext/>
        <w:jc w:val="center"/>
      </w:pPr>
      <w:r>
        <w:drawing>
          <wp:inline xmlns:a="http://schemas.openxmlformats.org/drawingml/2006/main" xmlns:pic="http://schemas.openxmlformats.org/drawingml/2006/picture">
            <wp:extent cx="5623560" cy="2510902"/>
            <wp:docPr id="38" name="Picture 38"/>
            <wp:cNvGraphicFramePr>
              <a:graphicFrameLocks noChangeAspect="1"/>
            </wp:cNvGraphicFramePr>
            <a:graphic>
              <a:graphicData uri="http://schemas.openxmlformats.org/drawingml/2006/picture">
                <pic:pic>
                  <pic:nvPicPr>
                    <pic:cNvPr id="0" name="fig35_corridor.png"/>
                    <pic:cNvPicPr/>
                  </pic:nvPicPr>
                  <pic:blipFill>
                    <a:blip r:embed="rId50"/>
                    <a:stretch>
                      <a:fillRect/>
                    </a:stretch>
                  </pic:blipFill>
                  <pic:spPr>
                    <a:xfrm>
                      <a:off x="0" y="0"/>
                      <a:ext cx="5623560" cy="2510902"/>
                    </a:xfrm>
                    <a:prstGeom prst="rect"/>
                  </pic:spPr>
                </pic:pic>
              </a:graphicData>
            </a:graphic>
          </wp:inline>
        </w:drawing>
      </w:r>
    </w:p>
    <w:p>
      <w:pPr>
        <w:pStyle w:val="Caption"/>
        <w:spacing w:before="40" w:after="160"/>
        <w:jc w:val="center"/>
      </w:pPr>
      <w:bookmarkStart w:id="1095" w:name="T1_FIG_037"/>
      <w:r>
        <w:t>Figure 35.1. Calibration produces branch corridors; the branch-blind output is their gated union.</w:t>
      </w:r>
      <w:bookmarkEnd w:id="1095"/>
    </w:p>
    <w:p>
      <w:pPr>
        <w:pStyle w:val="Heading2"/>
        <w:keepNext/>
      </w:pPr>
      <w:r>
        <w:t>35.1. Split Conformal Corridor</w:t>
      </w:r>
    </w:p>
    <w:p>
      <w:pPr>
        <w:spacing w:before="80" w:after="100"/>
        <w:jc w:val="center"/>
      </w:pPr>
      <w:r>
        <w:rPr>
          <w:rFonts w:ascii="DejaVu Serif" w:hAnsi="DejaVu Serif" w:eastAsia="DejaVu Serif"/>
          <w:b w:val="0"/>
          <w:i w:val="0"/>
          <w:sz w:val="21"/>
        </w:rPr>
        <w:t>k=ceil((n+1)(1-alpha));   q=s_(k);   C_alpha(x)={y : s(x,y)&lt;=q}</w:t>
      </w:r>
      <w:r>
        <w:rPr>
          <w:rFonts w:ascii="DejaVu Serif" w:hAnsi="DejaVu Serif" w:eastAsia="DejaVu Serif"/>
          <w:b w:val="0"/>
          <w:i/>
          <w:color w:val="6B7280"/>
          <w:sz w:val="17"/>
        </w:rPr>
        <w:t xml:space="preserve">    [RU p. 176]</w:t>
      </w:r>
    </w:p>
    <w:p>
      <w:pPr>
        <w:spacing w:before="100" w:after="60"/>
      </w:pPr>
      <w:r>
        <w:rPr>
          <w:rFonts w:ascii="DejaVu Serif" w:hAnsi="DejaVu Serif" w:eastAsia="DejaVu Serif"/>
          <w:b/>
          <w:i w:val="0"/>
          <w:color w:val="173B63"/>
        </w:rPr>
        <w:t xml:space="preserve">Theorem 35.1 - Finite-sample marginal coverage [THM]. </w:t>
      </w:r>
      <w:r>
        <w:rPr>
          <w:rFonts w:ascii="DejaVu Serif" w:hAnsi="DejaVu Serif" w:eastAsia="DejaVu Serif"/>
          <w:b w:val="0"/>
          <w:i w:val="0"/>
        </w:rPr>
        <w:t>If the n calibration pairs and the new pair are exchangeable, and the model and score were fixed without using calibration responses after disclosure, then P{Y_(n+1) in C_alpha(X_(n+1))} &gt;= 1-alpha.</w:t>
      </w:r>
    </w:p>
    <w:p>
      <w:pPr>
        <w:ind w:left="283" w:right="113"/>
        <w:jc w:val="both"/>
      </w:pPr>
      <w:r>
        <w:rPr>
          <w:rFonts w:ascii="DejaVu Serif" w:hAnsi="DejaVu Serif" w:eastAsia="DejaVu Serif"/>
          <w:b/>
          <w:i/>
        </w:rPr>
        <w:t xml:space="preserve">Proof. </w:t>
      </w:r>
      <w:r>
        <w:rPr>
          <w:rFonts w:ascii="DejaVu Serif" w:hAnsi="DejaVu Serif" w:eastAsia="DejaVu Serif"/>
          <w:b w:val="0"/>
          <w:i/>
        </w:rPr>
        <w:t>The rank of the new score among the n+1 exchangeable scores is uniform up to conservative tie handling. The selected order statistic bounds the upper-tail probability by alpha.</w:t>
      </w:r>
    </w:p>
    <w:p>
      <w:pPr>
        <w:spacing w:after="80" w:line="269" w:lineRule="auto"/>
        <w:jc w:val="both"/>
      </w:pPr>
      <w:r>
        <w:rPr>
          <w:rFonts w:ascii="DejaVu Serif" w:hAnsi="DejaVu Serif" w:eastAsia="DejaVu Serif"/>
          <w:b w:val="0"/>
          <w:i w:val="0"/>
        </w:rPr>
        <w:t>This is a marginal guarantee under the joint law. It is not a promise of 1-alpha coverage at each fixed x. Rare subgroups require preregistered Mondrian or group-conditional calibration and adequate sample size.</w:t>
      </w:r>
    </w:p>
    <w:p>
      <w:pPr>
        <w:pStyle w:val="Heading2"/>
        <w:keepNext/>
      </w:pPr>
      <w:r>
        <w:t>35.2. PN.2 Branch Corridors</w:t>
      </w:r>
    </w:p>
    <w:p>
      <w:pPr>
        <w:spacing w:before="80" w:after="100"/>
        <w:jc w:val="center"/>
      </w:pPr>
      <w:r>
        <w:rPr>
          <w:rFonts w:ascii="DejaVu Serif" w:hAnsi="DejaVu Serif" w:eastAsia="DejaVu Serif"/>
          <w:b w:val="0"/>
          <w:i w:val="0"/>
          <w:sz w:val="21"/>
        </w:rPr>
        <w:t>C_alpha^PN2(x) = union_{b in B(x)} C_{alpha,b}(x)</w:t>
      </w:r>
      <w:r>
        <w:rPr>
          <w:rFonts w:ascii="DejaVu Serif" w:hAnsi="DejaVu Serif" w:eastAsia="DejaVu Serif"/>
          <w:b w:val="0"/>
          <w:i/>
          <w:color w:val="6B7280"/>
          <w:sz w:val="17"/>
        </w:rPr>
        <w:t xml:space="preserve">    [RU p. 176]</w:t>
      </w:r>
    </w:p>
    <w:p>
      <w:pPr>
        <w:spacing w:before="100" w:after="60"/>
      </w:pPr>
      <w:r>
        <w:rPr>
          <w:rFonts w:ascii="DejaVu Serif" w:hAnsi="DejaVu Serif" w:eastAsia="DejaVu Serif"/>
          <w:b/>
          <w:i w:val="0"/>
          <w:color w:val="173B63"/>
        </w:rPr>
        <w:t xml:space="preserve">Theorem 35.2 - Coverage by branch union [THM]. </w:t>
      </w:r>
      <w:r>
        <w:rPr>
          <w:rFonts w:ascii="DejaVu Serif" w:hAnsi="DejaVu Serif" w:eastAsia="DejaVu Serif"/>
          <w:b w:val="0"/>
          <w:i w:val="0"/>
        </w:rPr>
        <w:t>If the true branch b* belongs to the registered set B(x) and C_{alpha,b*}(x) covers Y with probability at least 1-alpha, the union corridor has coverage at least 1-alpha.</w:t>
      </w:r>
    </w:p>
    <w:p>
      <w:pPr>
        <w:ind w:left="283" w:right="113"/>
        <w:jc w:val="both"/>
      </w:pPr>
      <w:r>
        <w:rPr>
          <w:rFonts w:ascii="DejaVu Serif" w:hAnsi="DejaVu Serif" w:eastAsia="DejaVu Serif"/>
          <w:b/>
          <w:i/>
        </w:rPr>
        <w:t xml:space="preserve">Proof. </w:t>
      </w:r>
      <w:r>
        <w:rPr>
          <w:rFonts w:ascii="DejaVu Serif" w:hAnsi="DejaVu Serif" w:eastAsia="DejaVu Serif"/>
          <w:b w:val="0"/>
          <w:i/>
        </w:rPr>
        <w:t>The true-branch corridor is a subset of the union, so true-branch coverage implies union coverage.</w:t>
      </w:r>
    </w:p>
    <w:tbl>
      <w:tblPr>
        <w:tblStyle w:val="TableGrid"/>
        <w:tblW w:type="auto" w:w="0"/>
        <w:jc w:val="center"/>
        <w:tblLook w:firstColumn="1" w:firstRow="1" w:lastColumn="0" w:lastRow="0" w:noHBand="0" w:noVBand="1" w:val="04A0"/>
      </w:tblPr>
      <w:tblGrid>
        <w:gridCol w:w="10070"/>
      </w:tblGrid>
      <w:tr>
        <w:tc>
          <w:tcPr>
            <w:tcW w:type="dxa" w:w="10070"/>
            <w:shd w:fill="F9EAEA"/>
            <w:tcMar>
              <w:top w:w="120" w:type="dxa"/>
              <w:start w:w="140" w:type="dxa"/>
              <w:bottom w:w="120" w:type="dxa"/>
              <w:end w:w="140" w:type="dxa"/>
            </w:tcMar>
          </w:tcPr>
          <w:p>
            <w:r>
              <w:rPr>
                <w:rFonts w:ascii="DejaVu Sans" w:hAnsi="DejaVu Sans" w:eastAsia="DejaVu Sans"/>
                <w:b/>
                <w:i w:val="0"/>
                <w:color w:val="9E2A2B"/>
                <w:sz w:val="18"/>
              </w:rPr>
              <w:t xml:space="preserve">Counterexample 35.1. </w:t>
            </w:r>
            <w:r>
              <w:rPr>
                <w:rFonts w:ascii="DejaVu Serif" w:hAnsi="DejaVu Serif" w:eastAsia="DejaVu Serif"/>
                <w:b w:val="0"/>
                <w:i w:val="0"/>
                <w:sz w:val="18"/>
              </w:rPr>
              <w:t>Two disjoint exact branch corridors have an empty intersection. Intersecting them can return an empty answer even when each branch corridor has perfect coverage in its own regime.</w:t>
            </w:r>
          </w:p>
        </w:tc>
      </w:tr>
    </w:tbl>
    <w:p>
      <w:pPr>
        <w:spacing w:after="40"/>
      </w:pPr>
    </w:p>
    <w:p>
      <w:pPr>
        <w:pStyle w:val="Heading2"/>
        <w:keepNext/>
      </w:pPr>
      <w:r>
        <w:t>35.3. Corridor and Horizon</w:t>
      </w:r>
    </w:p>
    <w:p>
      <w:pPr>
        <w:spacing w:after="80" w:line="269" w:lineRule="auto"/>
        <w:jc w:val="both"/>
      </w:pPr>
      <w:r>
        <w:rPr>
          <w:rFonts w:ascii="DejaVu Serif" w:hAnsi="DejaVu Serif" w:eastAsia="DejaVu Serif"/>
          <w:b w:val="0"/>
          <w:i w:val="0"/>
        </w:rPr>
        <w:t>C_{t,h}(x) is valid only for h&lt;=H_t(x,r) from Chapter 28. Approaching a limit may widen the set monotonically, reduce the horizon, or trigger abstention. The system may not secretly narrow the corridor after observing the fact.</w:t>
      </w:r>
    </w:p>
    <w:p>
      <w:pPr>
        <w:spacing w:before="100" w:after="60"/>
      </w:pPr>
      <w:r>
        <w:rPr>
          <w:rFonts w:ascii="DejaVu Serif" w:hAnsi="DejaVu Serif" w:eastAsia="DejaVu Serif"/>
          <w:b/>
          <w:i w:val="0"/>
          <w:color w:val="173B63"/>
        </w:rPr>
        <w:t xml:space="preserve">Proposition 35.3 - Safe horizon contraction [PROP]. </w:t>
      </w:r>
      <w:r>
        <w:rPr>
          <w:rFonts w:ascii="DejaVu Serif" w:hAnsi="DejaVu Serif" w:eastAsia="DejaVu Serif"/>
          <w:b w:val="0"/>
          <w:i w:val="0"/>
        </w:rPr>
        <w:t>If C_h is nested monotonically in h and H_prime&lt;=H, replacing H by H_prime does not reduce coverage on the retained horizons h&lt;=H_prime, although it narrows the claim domain.</w:t>
      </w:r>
    </w:p>
    <w:p>
      <w:pPr>
        <w:ind w:left="283" w:right="113"/>
        <w:jc w:val="both"/>
      </w:pPr>
      <w:r>
        <w:rPr>
          <w:rFonts w:ascii="DejaVu Serif" w:hAnsi="DejaVu Serif" w:eastAsia="DejaVu Serif"/>
          <w:b/>
          <w:i/>
        </w:rPr>
        <w:t xml:space="preserve">Proof. </w:t>
      </w:r>
      <w:r>
        <w:rPr>
          <w:rFonts w:ascii="DejaVu Serif" w:hAnsi="DejaVu Serif" w:eastAsia="DejaVu Serif"/>
          <w:b w:val="0"/>
          <w:i/>
        </w:rPr>
        <w:t>For every retained h the corridor and its distribution remain unchanged; only farther claims are removed.</w:t>
      </w:r>
    </w:p>
    <w:p>
      <w:pPr>
        <w:pStyle w:val="Heading2"/>
        <w:keepNext/>
      </w:pPr>
      <w:r>
        <w:t>35.4. Selective Decision</w:t>
      </w:r>
    </w:p>
    <w:p>
      <w:pPr>
        <w:spacing w:before="80" w:after="100"/>
        <w:jc w:val="center"/>
      </w:pPr>
      <w:r>
        <w:rPr>
          <w:rFonts w:ascii="DejaVu Serif" w:hAnsi="DejaVu Serif" w:eastAsia="DejaVu Serif"/>
          <w:b w:val="0"/>
          <w:i w:val="0"/>
          <w:sz w:val="21"/>
        </w:rPr>
        <w:t>Out(x) = ABSTAIN, a set-valued corridor, or a singleton with a uniqueness certificate</w:t>
      </w:r>
      <w:r>
        <w:rPr>
          <w:rFonts w:ascii="DejaVu Serif" w:hAnsi="DejaVu Serif" w:eastAsia="DejaVu Serif"/>
          <w:b w:val="0"/>
          <w:i/>
          <w:color w:val="6B7280"/>
          <w:sz w:val="17"/>
        </w:rPr>
        <w:t xml:space="preserve">    [RU p. 177]</w:t>
      </w:r>
    </w:p>
    <w:p>
      <w:pPr>
        <w:spacing w:after="80" w:line="269" w:lineRule="auto"/>
        <w:jc w:val="both"/>
      </w:pPr>
      <w:r>
        <w:rPr>
          <w:rFonts w:ascii="DejaVu Serif" w:hAnsi="DejaVu Serif" w:eastAsia="DejaVu Serif"/>
          <w:b w:val="0"/>
          <w:i w:val="0"/>
        </w:rPr>
        <w:t>If the set is empty because the model is invalid, or every candidate has gate not equal to one, the output is ABSTAIN. If several evidence-admissible components remain, the full labelled set is returned. A singleton requires a proved uniqueness certificate. Noncoverage, false authorisation, and abstention cost are reported separately.</w:t>
      </w:r>
    </w:p>
    <w:p>
      <w:pPr>
        <w:pStyle w:val="Heading2"/>
        <w:keepNext/>
      </w:pPr>
      <w:r>
        <w:t>35.5. Drift and Recalibration</w:t>
      </w:r>
    </w:p>
    <w:p>
      <w:pPr>
        <w:spacing w:after="80" w:line="269" w:lineRule="auto"/>
        <w:jc w:val="both"/>
      </w:pPr>
      <w:r>
        <w:rPr>
          <w:rFonts w:ascii="DejaVu Serif" w:hAnsi="DejaVu Serif" w:eastAsia="DejaVu Serif"/>
          <w:b w:val="0"/>
          <w:i w:val="0"/>
        </w:rPr>
        <w:t>A drift alarm removes the exchangeability assumption between calibration and future data. The current corridor receives status=drift-suspected, the horizon is shortened, and recalibration is performed on the next registered block. Old coverage is not carried forward. An e-process may monitor misses, but it requires its own null model and does not replace conformal coverage.</w:t>
      </w:r>
    </w:p>
    <w:p>
      <w:pPr>
        <w:pStyle w:val="Heading2"/>
        <w:keepNext/>
      </w:pPr>
      <w:r>
        <w:t>35.6. Calibration after Domain Transfer</w:t>
      </w:r>
    </w:p>
    <w:p>
      <w:pPr>
        <w:spacing w:after="80" w:line="269" w:lineRule="auto"/>
        <w:jc w:val="both"/>
      </w:pPr>
      <w:r>
        <w:rPr>
          <w:rFonts w:ascii="DejaVu Serif" w:hAnsi="DejaVu Serif" w:eastAsia="DejaVu Serif"/>
          <w:b w:val="0"/>
          <w:i w:val="0"/>
        </w:rPr>
        <w:t>Even a flat structural adapter does not automatically transfer the conformal quantile. The target domain requires a target calibration set or a proved weighting scheme under P_T&lt;&lt;P_S. A support gap requires ABSTAIN until target examples are obtained.</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A corridor does not build a wall around the future. It records the width of predictive responsibility: the more hidden branches and the closer the Reper limit, the more honest the set-valued answer becomes.</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CORRIDOR-CERT-v196i7. </w:t>
            </w:r>
            <w:r>
              <w:rPr>
                <w:rFonts w:ascii="DejaVu Serif" w:hAnsi="DejaVu Serif" w:eastAsia="DejaVu Serif"/>
                <w:b w:val="0"/>
                <w:i w:val="0"/>
                <w:sz w:val="18"/>
              </w:rPr>
              <w:t>method=split-conformal; guarantee=marginal-under-exchangeability; quantile=ceil((n+1)(1-alpha)); PN2-combination=union; branch-set=registered; horizon=H_t; drift=&gt;status-demotion; target-transfer=recalibrate-or-weight-with-support; outputs={corridor,ABSTAIN,certified-singleton}; conditional-coverage=not-claimed.</w:t>
            </w:r>
          </w:p>
        </w:tc>
      </w:tr>
    </w:tbl>
    <w:p>
      <w:pPr>
        <w:spacing w:after="40"/>
      </w:pPr>
    </w:p>
    <w:p>
      <w:pPr>
        <w:pStyle w:val="Heading1"/>
        <w:keepNext/>
      </w:pPr>
      <w:bookmarkStart w:id="1035" w:name="T1_CH_36"/>
      <w:r>
        <w:t>Chapter 36. KLT-RBD Computational Contract and Final Audit v196i14</w:t>
      </w:r>
      <w:bookmarkEnd w:id="1035"/>
    </w:p>
    <w:p>
      <w:pPr>
        <w:spacing w:after="80" w:line="269" w:lineRule="auto"/>
        <w:jc w:val="both"/>
      </w:pPr>
      <w:r>
        <w:rPr>
          <w:rFonts w:ascii="DejaVu Serif" w:hAnsi="DejaVu Serif" w:eastAsia="DejaVu Serif"/>
          <w:b w:val="0"/>
          <w:i w:val="0"/>
        </w:rPr>
        <w:t>Russian source locator: pp. 178-180</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How are the preceding mathematical conditions turned into an executable database and software route?</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Each theorem-facing claim receives a stage, input, output, invariant, and explicit stop condition.</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The ten Atlas stages form a conditional soundness pipeline from raw C@C input to an immutable publication snapshot.</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Executability does not mean that any concrete domain adapter has already passed an independent validation.</w:t>
            </w:r>
          </w:p>
        </w:tc>
      </w:tr>
    </w:tbl>
    <w:p>
      <w:pPr>
        <w:spacing w:after="40"/>
      </w:pPr>
    </w:p>
    <w:p>
      <w:pPr>
        <w:keepNext/>
        <w:jc w:val="center"/>
      </w:pPr>
      <w:r>
        <w:drawing>
          <wp:inline xmlns:a="http://schemas.openxmlformats.org/drawingml/2006/main" xmlns:pic="http://schemas.openxmlformats.org/drawingml/2006/picture">
            <wp:extent cx="5623560" cy="2127406"/>
            <wp:docPr id="39" name="Picture 39"/>
            <wp:cNvGraphicFramePr>
              <a:graphicFrameLocks noChangeAspect="1"/>
            </wp:cNvGraphicFramePr>
            <a:graphic>
              <a:graphicData uri="http://schemas.openxmlformats.org/drawingml/2006/picture">
                <pic:pic>
                  <pic:nvPicPr>
                    <pic:cNvPr id="0" name="fig36_pipeline.png"/>
                    <pic:cNvPicPr/>
                  </pic:nvPicPr>
                  <pic:blipFill>
                    <a:blip r:embed="rId51"/>
                    <a:stretch>
                      <a:fillRect/>
                    </a:stretch>
                  </pic:blipFill>
                  <pic:spPr>
                    <a:xfrm>
                      <a:off x="0" y="0"/>
                      <a:ext cx="5623560" cy="2127406"/>
                    </a:xfrm>
                    <a:prstGeom prst="rect"/>
                  </pic:spPr>
                </pic:pic>
              </a:graphicData>
            </a:graphic>
          </wp:inline>
        </w:drawing>
      </w:r>
    </w:p>
    <w:p>
      <w:pPr>
        <w:pStyle w:val="Caption"/>
        <w:spacing w:before="40" w:after="160"/>
        <w:jc w:val="center"/>
      </w:pPr>
      <w:bookmarkStart w:id="1096" w:name="T1_FIG_038"/>
      <w:r>
        <w:t>Figure 36.1. Ten-stage KLT-RBD computational contract with a blocker-safe interface at every step.</w:t>
      </w:r>
      <w:bookmarkEnd w:id="1096"/>
    </w:p>
    <w:p>
      <w:pPr>
        <w:pStyle w:val="Heading2"/>
        <w:keepNext/>
      </w:pPr>
      <w:r>
        <w:t>36.1. Ten-Stage Pipeline</w:t>
      </w:r>
    </w:p>
    <w:tbl>
      <w:tblPr>
        <w:tblStyle w:val="TableGrid"/>
        <w:tblW w:type="auto" w:w="0"/>
        <w:jc w:val="center"/>
        <w:tblLook w:firstColumn="1" w:firstRow="1" w:lastColumn="0" w:lastRow="0" w:noHBand="0" w:noVBand="1" w:val="04A0"/>
      </w:tblPr>
      <w:tblGrid>
        <w:gridCol w:w="2517"/>
        <w:gridCol w:w="2517"/>
        <w:gridCol w:w="2517"/>
        <w:gridCol w:w="2517"/>
      </w:tblGrid>
      <w:tr>
        <w:trPr>
          <w:tblHeader w:val="true"/>
        </w:trPr>
        <w:tc>
          <w:tcPr>
            <w:tcW w:type="dxa" w:w="170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Stage</w:t>
            </w:r>
          </w:p>
        </w:tc>
        <w:tc>
          <w:tcPr>
            <w:tcW w:type="dxa" w:w="289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Input -&gt; output</w:t>
            </w:r>
          </w:p>
        </w:tc>
        <w:tc>
          <w:tcPr>
            <w:tcW w:type="dxa" w:w="2665"/>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Mandatory invariant</w:t>
            </w:r>
          </w:p>
        </w:tc>
        <w:tc>
          <w:tcPr>
            <w:tcW w:type="dxa" w:w="226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Block</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5"/>
              </w:rPr>
              <w:t>1 Input C@C</w:t>
            </w:r>
          </w:p>
        </w:tc>
        <w:tc>
          <w:tcPr>
            <w:tcW w:type="dxa" w:w="2891"/>
            <w:tcMar>
              <w:top w:w="90" w:type="dxa"/>
              <w:start w:w="110" w:type="dxa"/>
              <w:bottom w:w="90" w:type="dxa"/>
              <w:end w:w="110" w:type="dxa"/>
            </w:tcMar>
            <w:vAlign w:val="center"/>
          </w:tcPr>
          <w:p>
            <w:pPr>
              <w:jc w:val="left"/>
            </w:pPr>
            <w:r>
              <w:rPr>
                <w:rFonts w:ascii="DejaVu Serif" w:hAnsi="DejaVu Serif" w:eastAsia="DejaVu Serif"/>
                <w:b w:val="0"/>
                <w:i w:val="0"/>
                <w:sz w:val="15"/>
              </w:rPr>
              <w:t>raw -&gt; event_state_limit</w:t>
            </w:r>
          </w:p>
        </w:tc>
        <w:tc>
          <w:tcPr>
            <w:tcW w:type="dxa" w:w="2665"/>
            <w:tcMar>
              <w:top w:w="90" w:type="dxa"/>
              <w:start w:w="110" w:type="dxa"/>
              <w:bottom w:w="90" w:type="dxa"/>
              <w:end w:w="110" w:type="dxa"/>
            </w:tcMar>
            <w:vAlign w:val="center"/>
          </w:tcPr>
          <w:p>
            <w:pPr>
              <w:jc w:val="left"/>
            </w:pPr>
            <w:r>
              <w:rPr>
                <w:rFonts w:ascii="DejaVu Serif" w:hAnsi="DejaVu Serif" w:eastAsia="DejaVu Serif"/>
                <w:b w:val="0"/>
                <w:i w:val="0"/>
                <w:sz w:val="15"/>
              </w:rPr>
              <w:t>source_hash, type</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5"/>
              </w:rPr>
              <w:t>parse error</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2 LimitGate</w:t>
            </w:r>
          </w:p>
        </w:tc>
        <w:tc>
          <w:tcPr>
            <w:tcW w:type="dxa" w:w="2891"/>
            <w:tcMar>
              <w:top w:w="90" w:type="dxa"/>
              <w:start w:w="110" w:type="dxa"/>
              <w:bottom w:w="90" w:type="dxa"/>
              <w:end w:w="110" w:type="dxa"/>
            </w:tcMar>
            <w:vAlign w:val="center"/>
            <w:shd w:fill="F4F7FA"/>
          </w:tcPr>
          <w:p>
            <w:pPr>
              <w:jc w:val="left"/>
            </w:pPr>
            <w:r>
              <w:rPr>
                <w:rFonts w:ascii="DejaVu Serif" w:hAnsi="DejaVu Serif" w:eastAsia="DejaVu Serif"/>
                <w:b w:val="0"/>
                <w:i w:val="0"/>
                <w:sz w:val="15"/>
              </w:rPr>
              <w:t>packet -&gt; LimOK/OntOK</w:t>
            </w:r>
          </w:p>
        </w:tc>
        <w:tc>
          <w:tcPr>
            <w:tcW w:type="dxa" w:w="2665"/>
            <w:tcMar>
              <w:top w:w="90" w:type="dxa"/>
              <w:start w:w="110" w:type="dxa"/>
              <w:bottom w:w="90" w:type="dxa"/>
              <w:end w:w="110" w:type="dxa"/>
            </w:tcMar>
            <w:vAlign w:val="center"/>
            <w:shd w:fill="F4F7FA"/>
          </w:tcPr>
          <w:p>
            <w:pPr>
              <w:jc w:val="left"/>
            </w:pPr>
            <w:r>
              <w:rPr>
                <w:rFonts w:ascii="DejaVu Serif" w:hAnsi="DejaVu Serif" w:eastAsia="DejaVu Serif"/>
                <w:b w:val="0"/>
                <w:i w:val="0"/>
                <w:sz w:val="15"/>
              </w:rPr>
              <w:t>five limits, D/Dom</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5"/>
              </w:rPr>
              <w:t>0 or bottom</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5"/>
              </w:rPr>
              <w:t>3 ReperSearch</w:t>
            </w:r>
          </w:p>
        </w:tc>
        <w:tc>
          <w:tcPr>
            <w:tcW w:type="dxa" w:w="2891"/>
            <w:tcMar>
              <w:top w:w="90" w:type="dxa"/>
              <w:start w:w="110" w:type="dxa"/>
              <w:bottom w:w="90" w:type="dxa"/>
              <w:end w:w="110" w:type="dxa"/>
            </w:tcMar>
            <w:vAlign w:val="center"/>
          </w:tcPr>
          <w:p>
            <w:pPr>
              <w:jc w:val="left"/>
            </w:pPr>
            <w:r>
              <w:rPr>
                <w:rFonts w:ascii="DejaVu Serif" w:hAnsi="DejaVu Serif" w:eastAsia="DejaVu Serif"/>
                <w:b w:val="0"/>
                <w:i w:val="0"/>
                <w:sz w:val="15"/>
              </w:rPr>
              <w:t>query -&gt; candidates</w:t>
            </w:r>
          </w:p>
        </w:tc>
        <w:tc>
          <w:tcPr>
            <w:tcW w:type="dxa" w:w="2665"/>
            <w:tcMar>
              <w:top w:w="90" w:type="dxa"/>
              <w:start w:w="110" w:type="dxa"/>
              <w:bottom w:w="90" w:type="dxa"/>
              <w:end w:w="110" w:type="dxa"/>
            </w:tcMar>
            <w:vAlign w:val="center"/>
          </w:tcPr>
          <w:p>
            <w:pPr>
              <w:jc w:val="left"/>
            </w:pPr>
            <w:r>
              <w:rPr>
                <w:rFonts w:ascii="DejaVu Serif" w:hAnsi="DejaVu Serif" w:eastAsia="DejaVu Serif"/>
                <w:b w:val="0"/>
                <w:i w:val="0"/>
                <w:sz w:val="15"/>
              </w:rPr>
              <w:t>source anchor</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5"/>
              </w:rPr>
              <w:t>orphan source</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4 LambdaClosure</w:t>
            </w:r>
          </w:p>
        </w:tc>
        <w:tc>
          <w:tcPr>
            <w:tcW w:type="dxa" w:w="2891"/>
            <w:tcMar>
              <w:top w:w="90" w:type="dxa"/>
              <w:start w:w="110" w:type="dxa"/>
              <w:bottom w:w="90" w:type="dxa"/>
              <w:end w:w="110" w:type="dxa"/>
            </w:tcMar>
            <w:vAlign w:val="center"/>
            <w:shd w:fill="F4F7FA"/>
          </w:tcPr>
          <w:p>
            <w:pPr>
              <w:jc w:val="left"/>
            </w:pPr>
            <w:r>
              <w:rPr>
                <w:rFonts w:ascii="DejaVu Serif" w:hAnsi="DejaVu Serif" w:eastAsia="DejaVu Serif"/>
                <w:b w:val="0"/>
                <w:i w:val="0"/>
                <w:sz w:val="15"/>
              </w:rPr>
              <w:t>candidates -&gt; lambda-status</w:t>
            </w:r>
          </w:p>
        </w:tc>
        <w:tc>
          <w:tcPr>
            <w:tcW w:type="dxa" w:w="2665"/>
            <w:tcMar>
              <w:top w:w="90" w:type="dxa"/>
              <w:start w:w="110" w:type="dxa"/>
              <w:bottom w:w="90" w:type="dxa"/>
              <w:end w:w="110" w:type="dxa"/>
            </w:tcMar>
            <w:vAlign w:val="center"/>
            <w:shd w:fill="F4F7FA"/>
          </w:tcPr>
          <w:p>
            <w:pPr>
              <w:jc w:val="left"/>
            </w:pPr>
            <w:r>
              <w:rPr>
                <w:rFonts w:ascii="DejaVu Serif" w:hAnsi="DejaVu Serif" w:eastAsia="DejaVu Serif"/>
                <w:b w:val="0"/>
                <w:i w:val="0"/>
                <w:sz w:val="15"/>
              </w:rPr>
              <w:t>registered formula</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5"/>
              </w:rPr>
              <w:t>KMA-only match</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5"/>
              </w:rPr>
              <w:t>5 ForecastBuild</w:t>
            </w:r>
          </w:p>
        </w:tc>
        <w:tc>
          <w:tcPr>
            <w:tcW w:type="dxa" w:w="2891"/>
            <w:tcMar>
              <w:top w:w="90" w:type="dxa"/>
              <w:start w:w="110" w:type="dxa"/>
              <w:bottom w:w="90" w:type="dxa"/>
              <w:end w:w="110" w:type="dxa"/>
            </w:tcMar>
            <w:vAlign w:val="center"/>
          </w:tcPr>
          <w:p>
            <w:pPr>
              <w:jc w:val="left"/>
            </w:pPr>
            <w:r>
              <w:rPr>
                <w:rFonts w:ascii="DejaVu Serif" w:hAnsi="DejaVu Serif" w:eastAsia="DejaVu Serif"/>
                <w:b w:val="0"/>
                <w:i w:val="0"/>
                <w:sz w:val="15"/>
              </w:rPr>
              <w:t>status -&gt; corridor</w:t>
            </w:r>
          </w:p>
        </w:tc>
        <w:tc>
          <w:tcPr>
            <w:tcW w:type="dxa" w:w="2665"/>
            <w:tcMar>
              <w:top w:w="90" w:type="dxa"/>
              <w:start w:w="110" w:type="dxa"/>
              <w:bottom w:w="90" w:type="dxa"/>
              <w:end w:w="110" w:type="dxa"/>
            </w:tcMar>
            <w:vAlign w:val="center"/>
          </w:tcPr>
          <w:p>
            <w:pPr>
              <w:jc w:val="left"/>
            </w:pPr>
            <w:r>
              <w:rPr>
                <w:rFonts w:ascii="DejaVu Serif" w:hAnsi="DejaVu Serif" w:eastAsia="DejaVu Serif"/>
                <w:b w:val="0"/>
                <w:i w:val="0"/>
                <w:sz w:val="15"/>
              </w:rPr>
              <w:t>PN.2 branches</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5"/>
              </w:rPr>
              <w:t>hidden branch</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6 FactAttach</w:t>
            </w:r>
          </w:p>
        </w:tc>
        <w:tc>
          <w:tcPr>
            <w:tcW w:type="dxa" w:w="2891"/>
            <w:tcMar>
              <w:top w:w="90" w:type="dxa"/>
              <w:start w:w="110" w:type="dxa"/>
              <w:bottom w:w="90" w:type="dxa"/>
              <w:end w:w="110" w:type="dxa"/>
            </w:tcMar>
            <w:vAlign w:val="center"/>
            <w:shd w:fill="F4F7FA"/>
          </w:tcPr>
          <w:p>
            <w:pPr>
              <w:jc w:val="left"/>
            </w:pPr>
            <w:r>
              <w:rPr>
                <w:rFonts w:ascii="DejaVu Serif" w:hAnsi="DejaVu Serif" w:eastAsia="DejaVu Serif"/>
                <w:b w:val="0"/>
                <w:i w:val="0"/>
                <w:sz w:val="15"/>
              </w:rPr>
              <w:t>fact -&gt; pair</w:t>
            </w:r>
          </w:p>
        </w:tc>
        <w:tc>
          <w:tcPr>
            <w:tcW w:type="dxa" w:w="2665"/>
            <w:tcMar>
              <w:top w:w="90" w:type="dxa"/>
              <w:start w:w="110" w:type="dxa"/>
              <w:bottom w:w="90" w:type="dxa"/>
              <w:end w:w="110" w:type="dxa"/>
            </w:tcMar>
            <w:vAlign w:val="center"/>
            <w:shd w:fill="F4F7FA"/>
          </w:tcPr>
          <w:p>
            <w:pPr>
              <w:jc w:val="left"/>
            </w:pPr>
            <w:r>
              <w:rPr>
                <w:rFonts w:ascii="DejaVu Serif" w:hAnsi="DejaVu Serif" w:eastAsia="DejaVu Serif"/>
                <w:b w:val="0"/>
                <w:i w:val="0"/>
                <w:sz w:val="15"/>
              </w:rPr>
              <w:t>canonical_id/time</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5"/>
              </w:rPr>
              <w:t>identity conflict</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5"/>
              </w:rPr>
              <w:t>7 MismatchDetect</w:t>
            </w:r>
          </w:p>
        </w:tc>
        <w:tc>
          <w:tcPr>
            <w:tcW w:type="dxa" w:w="2891"/>
            <w:tcMar>
              <w:top w:w="90" w:type="dxa"/>
              <w:start w:w="110" w:type="dxa"/>
              <w:bottom w:w="90" w:type="dxa"/>
              <w:end w:w="110" w:type="dxa"/>
            </w:tcMar>
            <w:vAlign w:val="center"/>
          </w:tcPr>
          <w:p>
            <w:pPr>
              <w:jc w:val="left"/>
            </w:pPr>
            <w:r>
              <w:rPr>
                <w:rFonts w:ascii="DejaVu Serif" w:hAnsi="DejaVu Serif" w:eastAsia="DejaVu Serif"/>
                <w:b w:val="0"/>
                <w:i w:val="0"/>
                <w:sz w:val="15"/>
              </w:rPr>
              <w:t>pair -&gt; causal gap</w:t>
            </w:r>
          </w:p>
        </w:tc>
        <w:tc>
          <w:tcPr>
            <w:tcW w:type="dxa" w:w="2665"/>
            <w:tcMar>
              <w:top w:w="90" w:type="dxa"/>
              <w:start w:w="110" w:type="dxa"/>
              <w:bottom w:w="90" w:type="dxa"/>
              <w:end w:w="110" w:type="dxa"/>
            </w:tcMar>
            <w:vAlign w:val="center"/>
          </w:tcPr>
          <w:p>
            <w:pPr>
              <w:jc w:val="left"/>
            </w:pPr>
            <w:r>
              <w:rPr>
                <w:rFonts w:ascii="DejaVu Serif" w:hAnsi="DejaVu Serif" w:eastAsia="DejaVu Serif"/>
                <w:b w:val="0"/>
                <w:i w:val="0"/>
                <w:sz w:val="15"/>
              </w:rPr>
              <w:t>frozen tolerance</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5"/>
              </w:rPr>
              <w:t>test leakage</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8 NearestRebuild</w:t>
            </w:r>
          </w:p>
        </w:tc>
        <w:tc>
          <w:tcPr>
            <w:tcW w:type="dxa" w:w="2891"/>
            <w:tcMar>
              <w:top w:w="90" w:type="dxa"/>
              <w:start w:w="110" w:type="dxa"/>
              <w:bottom w:w="90" w:type="dxa"/>
              <w:end w:w="110" w:type="dxa"/>
            </w:tcMar>
            <w:vAlign w:val="center"/>
            <w:shd w:fill="F4F7FA"/>
          </w:tcPr>
          <w:p>
            <w:pPr>
              <w:jc w:val="left"/>
            </w:pPr>
            <w:r>
              <w:rPr>
                <w:rFonts w:ascii="DejaVu Serif" w:hAnsi="DejaVu Serif" w:eastAsia="DejaVu Serif"/>
                <w:b w:val="0"/>
                <w:i w:val="0"/>
                <w:sz w:val="15"/>
              </w:rPr>
              <w:t>gap -&gt; N_epsilon queue</w:t>
            </w:r>
          </w:p>
        </w:tc>
        <w:tc>
          <w:tcPr>
            <w:tcW w:type="dxa" w:w="2665"/>
            <w:tcMar>
              <w:top w:w="90" w:type="dxa"/>
              <w:start w:w="110" w:type="dxa"/>
              <w:bottom w:w="90" w:type="dxa"/>
              <w:end w:w="110" w:type="dxa"/>
            </w:tcMar>
            <w:vAlign w:val="center"/>
            <w:shd w:fill="F4F7FA"/>
          </w:tcPr>
          <w:p>
            <w:pPr>
              <w:jc w:val="left"/>
            </w:pPr>
            <w:r>
              <w:rPr>
                <w:rFonts w:ascii="DejaVu Serif" w:hAnsi="DejaVu Serif" w:eastAsia="DejaVu Serif"/>
                <w:b w:val="0"/>
                <w:i w:val="0"/>
                <w:sz w:val="15"/>
              </w:rPr>
              <w:t>locality</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5"/>
              </w:rPr>
              <w:t>global rewrite</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5"/>
              </w:rPr>
              <w:t>9 RevisionChain</w:t>
            </w:r>
          </w:p>
        </w:tc>
        <w:tc>
          <w:tcPr>
            <w:tcW w:type="dxa" w:w="2891"/>
            <w:tcMar>
              <w:top w:w="90" w:type="dxa"/>
              <w:start w:w="110" w:type="dxa"/>
              <w:bottom w:w="90" w:type="dxa"/>
              <w:end w:w="110" w:type="dxa"/>
            </w:tcMar>
            <w:vAlign w:val="center"/>
          </w:tcPr>
          <w:p>
            <w:pPr>
              <w:jc w:val="left"/>
            </w:pPr>
            <w:r>
              <w:rPr>
                <w:rFonts w:ascii="DejaVu Serif" w:hAnsi="DejaVu Serif" w:eastAsia="DejaVu Serif"/>
                <w:b w:val="0"/>
                <w:i w:val="0"/>
                <w:sz w:val="15"/>
              </w:rPr>
              <w:t>queue -&gt; new version</w:t>
            </w:r>
          </w:p>
        </w:tc>
        <w:tc>
          <w:tcPr>
            <w:tcW w:type="dxa" w:w="2665"/>
            <w:tcMar>
              <w:top w:w="90" w:type="dxa"/>
              <w:start w:w="110" w:type="dxa"/>
              <w:bottom w:w="90" w:type="dxa"/>
              <w:end w:w="110" w:type="dxa"/>
            </w:tcMar>
            <w:vAlign w:val="center"/>
          </w:tcPr>
          <w:p>
            <w:pPr>
              <w:jc w:val="left"/>
            </w:pPr>
            <w:r>
              <w:rPr>
                <w:rFonts w:ascii="DejaVu Serif" w:hAnsi="DejaVu Serif" w:eastAsia="DejaVu Serif"/>
                <w:b w:val="0"/>
                <w:i w:val="0"/>
                <w:sz w:val="15"/>
              </w:rPr>
              <w:t>old version immutable</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5"/>
              </w:rPr>
              <w:t>in-place edit</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10 Snapshot</w:t>
            </w:r>
          </w:p>
        </w:tc>
        <w:tc>
          <w:tcPr>
            <w:tcW w:type="dxa" w:w="2891"/>
            <w:tcMar>
              <w:top w:w="90" w:type="dxa"/>
              <w:start w:w="110" w:type="dxa"/>
              <w:bottom w:w="90" w:type="dxa"/>
              <w:end w:w="110" w:type="dxa"/>
            </w:tcMar>
            <w:vAlign w:val="center"/>
            <w:shd w:fill="F4F7FA"/>
          </w:tcPr>
          <w:p>
            <w:pPr>
              <w:jc w:val="left"/>
            </w:pPr>
            <w:r>
              <w:rPr>
                <w:rFonts w:ascii="DejaVu Serif" w:hAnsi="DejaVu Serif" w:eastAsia="DejaVu Serif"/>
                <w:b w:val="0"/>
                <w:i w:val="0"/>
                <w:sz w:val="15"/>
              </w:rPr>
              <w:t>revision -&gt; package</w:t>
            </w:r>
          </w:p>
        </w:tc>
        <w:tc>
          <w:tcPr>
            <w:tcW w:type="dxa" w:w="2665"/>
            <w:tcMar>
              <w:top w:w="90" w:type="dxa"/>
              <w:start w:w="110" w:type="dxa"/>
              <w:bottom w:w="90" w:type="dxa"/>
              <w:end w:w="110" w:type="dxa"/>
            </w:tcMar>
            <w:vAlign w:val="center"/>
            <w:shd w:fill="F4F7FA"/>
          </w:tcPr>
          <w:p>
            <w:pPr>
              <w:jc w:val="left"/>
            </w:pPr>
            <w:r>
              <w:rPr>
                <w:rFonts w:ascii="DejaVu Serif" w:hAnsi="DejaVu Serif" w:eastAsia="DejaVu Serif"/>
                <w:b w:val="0"/>
                <w:i w:val="0"/>
                <w:sz w:val="15"/>
              </w:rPr>
              <w:t>privacy/status/hash</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5"/>
              </w:rPr>
              <w:t>MIXED not passed</w:t>
            </w:r>
          </w:p>
        </w:tc>
      </w:tr>
    </w:tbl>
    <w:p>
      <w:pPr>
        <w:spacing w:after="40"/>
      </w:pPr>
    </w:p>
    <w:p>
      <w:pPr>
        <w:pStyle w:val="Heading2"/>
        <w:keepNext/>
      </w:pPr>
      <w:r>
        <w:t>36.2. State of the Audited Databases</w:t>
      </w:r>
    </w:p>
    <w:p>
      <w:pPr>
        <w:spacing w:after="80" w:line="269" w:lineRule="auto"/>
        <w:jc w:val="both"/>
      </w:pPr>
      <w:r>
        <w:rPr>
          <w:rFonts w:ascii="DejaVu Serif" w:hAnsi="DejaVu Serif" w:eastAsia="DejaVu Serif"/>
          <w:b w:val="0"/>
          <w:i w:val="0"/>
        </w:rPr>
        <w:t>The read-only Atlas v2.1 audit reported sources=236, works=1145, repers=2212, reper_edges=2478, interdisciplinary_domains=14, limit_layers=5, operator_derivatives=8, and predictive_protocol steps=10. PRAGMA integrity_check returned ok and foreign_key_check returned zero violations.</w:t>
      </w:r>
    </w:p>
    <w:p>
      <w:pPr>
        <w:spacing w:after="80" w:line="269" w:lineRule="auto"/>
        <w:jc w:val="both"/>
      </w:pPr>
      <w:r>
        <w:rPr>
          <w:rFonts w:ascii="DejaVu Serif" w:hAnsi="DejaVu Serif" w:eastAsia="DejaVu Serif"/>
          <w:b w:val="0"/>
          <w:i w:val="0"/>
        </w:rPr>
        <w:t>The read-only real-data-import v1.0 audit reported import_artifacts=45, site_pages=33, lambda_audit_items=42 (supported=38, gap=4), public_private_splits=5, and four privacy classes. The 46/45 counter discrepancy remains a documented report-level blocker.</w:t>
      </w:r>
    </w:p>
    <w:p>
      <w:pPr>
        <w:pStyle w:val="Heading2"/>
        <w:keepNext/>
      </w:pPr>
      <w:r>
        <w:t>36.3. Minimal Adapter Test Set</w:t>
      </w:r>
    </w:p>
    <w:tbl>
      <w:tblPr>
        <w:tblStyle w:val="TableGrid"/>
        <w:tblW w:type="auto" w:w="0"/>
        <w:jc w:val="center"/>
        <w:tblLook w:firstColumn="1" w:firstRow="1" w:lastColumn="0" w:lastRow="0" w:noHBand="0" w:noVBand="1" w:val="04A0"/>
      </w:tblPr>
      <w:tblGrid>
        <w:gridCol w:w="5035"/>
        <w:gridCol w:w="5035"/>
      </w:tblGrid>
      <w:tr>
        <w:trPr>
          <w:tblHeader w:val="true"/>
        </w:trPr>
        <w:tc>
          <w:tcPr>
            <w:tcW w:type="dxa" w:w="170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Test</w:t>
            </w:r>
          </w:p>
        </w:tc>
        <w:tc>
          <w:tcPr>
            <w:tcW w:type="dxa" w:w="7937"/>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Purpose</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7"/>
              </w:rPr>
              <w:t>T-AD1</w:t>
            </w:r>
          </w:p>
        </w:tc>
        <w:tc>
          <w:tcPr>
            <w:tcW w:type="dxa" w:w="7937"/>
            <w:tcMar>
              <w:top w:w="90" w:type="dxa"/>
              <w:start w:w="110" w:type="dxa"/>
              <w:bottom w:w="90" w:type="dxa"/>
              <w:end w:w="110" w:type="dxa"/>
            </w:tcMar>
            <w:vAlign w:val="center"/>
          </w:tcPr>
          <w:p>
            <w:pPr>
              <w:jc w:val="left"/>
            </w:pPr>
            <w:r>
              <w:rPr>
                <w:rFonts w:ascii="DejaVu Serif" w:hAnsi="DejaVu Serif" w:eastAsia="DejaVu Serif"/>
                <w:b w:val="0"/>
                <w:i w:val="0"/>
                <w:sz w:val="17"/>
              </w:rPr>
              <w:t>Schema: mandatory fields and types.</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T-AD2</w:t>
            </w:r>
          </w:p>
        </w:tc>
        <w:tc>
          <w:tcPr>
            <w:tcW w:type="dxa" w:w="7937"/>
            <w:tcMar>
              <w:top w:w="90" w:type="dxa"/>
              <w:start w:w="110" w:type="dxa"/>
              <w:bottom w:w="90" w:type="dxa"/>
              <w:end w:w="110" w:type="dxa"/>
            </w:tcMar>
            <w:vAlign w:val="center"/>
            <w:shd w:fill="F4F7FA"/>
          </w:tcPr>
          <w:p>
            <w:pPr>
              <w:jc w:val="left"/>
            </w:pPr>
            <w:r>
              <w:rPr>
                <w:rFonts w:ascii="DejaVu Serif" w:hAnsi="DejaVu Serif" w:eastAsia="DejaVu Serif"/>
                <w:b w:val="0"/>
                <w:i w:val="0"/>
                <w:sz w:val="17"/>
              </w:rPr>
              <w:t>D/Dom: every record in D lies in the domain of every invoked operator.</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7"/>
              </w:rPr>
              <w:t>T-AD3</w:t>
            </w:r>
          </w:p>
        </w:tc>
        <w:tc>
          <w:tcPr>
            <w:tcW w:type="dxa" w:w="7937"/>
            <w:tcMar>
              <w:top w:w="90" w:type="dxa"/>
              <w:start w:w="110" w:type="dxa"/>
              <w:bottom w:w="90" w:type="dxa"/>
              <w:end w:w="110" w:type="dxa"/>
            </w:tcMar>
            <w:vAlign w:val="center"/>
          </w:tcPr>
          <w:p>
            <w:pPr>
              <w:jc w:val="left"/>
            </w:pPr>
            <w:r>
              <w:rPr>
                <w:rFonts w:ascii="DejaVu Serif" w:hAnsi="DejaVu Serif" w:eastAsia="DejaVu Serif"/>
                <w:b w:val="0"/>
                <w:i w:val="0"/>
                <w:sz w:val="17"/>
              </w:rPr>
              <w:t>Round trip: canonicalize(canonicalize(x))=canonicalize(x).</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T-AD4</w:t>
            </w:r>
          </w:p>
        </w:tc>
        <w:tc>
          <w:tcPr>
            <w:tcW w:type="dxa" w:w="7937"/>
            <w:tcMar>
              <w:top w:w="90" w:type="dxa"/>
              <w:start w:w="110" w:type="dxa"/>
              <w:bottom w:w="90" w:type="dxa"/>
              <w:end w:w="110" w:type="dxa"/>
            </w:tcMar>
            <w:vAlign w:val="center"/>
            <w:shd w:fill="F4F7FA"/>
          </w:tcPr>
          <w:p>
            <w:pPr>
              <w:jc w:val="left"/>
            </w:pPr>
            <w:r>
              <w:rPr>
                <w:rFonts w:ascii="DejaVu Serif" w:hAnsi="DejaVu Serif" w:eastAsia="DejaVu Serif"/>
                <w:b w:val="0"/>
                <w:i w:val="0"/>
                <w:sz w:val="17"/>
              </w:rPr>
              <w:t>Provenance: complete raw-to-certificate path.</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7"/>
              </w:rPr>
              <w:t>T-AD5</w:t>
            </w:r>
          </w:p>
        </w:tc>
        <w:tc>
          <w:tcPr>
            <w:tcW w:type="dxa" w:w="7937"/>
            <w:tcMar>
              <w:top w:w="90" w:type="dxa"/>
              <w:start w:w="110" w:type="dxa"/>
              <w:bottom w:w="90" w:type="dxa"/>
              <w:end w:w="110" w:type="dxa"/>
            </w:tcMar>
            <w:vAlign w:val="center"/>
          </w:tcPr>
          <w:p>
            <w:pPr>
              <w:jc w:val="left"/>
            </w:pPr>
            <w:r>
              <w:rPr>
                <w:rFonts w:ascii="DejaVu Serif" w:hAnsi="DejaVu Serif" w:eastAsia="DejaVu Serif"/>
                <w:b w:val="0"/>
                <w:i w:val="0"/>
                <w:sz w:val="17"/>
              </w:rPr>
              <w:t>Null: invariance of matched transformations.</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T-AD6</w:t>
            </w:r>
          </w:p>
        </w:tc>
        <w:tc>
          <w:tcPr>
            <w:tcW w:type="dxa" w:w="7937"/>
            <w:tcMar>
              <w:top w:w="90" w:type="dxa"/>
              <w:start w:w="110" w:type="dxa"/>
              <w:bottom w:w="90" w:type="dxa"/>
              <w:end w:w="110" w:type="dxa"/>
            </w:tcMar>
            <w:vAlign w:val="center"/>
            <w:shd w:fill="F4F7FA"/>
          </w:tcPr>
          <w:p>
            <w:pPr>
              <w:jc w:val="left"/>
            </w:pPr>
            <w:r>
              <w:rPr>
                <w:rFonts w:ascii="DejaVu Serif" w:hAnsi="DejaVu Serif" w:eastAsia="DejaVu Serif"/>
                <w:b w:val="0"/>
                <w:i w:val="0"/>
                <w:sz w:val="17"/>
              </w:rPr>
              <w:t>Corridor: finite-sample formula on a synthetic exchangeable sample.</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7"/>
              </w:rPr>
              <w:t>T-AD7</w:t>
            </w:r>
          </w:p>
        </w:tc>
        <w:tc>
          <w:tcPr>
            <w:tcW w:type="dxa" w:w="7937"/>
            <w:tcMar>
              <w:top w:w="90" w:type="dxa"/>
              <w:start w:w="110" w:type="dxa"/>
              <w:bottom w:w="90" w:type="dxa"/>
              <w:end w:w="110" w:type="dxa"/>
            </w:tcMar>
            <w:vAlign w:val="center"/>
          </w:tcPr>
          <w:p>
            <w:pPr>
              <w:jc w:val="left"/>
            </w:pPr>
            <w:r>
              <w:rPr>
                <w:rFonts w:ascii="DejaVu Serif" w:hAnsi="DejaVu Serif" w:eastAsia="DejaVu Serif"/>
                <w:b w:val="0"/>
                <w:i w:val="0"/>
                <w:sz w:val="17"/>
              </w:rPr>
              <w:t>Support: target states outside source support trigger ABSTAIN.</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T-AD8</w:t>
            </w:r>
          </w:p>
        </w:tc>
        <w:tc>
          <w:tcPr>
            <w:tcW w:type="dxa" w:w="7937"/>
            <w:tcMar>
              <w:top w:w="90" w:type="dxa"/>
              <w:start w:w="110" w:type="dxa"/>
              <w:bottom w:w="90" w:type="dxa"/>
              <w:end w:w="110" w:type="dxa"/>
            </w:tcMar>
            <w:vAlign w:val="center"/>
            <w:shd w:fill="F4F7FA"/>
          </w:tcPr>
          <w:p>
            <w:pPr>
              <w:jc w:val="left"/>
            </w:pPr>
            <w:r>
              <w:rPr>
                <w:rFonts w:ascii="DejaVu Serif" w:hAnsi="DejaVu Serif" w:eastAsia="DejaVu Serif"/>
                <w:b w:val="0"/>
                <w:i w:val="0"/>
                <w:sz w:val="17"/>
              </w:rPr>
              <w:t>Rebuild: only the registered neighbourhood changes.</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7"/>
              </w:rPr>
              <w:t>T-AD9</w:t>
            </w:r>
          </w:p>
        </w:tc>
        <w:tc>
          <w:tcPr>
            <w:tcW w:type="dxa" w:w="7937"/>
            <w:tcMar>
              <w:top w:w="90" w:type="dxa"/>
              <w:start w:w="110" w:type="dxa"/>
              <w:bottom w:w="90" w:type="dxa"/>
              <w:end w:w="110" w:type="dxa"/>
            </w:tcMar>
            <w:vAlign w:val="center"/>
          </w:tcPr>
          <w:p>
            <w:pPr>
              <w:jc w:val="left"/>
            </w:pPr>
            <w:r>
              <w:rPr>
                <w:rFonts w:ascii="DejaVu Serif" w:hAnsi="DejaVu Serif" w:eastAsia="DejaVu Serif"/>
                <w:b w:val="0"/>
                <w:i w:val="0"/>
                <w:sz w:val="17"/>
              </w:rPr>
              <w:t>Privacy: MIXED/PRIVATE objects are not published without passed review.</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T-AD10</w:t>
            </w:r>
          </w:p>
        </w:tc>
        <w:tc>
          <w:tcPr>
            <w:tcW w:type="dxa" w:w="7937"/>
            <w:tcMar>
              <w:top w:w="90" w:type="dxa"/>
              <w:start w:w="110" w:type="dxa"/>
              <w:bottom w:w="90" w:type="dxa"/>
              <w:end w:w="110" w:type="dxa"/>
            </w:tcMar>
            <w:vAlign w:val="center"/>
            <w:shd w:fill="F4F7FA"/>
          </w:tcPr>
          <w:p>
            <w:pPr>
              <w:jc w:val="left"/>
            </w:pPr>
            <w:r>
              <w:rPr>
                <w:rFonts w:ascii="DejaVu Serif" w:hAnsi="DejaVu Serif" w:eastAsia="DejaVu Serif"/>
                <w:b w:val="0"/>
                <w:i w:val="0"/>
                <w:sz w:val="17"/>
              </w:rPr>
              <w:t>Replay: identical input and environment reproduce the certificate.</w:t>
            </w:r>
          </w:p>
        </w:tc>
      </w:tr>
    </w:tbl>
    <w:p>
      <w:pPr>
        <w:spacing w:after="40"/>
      </w:pPr>
    </w:p>
    <w:p>
      <w:pPr>
        <w:spacing w:before="100" w:after="60"/>
      </w:pPr>
      <w:r>
        <w:rPr>
          <w:rFonts w:ascii="DejaVu Serif" w:hAnsi="DejaVu Serif" w:eastAsia="DejaVu Serif"/>
          <w:b/>
          <w:i w:val="0"/>
          <w:color w:val="173B63"/>
        </w:rPr>
        <w:t xml:space="preserve">Theorem 36.1 - Conditional end-to-end soundness [THM]. </w:t>
      </w:r>
      <w:r>
        <w:rPr>
          <w:rFonts w:ascii="DejaVu Serif" w:hAnsi="DejaVu Serif" w:eastAsia="DejaVu Serif"/>
          <w:b w:val="0"/>
          <w:i w:val="0"/>
        </w:rPr>
        <w:t>Assume that stages 1-10 are type-correct, preserve source and provenance, pass their gates, and permit transition only when status=pass. Then a published snapshot has a resolvable path to raw data, passed the declared limits, PN.2, null, CGI, and privacy gates, and does not modify historical versions.</w:t>
      </w:r>
    </w:p>
    <w:p>
      <w:pPr>
        <w:ind w:left="283" w:right="113"/>
        <w:jc w:val="both"/>
      </w:pPr>
      <w:r>
        <w:rPr>
          <w:rFonts w:ascii="DejaVu Serif" w:hAnsi="DejaVu Serif" w:eastAsia="DejaVu Serif"/>
          <w:b/>
          <w:i/>
        </w:rPr>
        <w:t xml:space="preserve">Proof. </w:t>
      </w:r>
      <w:r>
        <w:rPr>
          <w:rFonts w:ascii="DejaVu Serif" w:hAnsi="DejaVu Serif" w:eastAsia="DejaVu Serif"/>
          <w:b w:val="0"/>
          <w:i/>
        </w:rPr>
        <w:t>Induct on the stages. Stage 1 creates a typed object with source_hash. At each later step, pass plus invariant preservation provides a valid input to the next stage, while any blocker stops the chain. Stage 10 serialises all retained invariants into the certificate.</w:t>
      </w:r>
    </w:p>
    <w:p>
      <w:pPr>
        <w:spacing w:after="80" w:line="269" w:lineRule="auto"/>
        <w:jc w:val="both"/>
      </w:pPr>
      <w:r>
        <w:rPr>
          <w:rFonts w:ascii="DejaVu Serif" w:hAnsi="DejaVu Serif" w:eastAsia="DejaVu Serif"/>
          <w:b w:val="0"/>
          <w:i w:val="0"/>
        </w:rPr>
        <w:t>The theorem is a software soundness result relative to the correctness of the stages. It does not prove completeness of ReperSearch, correctness of a domain observable, or truth of the external world.</w:t>
      </w:r>
    </w:p>
    <w:p>
      <w:pPr>
        <w:pStyle w:val="Heading2"/>
        <w:keepNext/>
      </w:pPr>
      <w:r>
        <w:t>36.5. Falsification and Rebuilding</w:t>
      </w:r>
    </w:p>
    <w:p>
      <w:pPr>
        <w:spacing w:after="80" w:line="269" w:lineRule="auto"/>
        <w:jc w:val="both"/>
      </w:pPr>
      <w:r>
        <w:rPr>
          <w:rFonts w:ascii="DejaVu Serif" w:hAnsi="DejaVu Serif" w:eastAsia="DejaVu Serif"/>
          <w:b w:val="0"/>
          <w:i w:val="0"/>
        </w:rPr>
        <w:t>The snapshot distinguishes confirmed, local_mismatch, limit_shift, semantic_fog, dark_rejected, and critical. dark_rejected denotes violation of the registered LIM_ONTOLOGY only; it is not a proof of metaphysical impossibility. If CGI_comp&gt;=1 or CGI_pred&gt;=1, the forecast is quarantined. A stable-limit mismatch triggers local Rebuild(N_epsilon); a limit shift creates a new version and preserves the old one as history.</w:t>
      </w:r>
    </w:p>
    <w:p>
      <w:pPr>
        <w:pStyle w:val="Heading2"/>
        <w:keepNext/>
      </w:pPr>
      <w:r>
        <w:t>36.6. Immutable Artifact-1 Card</w:t>
      </w:r>
    </w:p>
    <w:p>
      <w:pPr>
        <w:spacing w:before="80" w:after="100"/>
        <w:jc w:val="center"/>
      </w:pPr>
      <w:r>
        <w:rPr>
          <w:rFonts w:ascii="DejaVu Serif" w:hAnsi="DejaVu Serif" w:eastAsia="DejaVu Serif"/>
          <w:b w:val="0"/>
          <w:i w:val="0"/>
          <w:sz w:val="21"/>
        </w:rPr>
        <w:t>RIUD-TETRA-RUN006-029 -&gt; PROOF-OBJ-RUN007-0029 -&gt; FORMAL-CARD-RUN009-006 -&gt; SIGNATURE-REVIEW-RUN013-001</w:t>
      </w:r>
      <w:r>
        <w:rPr>
          <w:rFonts w:ascii="DejaVu Serif" w:hAnsi="DejaVu Serif" w:eastAsia="DejaVu Serif"/>
          <w:b w:val="0"/>
          <w:i/>
          <w:color w:val="6B7280"/>
          <w:sz w:val="17"/>
        </w:rPr>
        <w:t xml:space="preserve">    [RU p. 179]</w:t>
      </w:r>
    </w:p>
    <w:p>
      <w:pPr>
        <w:spacing w:before="80" w:after="100"/>
        <w:jc w:val="center"/>
      </w:pPr>
      <w:r>
        <w:rPr>
          <w:rFonts w:ascii="DejaVu Serif" w:hAnsi="DejaVu Serif" w:eastAsia="DejaVu Serif"/>
          <w:b w:val="0"/>
          <w:i w:val="0"/>
          <w:sz w:val="21"/>
        </w:rPr>
        <w:t>lambda=-0.992736565468;   delta_truth=0.007263434532;   CGI=0.140948882338</w:t>
      </w:r>
      <w:r>
        <w:rPr>
          <w:rFonts w:ascii="DejaVu Serif" w:hAnsi="DejaVu Serif" w:eastAsia="DejaVu Serif"/>
          <w:b w:val="0"/>
          <w:i/>
          <w:color w:val="6B7280"/>
          <w:sz w:val="17"/>
        </w:rPr>
        <w:t xml:space="preserve">    [RU p. 179]</w:t>
      </w:r>
    </w:p>
    <w:p>
      <w:pPr>
        <w:spacing w:after="80" w:line="269" w:lineRule="auto"/>
        <w:jc w:val="both"/>
      </w:pPr>
      <w:r>
        <w:rPr>
          <w:rFonts w:ascii="DejaVu Serif" w:hAnsi="DejaVu Serif" w:eastAsia="DejaVu Serif"/>
          <w:b w:val="0"/>
          <w:i w:val="0"/>
        </w:rPr>
        <w:t>truth_layer_promotion=0; status=signature-ready-not-truth-layer; next=certificate-lock/publication-gate review. Neither a conformal corridor, read-only SQLite integrity, nor a small CGI changes this card without an independent signature and publication gate.</w:t>
      </w:r>
    </w:p>
    <w:p>
      <w:pPr>
        <w:pStyle w:val="Heading2"/>
        <w:keepNext/>
      </w:pPr>
      <w:r>
        <w:t>36.7. Sources of Mathematical Deepening</w:t>
      </w:r>
    </w:p>
    <w:p>
      <w:pPr>
        <w:spacing w:after="80" w:line="269" w:lineRule="auto"/>
        <w:jc w:val="both"/>
      </w:pPr>
      <w:r>
        <w:rPr>
          <w:rFonts w:ascii="DejaVu Serif" w:hAnsi="DejaVu Serif" w:eastAsia="DejaVu Serif"/>
          <w:b w:val="0"/>
          <w:i w:val="0"/>
        </w:rPr>
        <w:t>Project sources include the frozen Volume I predecessor, the KLT-RBD Interdisciplinary Reper Atlas v2.1, the real-data schema extension, monograph 5.0, PILOT-01, the SIGMA source, NAPG materials, the Desargues-Kurpishev package, FOS journal sources, and KLT6 packages. External prior art includes conformal prediction, transportability, covariate-shift weighting, Ville processes, and prediction with expert advice.</w:t>
      </w:r>
    </w:p>
    <w:p>
      <w:pPr>
        <w:pStyle w:val="Heading2"/>
        <w:keepNext/>
      </w:pPr>
      <w:r>
        <w:t>36.8. Final Status Ledger</w:t>
      </w:r>
    </w:p>
    <w:tbl>
      <w:tblPr>
        <w:tblStyle w:val="TableGrid"/>
        <w:tblW w:type="auto" w:w="0"/>
        <w:jc w:val="center"/>
        <w:tblLook w:firstColumn="1" w:firstRow="1" w:lastColumn="0" w:lastRow="0" w:noHBand="0" w:noVBand="1" w:val="04A0"/>
      </w:tblPr>
      <w:tblGrid>
        <w:gridCol w:w="2517"/>
        <w:gridCol w:w="2517"/>
        <w:gridCol w:w="2517"/>
        <w:gridCol w:w="2517"/>
      </w:tblGrid>
      <w:tr>
        <w:trPr>
          <w:tblHeader w:val="true"/>
        </w:trPr>
        <w:tc>
          <w:tcPr>
            <w:tcW w:type="dxa" w:w="187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Object</w:t>
            </w:r>
          </w:p>
        </w:tc>
        <w:tc>
          <w:tcPr>
            <w:tcW w:type="dxa" w:w="187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Status</w:t>
            </w:r>
          </w:p>
        </w:tc>
        <w:tc>
          <w:tcPr>
            <w:tcW w:type="dxa" w:w="311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Proved / checked</w:t>
            </w:r>
          </w:p>
        </w:tc>
        <w:tc>
          <w:tcPr>
            <w:tcW w:type="dxa" w:w="2835"/>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Open</w:t>
            </w:r>
          </w:p>
        </w:tc>
      </w:tr>
      <w:tr>
        <w:tc>
          <w:tcPr>
            <w:tcW w:type="dxa" w:w="1871"/>
            <w:tcMar>
              <w:top w:w="90" w:type="dxa"/>
              <w:start w:w="110" w:type="dxa"/>
              <w:bottom w:w="90" w:type="dxa"/>
              <w:end w:w="110" w:type="dxa"/>
            </w:tcMar>
            <w:vAlign w:val="center"/>
          </w:tcPr>
          <w:p>
            <w:pPr>
              <w:jc w:val="center"/>
            </w:pPr>
            <w:r>
              <w:rPr>
                <w:rFonts w:ascii="DejaVu Serif" w:hAnsi="DejaVu Serif" w:eastAsia="DejaVu Serif"/>
                <w:b w:val="0"/>
                <w:i w:val="0"/>
                <w:sz w:val="15"/>
              </w:rPr>
              <w:t>Domain adapter</w:t>
            </w:r>
          </w:p>
        </w:tc>
        <w:tc>
          <w:tcPr>
            <w:tcW w:type="dxa" w:w="1871"/>
            <w:tcMar>
              <w:top w:w="90" w:type="dxa"/>
              <w:start w:w="110" w:type="dxa"/>
              <w:bottom w:w="90" w:type="dxa"/>
              <w:end w:w="110" w:type="dxa"/>
            </w:tcMar>
            <w:vAlign w:val="center"/>
          </w:tcPr>
          <w:p>
            <w:pPr>
              <w:jc w:val="left"/>
            </w:pPr>
            <w:r>
              <w:rPr>
                <w:rFonts w:ascii="DejaVu Serif" w:hAnsi="DejaVu Serif" w:eastAsia="DejaVu Serif"/>
                <w:b w:val="0"/>
                <w:i w:val="0"/>
                <w:sz w:val="15"/>
              </w:rPr>
              <w:t>defined + typed</w:t>
            </w:r>
          </w:p>
        </w:tc>
        <w:tc>
          <w:tcPr>
            <w:tcW w:type="dxa" w:w="3118"/>
            <w:tcMar>
              <w:top w:w="90" w:type="dxa"/>
              <w:start w:w="110" w:type="dxa"/>
              <w:bottom w:w="90" w:type="dxa"/>
              <w:end w:w="110" w:type="dxa"/>
            </w:tcMar>
            <w:vAlign w:val="center"/>
          </w:tcPr>
          <w:p>
            <w:pPr>
              <w:jc w:val="left"/>
            </w:pPr>
            <w:r>
              <w:rPr>
                <w:rFonts w:ascii="DejaVu Serif" w:hAnsi="DejaVu Serif" w:eastAsia="DejaVu Serif"/>
                <w:b w:val="0"/>
                <w:i w:val="0"/>
                <w:sz w:val="15"/>
              </w:rPr>
              <w:t>contract and composition</w:t>
            </w:r>
          </w:p>
        </w:tc>
        <w:tc>
          <w:tcPr>
            <w:tcW w:type="dxa" w:w="2835"/>
            <w:tcMar>
              <w:top w:w="90" w:type="dxa"/>
              <w:start w:w="110" w:type="dxa"/>
              <w:bottom w:w="90" w:type="dxa"/>
              <w:end w:w="110" w:type="dxa"/>
            </w:tcMar>
            <w:vAlign w:val="center"/>
          </w:tcPr>
          <w:p>
            <w:pPr>
              <w:jc w:val="left"/>
            </w:pPr>
            <w:r>
              <w:rPr>
                <w:rFonts w:ascii="DejaVu Serif" w:hAnsi="DejaVu Serif" w:eastAsia="DejaVu Serif"/>
                <w:b w:val="0"/>
                <w:i w:val="0"/>
                <w:sz w:val="15"/>
              </w:rPr>
              <w:t>domain implementations</w:t>
            </w:r>
          </w:p>
        </w:tc>
      </w:tr>
      <w:tr>
        <w:tc>
          <w:tcPr>
            <w:tcW w:type="dxa" w:w="1871"/>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Atlas v2.1</w:t>
            </w:r>
          </w:p>
        </w:tc>
        <w:tc>
          <w:tcPr>
            <w:tcW w:type="dxa" w:w="1871"/>
            <w:tcMar>
              <w:top w:w="90" w:type="dxa"/>
              <w:start w:w="110" w:type="dxa"/>
              <w:bottom w:w="90" w:type="dxa"/>
              <w:end w:w="110" w:type="dxa"/>
            </w:tcMar>
            <w:vAlign w:val="center"/>
            <w:shd w:fill="F4F7FA"/>
          </w:tcPr>
          <w:p>
            <w:pPr>
              <w:jc w:val="left"/>
            </w:pPr>
            <w:r>
              <w:rPr>
                <w:rFonts w:ascii="DejaVu Serif" w:hAnsi="DejaVu Serif" w:eastAsia="DejaVu Serif"/>
                <w:b w:val="0"/>
                <w:i w:val="0"/>
                <w:sz w:val="15"/>
              </w:rPr>
              <w:t>read-only verified</w:t>
            </w:r>
          </w:p>
        </w:tc>
        <w:tc>
          <w:tcPr>
            <w:tcW w:type="dxa" w:w="3118"/>
            <w:tcMar>
              <w:top w:w="90" w:type="dxa"/>
              <w:start w:w="110" w:type="dxa"/>
              <w:bottom w:w="90" w:type="dxa"/>
              <w:end w:w="110" w:type="dxa"/>
            </w:tcMar>
            <w:vAlign w:val="center"/>
            <w:shd w:fill="F4F7FA"/>
          </w:tcPr>
          <w:p>
            <w:pPr>
              <w:jc w:val="left"/>
            </w:pPr>
            <w:r>
              <w:rPr>
                <w:rFonts w:ascii="DejaVu Serif" w:hAnsi="DejaVu Serif" w:eastAsia="DejaVu Serif"/>
                <w:b w:val="0"/>
                <w:i w:val="0"/>
                <w:sz w:val="15"/>
              </w:rPr>
              <w:t>236/1145/2212/2478; integrity ok</w:t>
            </w:r>
          </w:p>
        </w:tc>
        <w:tc>
          <w:tcPr>
            <w:tcW w:type="dxa" w:w="2835"/>
            <w:tcMar>
              <w:top w:w="90" w:type="dxa"/>
              <w:start w:w="110" w:type="dxa"/>
              <w:bottom w:w="90" w:type="dxa"/>
              <w:end w:w="110" w:type="dxa"/>
            </w:tcMar>
            <w:vAlign w:val="center"/>
            <w:shd w:fill="F4F7FA"/>
          </w:tcPr>
          <w:p>
            <w:pPr>
              <w:jc w:val="left"/>
            </w:pPr>
            <w:r>
              <w:rPr>
                <w:rFonts w:ascii="DejaVu Serif" w:hAnsi="DejaVu Serif" w:eastAsia="DejaVu Serif"/>
                <w:b w:val="0"/>
                <w:i w:val="0"/>
                <w:sz w:val="15"/>
              </w:rPr>
              <w:t>corpus updates</w:t>
            </w:r>
          </w:p>
        </w:tc>
      </w:tr>
      <w:tr>
        <w:tc>
          <w:tcPr>
            <w:tcW w:type="dxa" w:w="1871"/>
            <w:tcMar>
              <w:top w:w="90" w:type="dxa"/>
              <w:start w:w="110" w:type="dxa"/>
              <w:bottom w:w="90" w:type="dxa"/>
              <w:end w:w="110" w:type="dxa"/>
            </w:tcMar>
            <w:vAlign w:val="center"/>
          </w:tcPr>
          <w:p>
            <w:pPr>
              <w:jc w:val="center"/>
            </w:pPr>
            <w:r>
              <w:rPr>
                <w:rFonts w:ascii="DejaVu Serif" w:hAnsi="DejaVu Serif" w:eastAsia="DejaVu Serif"/>
                <w:b w:val="0"/>
                <w:i w:val="0"/>
                <w:sz w:val="15"/>
              </w:rPr>
              <w:t>Real import</w:t>
            </w:r>
          </w:p>
        </w:tc>
        <w:tc>
          <w:tcPr>
            <w:tcW w:type="dxa" w:w="1871"/>
            <w:tcMar>
              <w:top w:w="90" w:type="dxa"/>
              <w:start w:w="110" w:type="dxa"/>
              <w:bottom w:w="90" w:type="dxa"/>
              <w:end w:w="110" w:type="dxa"/>
            </w:tcMar>
            <w:vAlign w:val="center"/>
          </w:tcPr>
          <w:p>
            <w:pPr>
              <w:jc w:val="left"/>
            </w:pPr>
            <w:r>
              <w:rPr>
                <w:rFonts w:ascii="DejaVu Serif" w:hAnsi="DejaVu Serif" w:eastAsia="DejaVu Serif"/>
                <w:b w:val="0"/>
                <w:i w:val="0"/>
                <w:sz w:val="15"/>
              </w:rPr>
              <w:t>verified with blocker</w:t>
            </w:r>
          </w:p>
        </w:tc>
        <w:tc>
          <w:tcPr>
            <w:tcW w:type="dxa" w:w="3118"/>
            <w:tcMar>
              <w:top w:w="90" w:type="dxa"/>
              <w:start w:w="110" w:type="dxa"/>
              <w:bottom w:w="90" w:type="dxa"/>
              <w:end w:w="110" w:type="dxa"/>
            </w:tcMar>
            <w:vAlign w:val="center"/>
          </w:tcPr>
          <w:p>
            <w:pPr>
              <w:jc w:val="left"/>
            </w:pPr>
            <w:r>
              <w:rPr>
                <w:rFonts w:ascii="DejaVu Serif" w:hAnsi="DejaVu Serif" w:eastAsia="DejaVu Serif"/>
                <w:b w:val="0"/>
                <w:i w:val="0"/>
                <w:sz w:val="15"/>
              </w:rPr>
              <w:t>45 unique/imported; FK=0</w:t>
            </w:r>
          </w:p>
        </w:tc>
        <w:tc>
          <w:tcPr>
            <w:tcW w:type="dxa" w:w="2835"/>
            <w:tcMar>
              <w:top w:w="90" w:type="dxa"/>
              <w:start w:w="110" w:type="dxa"/>
              <w:bottom w:w="90" w:type="dxa"/>
              <w:end w:w="110" w:type="dxa"/>
            </w:tcMar>
            <w:vAlign w:val="center"/>
          </w:tcPr>
          <w:p>
            <w:pPr>
              <w:jc w:val="left"/>
            </w:pPr>
            <w:r>
              <w:rPr>
                <w:rFonts w:ascii="DejaVu Serif" w:hAnsi="DejaVu Serif" w:eastAsia="DejaVu Serif"/>
                <w:b w:val="0"/>
                <w:i w:val="0"/>
                <w:sz w:val="15"/>
              </w:rPr>
              <w:t>align count=46</w:t>
            </w:r>
          </w:p>
        </w:tc>
      </w:tr>
      <w:tr>
        <w:tc>
          <w:tcPr>
            <w:tcW w:type="dxa" w:w="1871"/>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Identifiability</w:t>
            </w:r>
          </w:p>
        </w:tc>
        <w:tc>
          <w:tcPr>
            <w:tcW w:type="dxa" w:w="1871"/>
            <w:tcMar>
              <w:top w:w="90" w:type="dxa"/>
              <w:start w:w="110" w:type="dxa"/>
              <w:bottom w:w="90" w:type="dxa"/>
              <w:end w:w="110" w:type="dxa"/>
            </w:tcMar>
            <w:vAlign w:val="center"/>
            <w:shd w:fill="F4F7FA"/>
          </w:tcPr>
          <w:p>
            <w:pPr>
              <w:jc w:val="left"/>
            </w:pPr>
            <w:r>
              <w:rPr>
                <w:rFonts w:ascii="DejaVu Serif" w:hAnsi="DejaVu Serif" w:eastAsia="DejaVu Serif"/>
                <w:b w:val="0"/>
                <w:i w:val="0"/>
                <w:sz w:val="15"/>
              </w:rPr>
              <w:t>theorem schema</w:t>
            </w:r>
          </w:p>
        </w:tc>
        <w:tc>
          <w:tcPr>
            <w:tcW w:type="dxa" w:w="3118"/>
            <w:tcMar>
              <w:top w:w="90" w:type="dxa"/>
              <w:start w:w="110" w:type="dxa"/>
              <w:bottom w:w="90" w:type="dxa"/>
              <w:end w:w="110" w:type="dxa"/>
            </w:tcMar>
            <w:vAlign w:val="center"/>
            <w:shd w:fill="F4F7FA"/>
          </w:tcPr>
          <w:p>
            <w:pPr>
              <w:jc w:val="left"/>
            </w:pPr>
            <w:r>
              <w:rPr>
                <w:rFonts w:ascii="DejaVu Serif" w:hAnsi="DejaVu Serif" w:eastAsia="DejaVu Serif"/>
                <w:b w:val="0"/>
                <w:i w:val="0"/>
                <w:sz w:val="15"/>
              </w:rPr>
              <w:t>no exact recovery under equivalence</w:t>
            </w:r>
          </w:p>
        </w:tc>
        <w:tc>
          <w:tcPr>
            <w:tcW w:type="dxa" w:w="2835"/>
            <w:tcMar>
              <w:top w:w="90" w:type="dxa"/>
              <w:start w:w="110" w:type="dxa"/>
              <w:bottom w:w="90" w:type="dxa"/>
              <w:end w:w="110" w:type="dxa"/>
            </w:tcMar>
            <w:vAlign w:val="center"/>
            <w:shd w:fill="F4F7FA"/>
          </w:tcPr>
          <w:p>
            <w:pPr>
              <w:jc w:val="left"/>
            </w:pPr>
            <w:r>
              <w:rPr>
                <w:rFonts w:ascii="DejaVu Serif" w:hAnsi="DejaVu Serif" w:eastAsia="DejaVu Serif"/>
                <w:b w:val="0"/>
                <w:i w:val="0"/>
                <w:sz w:val="15"/>
              </w:rPr>
              <w:t>concrete domain models</w:t>
            </w:r>
          </w:p>
        </w:tc>
      </w:tr>
      <w:tr>
        <w:tc>
          <w:tcPr>
            <w:tcW w:type="dxa" w:w="1871"/>
            <w:tcMar>
              <w:top w:w="90" w:type="dxa"/>
              <w:start w:w="110" w:type="dxa"/>
              <w:bottom w:w="90" w:type="dxa"/>
              <w:end w:w="110" w:type="dxa"/>
            </w:tcMar>
            <w:vAlign w:val="center"/>
          </w:tcPr>
          <w:p>
            <w:pPr>
              <w:jc w:val="center"/>
            </w:pPr>
            <w:r>
              <w:rPr>
                <w:rFonts w:ascii="DejaVu Serif" w:hAnsi="DejaVu Serif" w:eastAsia="DejaVu Serif"/>
                <w:b w:val="0"/>
                <w:i w:val="0"/>
                <w:sz w:val="15"/>
              </w:rPr>
              <w:t>Transport</w:t>
            </w:r>
          </w:p>
        </w:tc>
        <w:tc>
          <w:tcPr>
            <w:tcW w:type="dxa" w:w="1871"/>
            <w:tcMar>
              <w:top w:w="90" w:type="dxa"/>
              <w:start w:w="110" w:type="dxa"/>
              <w:bottom w:w="90" w:type="dxa"/>
              <w:end w:w="110" w:type="dxa"/>
            </w:tcMar>
            <w:vAlign w:val="center"/>
          </w:tcPr>
          <w:p>
            <w:pPr>
              <w:jc w:val="left"/>
            </w:pPr>
            <w:r>
              <w:rPr>
                <w:rFonts w:ascii="DejaVu Serif" w:hAnsi="DejaVu Serif" w:eastAsia="DejaVu Serif"/>
                <w:b w:val="0"/>
                <w:i w:val="0"/>
                <w:sz w:val="15"/>
              </w:rPr>
              <w:t>conditional theorem</w:t>
            </w:r>
          </w:p>
        </w:tc>
        <w:tc>
          <w:tcPr>
            <w:tcW w:type="dxa" w:w="3118"/>
            <w:tcMar>
              <w:top w:w="90" w:type="dxa"/>
              <w:start w:w="110" w:type="dxa"/>
              <w:bottom w:w="90" w:type="dxa"/>
              <w:end w:w="110" w:type="dxa"/>
            </w:tcMar>
            <w:vAlign w:val="center"/>
          </w:tcPr>
          <w:p>
            <w:pPr>
              <w:jc w:val="left"/>
            </w:pPr>
            <w:r>
              <w:rPr>
                <w:rFonts w:ascii="DejaVu Serif" w:hAnsi="DejaVu Serif" w:eastAsia="DejaVu Serif"/>
                <w:b w:val="0"/>
                <w:i w:val="0"/>
                <w:sz w:val="15"/>
              </w:rPr>
              <w:t>risk identity under P_T&lt;&lt;P_S</w:t>
            </w:r>
          </w:p>
        </w:tc>
        <w:tc>
          <w:tcPr>
            <w:tcW w:type="dxa" w:w="2835"/>
            <w:tcMar>
              <w:top w:w="90" w:type="dxa"/>
              <w:start w:w="110" w:type="dxa"/>
              <w:bottom w:w="90" w:type="dxa"/>
              <w:end w:w="110" w:type="dxa"/>
            </w:tcMar>
            <w:vAlign w:val="center"/>
          </w:tcPr>
          <w:p>
            <w:pPr>
              <w:jc w:val="left"/>
            </w:pPr>
            <w:r>
              <w:rPr>
                <w:rFonts w:ascii="DejaVu Serif" w:hAnsi="DejaVu Serif" w:eastAsia="DejaVu Serif"/>
                <w:b w:val="0"/>
                <w:i w:val="0"/>
                <w:sz w:val="15"/>
              </w:rPr>
              <w:t>target support and weights</w:t>
            </w:r>
          </w:p>
        </w:tc>
      </w:tr>
      <w:tr>
        <w:tc>
          <w:tcPr>
            <w:tcW w:type="dxa" w:w="1871"/>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Conformal corridor</w:t>
            </w:r>
          </w:p>
        </w:tc>
        <w:tc>
          <w:tcPr>
            <w:tcW w:type="dxa" w:w="1871"/>
            <w:tcMar>
              <w:top w:w="90" w:type="dxa"/>
              <w:start w:w="110" w:type="dxa"/>
              <w:bottom w:w="90" w:type="dxa"/>
              <w:end w:w="110" w:type="dxa"/>
            </w:tcMar>
            <w:vAlign w:val="center"/>
            <w:shd w:fill="F4F7FA"/>
          </w:tcPr>
          <w:p>
            <w:pPr>
              <w:jc w:val="left"/>
            </w:pPr>
            <w:r>
              <w:rPr>
                <w:rFonts w:ascii="DejaVu Serif" w:hAnsi="DejaVu Serif" w:eastAsia="DejaVu Serif"/>
                <w:b w:val="0"/>
                <w:i w:val="0"/>
                <w:sz w:val="15"/>
              </w:rPr>
              <w:t>proved under exchangeability</w:t>
            </w:r>
          </w:p>
        </w:tc>
        <w:tc>
          <w:tcPr>
            <w:tcW w:type="dxa" w:w="3118"/>
            <w:tcMar>
              <w:top w:w="90" w:type="dxa"/>
              <w:start w:w="110" w:type="dxa"/>
              <w:bottom w:w="90" w:type="dxa"/>
              <w:end w:w="110" w:type="dxa"/>
            </w:tcMar>
            <w:vAlign w:val="center"/>
            <w:shd w:fill="F4F7FA"/>
          </w:tcPr>
          <w:p>
            <w:pPr>
              <w:jc w:val="left"/>
            </w:pPr>
            <w:r>
              <w:rPr>
                <w:rFonts w:ascii="DejaVu Serif" w:hAnsi="DejaVu Serif" w:eastAsia="DejaVu Serif"/>
                <w:b w:val="0"/>
                <w:i w:val="0"/>
                <w:sz w:val="15"/>
              </w:rPr>
              <w:t>marginal finite-sample coverage</w:t>
            </w:r>
          </w:p>
        </w:tc>
        <w:tc>
          <w:tcPr>
            <w:tcW w:type="dxa" w:w="2835"/>
            <w:tcMar>
              <w:top w:w="90" w:type="dxa"/>
              <w:start w:w="110" w:type="dxa"/>
              <w:bottom w:w="90" w:type="dxa"/>
              <w:end w:w="110" w:type="dxa"/>
            </w:tcMar>
            <w:vAlign w:val="center"/>
            <w:shd w:fill="F4F7FA"/>
          </w:tcPr>
          <w:p>
            <w:pPr>
              <w:jc w:val="left"/>
            </w:pPr>
            <w:r>
              <w:rPr>
                <w:rFonts w:ascii="DejaVu Serif" w:hAnsi="DejaVu Serif" w:eastAsia="DejaVu Serif"/>
                <w:b w:val="0"/>
                <w:i w:val="0"/>
                <w:sz w:val="15"/>
              </w:rPr>
              <w:t>drift and conditional coverage</w:t>
            </w:r>
          </w:p>
        </w:tc>
      </w:tr>
      <w:tr>
        <w:tc>
          <w:tcPr>
            <w:tcW w:type="dxa" w:w="1871"/>
            <w:tcMar>
              <w:top w:w="90" w:type="dxa"/>
              <w:start w:w="110" w:type="dxa"/>
              <w:bottom w:w="90" w:type="dxa"/>
              <w:end w:w="110" w:type="dxa"/>
            </w:tcMar>
            <w:vAlign w:val="center"/>
          </w:tcPr>
          <w:p>
            <w:pPr>
              <w:jc w:val="center"/>
            </w:pPr>
            <w:r>
              <w:rPr>
                <w:rFonts w:ascii="DejaVu Serif" w:hAnsi="DejaVu Serif" w:eastAsia="DejaVu Serif"/>
                <w:b w:val="0"/>
                <w:i w:val="0"/>
                <w:sz w:val="15"/>
              </w:rPr>
              <w:t>Artifact-1</w:t>
            </w:r>
          </w:p>
        </w:tc>
        <w:tc>
          <w:tcPr>
            <w:tcW w:type="dxa" w:w="1871"/>
            <w:tcMar>
              <w:top w:w="90" w:type="dxa"/>
              <w:start w:w="110" w:type="dxa"/>
              <w:bottom w:w="90" w:type="dxa"/>
              <w:end w:w="110" w:type="dxa"/>
            </w:tcMar>
            <w:vAlign w:val="center"/>
          </w:tcPr>
          <w:p>
            <w:pPr>
              <w:jc w:val="left"/>
            </w:pPr>
            <w:r>
              <w:rPr>
                <w:rFonts w:ascii="DejaVu Serif" w:hAnsi="DejaVu Serif" w:eastAsia="DejaVu Serif"/>
                <w:b w:val="0"/>
                <w:i w:val="0"/>
                <w:sz w:val="15"/>
              </w:rPr>
              <w:t>frozen</w:t>
            </w:r>
          </w:p>
        </w:tc>
        <w:tc>
          <w:tcPr>
            <w:tcW w:type="dxa" w:w="3118"/>
            <w:tcMar>
              <w:top w:w="90" w:type="dxa"/>
              <w:start w:w="110" w:type="dxa"/>
              <w:bottom w:w="90" w:type="dxa"/>
              <w:end w:w="110" w:type="dxa"/>
            </w:tcMar>
            <w:vAlign w:val="center"/>
          </w:tcPr>
          <w:p>
            <w:pPr>
              <w:jc w:val="left"/>
            </w:pPr>
            <w:r>
              <w:rPr>
                <w:rFonts w:ascii="DejaVu Serif" w:hAnsi="DejaVu Serif" w:eastAsia="DejaVu Serif"/>
                <w:b w:val="0"/>
                <w:i w:val="0"/>
                <w:sz w:val="15"/>
              </w:rPr>
              <w:t>signature-ready-not-truth-layer</w:t>
            </w:r>
          </w:p>
        </w:tc>
        <w:tc>
          <w:tcPr>
            <w:tcW w:type="dxa" w:w="2835"/>
            <w:tcMar>
              <w:top w:w="90" w:type="dxa"/>
              <w:start w:w="110" w:type="dxa"/>
              <w:bottom w:w="90" w:type="dxa"/>
              <w:end w:w="110" w:type="dxa"/>
            </w:tcMar>
            <w:vAlign w:val="center"/>
          </w:tcPr>
          <w:p>
            <w:pPr>
              <w:jc w:val="left"/>
            </w:pPr>
            <w:r>
              <w:rPr>
                <w:rFonts w:ascii="DejaVu Serif" w:hAnsi="DejaVu Serif" w:eastAsia="DejaVu Serif"/>
                <w:b w:val="0"/>
                <w:i w:val="0"/>
                <w:sz w:val="15"/>
              </w:rPr>
              <w:t>certificate-lock review</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A predictive method becomes rigorous not when it promises more future, but when it distinguishes what was observed, what was transported, what is covered by a corridor, and where the duty to answer becomes the duty to abstain.</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DOMAIN-VALID-CERT-v196i7. </w:t>
            </w:r>
            <w:r>
              <w:rPr>
                <w:rFonts w:ascii="DejaVu Serif" w:hAnsi="DejaVu Serif" w:eastAsia="DejaVu Serif"/>
                <w:b w:val="0"/>
                <w:i w:val="0"/>
                <w:sz w:val="18"/>
              </w:rPr>
              <w:t>source=frozen-T1; preserved_text=yes; chapters=32-36; adapter=typed-partial; identity={path,byte,semantic}; atlas_counts={236,1145,2212,2478}; import_audit={raw:46,unique:45,db:45,counter-blocker:1}; identifiability=required; transport=P_T&lt;&lt;P_S-or-ABSTAIN; matched-null=invariant; conformal=marginal-under-exchangeability; CGI&lt;1=necessary-not-sufficient; KMA=metadata-only; independent_validation=mandatory; truth_layer_promotion=0-unless-all-gates-pass.</w:t>
            </w:r>
          </w:p>
        </w:tc>
      </w:tr>
    </w:tbl>
    <w:p>
      <w:pPr>
        <w:spacing w:after="40"/>
      </w:pPr>
    </w:p>
    <w:p>
      <w:pPr>
        <w:spacing w:after="80" w:line="269" w:lineRule="auto"/>
        <w:jc w:val="both"/>
      </w:pPr>
      <w:r>
        <w:rPr>
          <w:rFonts w:ascii="DejaVu Serif" w:hAnsi="DejaVu Serif" w:eastAsia="DejaVu Serif"/>
          <w:b w:val="0"/>
          <w:i w:val="0"/>
        </w:rPr>
        <w:t>The translated checkpoint joins the mathematical PN.2 core to the real RBD/RPD schema. A subsequent independent experiment must implement one end-to-end adapter on an external corpus and publish negative outcomes alongside positive ones.</w:t>
      </w:r>
    </w:p>
    <w:p>
      <w:pPr>
        <w:pStyle w:val="Heading1"/>
        <w:keepNext/>
      </w:pPr>
      <w:r>
        <w:t>Part IX. End-to-End Predictive Validation</w:t>
      </w:r>
    </w:p>
    <w:p>
      <w:pPr>
        <w:spacing w:after="80" w:line="269" w:lineRule="auto"/>
        <w:jc w:val="both"/>
      </w:pPr>
      <w:r>
        <w:rPr>
          <w:rFonts w:ascii="DejaVu Serif" w:hAnsi="DejaVu Serif" w:eastAsia="DejaVu Serif"/>
          <w:b w:val="0"/>
          <w:i w:val="0"/>
        </w:rPr>
        <w:t>This part carries the Chapters 32-36 contract into execution semantics for errors, distribution shift, sequential monitoring, and competition between several PN.2 branches. Its subject is not a new truth declaration, but provable system behaviour when a gate fails.</w:t>
      </w:r>
    </w:p>
    <w:p>
      <w:pPr>
        <w:pStyle w:val="Heading1"/>
        <w:keepNext/>
      </w:pPr>
      <w:bookmarkStart w:id="1036" w:name="T1_CH_37"/>
      <w:r>
        <w:t>Chapter 37. End-to-End Blocker-Safe Adapter and Reproducibility</w:t>
      </w:r>
      <w:bookmarkEnd w:id="1036"/>
    </w:p>
    <w:p>
      <w:pPr>
        <w:spacing w:after="80" w:line="269" w:lineRule="auto"/>
        <w:jc w:val="both"/>
      </w:pPr>
      <w:r>
        <w:rPr>
          <w:rFonts w:ascii="DejaVu Serif" w:hAnsi="DejaVu Serif" w:eastAsia="DejaVu Serif"/>
          <w:b w:val="0"/>
          <w:i w:val="0"/>
        </w:rPr>
        <w:t>Russian source locator: pp. 181-183</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How can an early error be prevented from becoming a plausible late-stage forecast?</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Every operation returns either a valid value or a typed Block. A Block remains visible through all later stages.</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Partial operators are lifted to the sum type Result(X)=Ok(X) disjoint-union Block(B), where Block is absorbing.</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Perfect replay on the same data remains computational evidence, not an independent empirical observation.</w:t>
            </w:r>
          </w:p>
        </w:tc>
      </w:tr>
    </w:tbl>
    <w:p>
      <w:pPr>
        <w:spacing w:after="40"/>
      </w:pPr>
    </w:p>
    <w:p>
      <w:pPr>
        <w:keepNext/>
        <w:jc w:val="center"/>
      </w:pPr>
      <w:r>
        <w:drawing>
          <wp:inline xmlns:a="http://schemas.openxmlformats.org/drawingml/2006/main" xmlns:pic="http://schemas.openxmlformats.org/drawingml/2006/picture">
            <wp:extent cx="5623560" cy="2510902"/>
            <wp:docPr id="40" name="Picture 40"/>
            <wp:cNvGraphicFramePr>
              <a:graphicFrameLocks noChangeAspect="1"/>
            </wp:cNvGraphicFramePr>
            <a:graphic>
              <a:graphicData uri="http://schemas.openxmlformats.org/drawingml/2006/picture">
                <pic:pic>
                  <pic:nvPicPr>
                    <pic:cNvPr id="0" name="fig37_block.png"/>
                    <pic:cNvPicPr/>
                  </pic:nvPicPr>
                  <pic:blipFill>
                    <a:blip r:embed="rId52"/>
                    <a:stretch>
                      <a:fillRect/>
                    </a:stretch>
                  </pic:blipFill>
                  <pic:spPr>
                    <a:xfrm>
                      <a:off x="0" y="0"/>
                      <a:ext cx="5623560" cy="2510902"/>
                    </a:xfrm>
                    <a:prstGeom prst="rect"/>
                  </pic:spPr>
                </pic:pic>
              </a:graphicData>
            </a:graphic>
          </wp:inline>
        </w:drawing>
      </w:r>
    </w:p>
    <w:p>
      <w:pPr>
        <w:pStyle w:val="Caption"/>
        <w:spacing w:before="40" w:after="160"/>
        <w:jc w:val="center"/>
      </w:pPr>
      <w:bookmarkStart w:id="1097" w:name="T1_FIG_039"/>
      <w:r>
        <w:t>Figure 37.1. Block is an absorbing result with a preserved reason and trace.</w:t>
      </w:r>
      <w:bookmarkEnd w:id="1097"/>
    </w:p>
    <w:p>
      <w:pPr>
        <w:pStyle w:val="Heading2"/>
        <w:keepNext/>
      </w:pPr>
      <w:r>
        <w:t>37.1. Sum Type of Results</w:t>
      </w:r>
    </w:p>
    <w:p>
      <w:pPr>
        <w:spacing w:before="80" w:after="100"/>
        <w:jc w:val="center"/>
      </w:pPr>
      <w:r>
        <w:rPr>
          <w:rFonts w:ascii="DejaVu Serif" w:hAnsi="DejaVu Serif" w:eastAsia="DejaVu Serif"/>
          <w:b w:val="0"/>
          <w:i w:val="0"/>
          <w:sz w:val="21"/>
        </w:rPr>
        <w:t>Result(X)=Ok(X) disjoint-union Block(B)</w:t>
      </w:r>
      <w:r>
        <w:rPr>
          <w:rFonts w:ascii="DejaVu Serif" w:hAnsi="DejaVu Serif" w:eastAsia="DejaVu Serif"/>
          <w:b w:val="0"/>
          <w:i/>
          <w:color w:val="6B7280"/>
          <w:sz w:val="17"/>
        </w:rPr>
        <w:t xml:space="preserve">    [RU p. 181]</w:t>
      </w:r>
    </w:p>
    <w:p>
      <w:pPr>
        <w:spacing w:before="80" w:after="100"/>
        <w:jc w:val="center"/>
      </w:pPr>
      <w:r>
        <w:rPr>
          <w:rFonts w:ascii="DejaVu Serif" w:hAnsi="DejaVu Serif" w:eastAsia="DejaVu Serif"/>
          <w:b w:val="0"/>
          <w:i w:val="0"/>
          <w:sz w:val="21"/>
        </w:rPr>
        <w:t>f+(Ok(x))=Ok(f(x)) or Block;   f+(Block(b))=Block(b)</w:t>
      </w:r>
      <w:r>
        <w:rPr>
          <w:rFonts w:ascii="DejaVu Serif" w:hAnsi="DejaVu Serif" w:eastAsia="DejaVu Serif"/>
          <w:b w:val="0"/>
          <w:i/>
          <w:color w:val="6B7280"/>
          <w:sz w:val="17"/>
        </w:rPr>
        <w:t xml:space="preserve">    [RU p. 181]</w:t>
      </w:r>
    </w:p>
    <w:p>
      <w:pPr>
        <w:spacing w:after="80" w:line="269" w:lineRule="auto"/>
        <w:jc w:val="both"/>
      </w:pPr>
      <w:r>
        <w:rPr>
          <w:rFonts w:ascii="DejaVu Serif" w:hAnsi="DejaVu Serif" w:eastAsia="DejaVu Serif"/>
          <w:b w:val="0"/>
          <w:i w:val="0"/>
        </w:rPr>
        <w:t>B includes parse-error, schema-gap, orphan-source, unit-conflict, support-gap, leakage, invalid-null, privacy-stop, and nonreproducible-state. Definition 37.1 [DEF]. A composition is blocker-safe when no stage replaces Block by a default value, empty string, zero, mean, or previous forecast.</w:t>
      </w:r>
    </w:p>
    <w:p>
      <w:pPr>
        <w:spacing w:before="100" w:after="60"/>
      </w:pPr>
      <w:r>
        <w:rPr>
          <w:rFonts w:ascii="DejaVu Serif" w:hAnsi="DejaVu Serif" w:eastAsia="DejaVu Serif"/>
          <w:b/>
          <w:i w:val="0"/>
          <w:color w:val="173B63"/>
        </w:rPr>
        <w:t xml:space="preserve">Theorem 37.1 - Absorption of Block [THM]. </w:t>
      </w:r>
      <w:r>
        <w:rPr>
          <w:rFonts w:ascii="DejaVu Serif" w:hAnsi="DejaVu Serif" w:eastAsia="DejaVu Serif"/>
          <w:b w:val="0"/>
          <w:i w:val="0"/>
        </w:rPr>
        <w:t>For blocker-safe lifted operators f_1+,...,f_m+, if the result after stage j is Block(b), the full composite returns Block(b), adding only traversal metadata.</w:t>
      </w:r>
    </w:p>
    <w:p>
      <w:pPr>
        <w:ind w:left="283" w:right="113"/>
        <w:jc w:val="both"/>
      </w:pPr>
      <w:r>
        <w:rPr>
          <w:rFonts w:ascii="DejaVu Serif" w:hAnsi="DejaVu Serif" w:eastAsia="DejaVu Serif"/>
          <w:b/>
          <w:i/>
        </w:rPr>
        <w:t xml:space="preserve">Proof. </w:t>
      </w:r>
      <w:r>
        <w:rPr>
          <w:rFonts w:ascii="DejaVu Serif" w:hAnsi="DejaVu Serif" w:eastAsia="DejaVu Serif"/>
          <w:b w:val="0"/>
          <w:i/>
        </w:rPr>
        <w:t>By definition, every subsequent lifted operator acts as the identity on a Block. Induction over the remaining stages preserves b; trace metadata does not change the result type.</w:t>
      </w:r>
    </w:p>
    <w:p>
      <w:pPr>
        <w:spacing w:after="80" w:line="269" w:lineRule="auto"/>
        <w:jc w:val="both"/>
      </w:pPr>
      <w:r>
        <w:rPr>
          <w:rFonts w:ascii="DejaVu Serif" w:hAnsi="DejaVu Serif" w:eastAsia="DejaVu Serif"/>
          <w:b w:val="0"/>
          <w:i w:val="0"/>
        </w:rPr>
        <w:t>Corollary 37.1 [COR]. status=pass is impossible when an unresolved Block occurs earlier in the trace. lambda, delta_truth, and CGI do not cancel this rule.</w:t>
      </w:r>
    </w:p>
    <w:p>
      <w:pPr>
        <w:pStyle w:val="Heading2"/>
        <w:keepNext/>
      </w:pPr>
      <w:r>
        <w:t>37.2. Ten End-to-End Stages and Their Blocks</w:t>
      </w:r>
    </w:p>
    <w:tbl>
      <w:tblPr>
        <w:tblStyle w:val="TableGrid"/>
        <w:tblW w:type="auto" w:w="0"/>
        <w:jc w:val="center"/>
        <w:tblLook w:firstColumn="1" w:firstRow="1" w:lastColumn="0" w:lastRow="0" w:noHBand="0" w:noVBand="1" w:val="04A0"/>
      </w:tblPr>
      <w:tblGrid>
        <w:gridCol w:w="2517"/>
        <w:gridCol w:w="2517"/>
        <w:gridCol w:w="2517"/>
        <w:gridCol w:w="2517"/>
      </w:tblGrid>
      <w:tr>
        <w:trPr>
          <w:tblHeader w:val="true"/>
        </w:trPr>
        <w:tc>
          <w:tcPr>
            <w:tcW w:type="dxa" w:w="680"/>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No.</w:t>
            </w:r>
          </w:p>
        </w:tc>
        <w:tc>
          <w:tcPr>
            <w:tcW w:type="dxa" w:w="226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Operation</w:t>
            </w:r>
          </w:p>
        </w:tc>
        <w:tc>
          <w:tcPr>
            <w:tcW w:type="dxa" w:w="3515"/>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Verified output</w:t>
            </w:r>
          </w:p>
        </w:tc>
        <w:tc>
          <w:tcPr>
            <w:tcW w:type="dxa" w:w="306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Block</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6"/>
              </w:rPr>
              <w:t>1</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6"/>
              </w:rPr>
              <w:t>Input C@C</w:t>
            </w:r>
          </w:p>
        </w:tc>
        <w:tc>
          <w:tcPr>
            <w:tcW w:type="dxa" w:w="3515"/>
            <w:tcMar>
              <w:top w:w="90" w:type="dxa"/>
              <w:start w:w="110" w:type="dxa"/>
              <w:bottom w:w="90" w:type="dxa"/>
              <w:end w:w="110" w:type="dxa"/>
            </w:tcMar>
            <w:vAlign w:val="center"/>
          </w:tcPr>
          <w:p>
            <w:pPr>
              <w:jc w:val="left"/>
            </w:pPr>
            <w:r>
              <w:rPr>
                <w:rFonts w:ascii="DejaVu Serif" w:hAnsi="DejaVu Serif" w:eastAsia="DejaVu Serif"/>
                <w:b w:val="0"/>
                <w:i w:val="0"/>
                <w:sz w:val="16"/>
              </w:rPr>
              <w:t>type, source_hash</w:t>
            </w:r>
          </w:p>
        </w:tc>
        <w:tc>
          <w:tcPr>
            <w:tcW w:type="dxa" w:w="3061"/>
            <w:tcMar>
              <w:top w:w="90" w:type="dxa"/>
              <w:start w:w="110" w:type="dxa"/>
              <w:bottom w:w="90" w:type="dxa"/>
              <w:end w:w="110" w:type="dxa"/>
            </w:tcMar>
            <w:vAlign w:val="center"/>
          </w:tcPr>
          <w:p>
            <w:pPr>
              <w:jc w:val="left"/>
            </w:pPr>
            <w:r>
              <w:rPr>
                <w:rFonts w:ascii="DejaVu Serif" w:hAnsi="DejaVu Serif" w:eastAsia="DejaVu Serif"/>
                <w:b w:val="0"/>
                <w:i w:val="0"/>
                <w:sz w:val="16"/>
              </w:rPr>
              <w:t>parse/schema</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2</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6"/>
              </w:rPr>
              <w:t>LimitGate</w:t>
            </w:r>
          </w:p>
        </w:tc>
        <w:tc>
          <w:tcPr>
            <w:tcW w:type="dxa" w:w="3515"/>
            <w:tcMar>
              <w:top w:w="90" w:type="dxa"/>
              <w:start w:w="110" w:type="dxa"/>
              <w:bottom w:w="90" w:type="dxa"/>
              <w:end w:w="110" w:type="dxa"/>
            </w:tcMar>
            <w:vAlign w:val="center"/>
            <w:shd w:fill="F4F7FA"/>
          </w:tcPr>
          <w:p>
            <w:pPr>
              <w:jc w:val="left"/>
            </w:pPr>
            <w:r>
              <w:rPr>
                <w:rFonts w:ascii="DejaVu Serif" w:hAnsi="DejaVu Serif" w:eastAsia="DejaVu Serif"/>
                <w:b w:val="0"/>
                <w:i w:val="0"/>
                <w:sz w:val="16"/>
              </w:rPr>
              <w:t>five gates, D/Dom</w:t>
            </w:r>
          </w:p>
        </w:tc>
        <w:tc>
          <w:tcPr>
            <w:tcW w:type="dxa" w:w="3061"/>
            <w:tcMar>
              <w:top w:w="90" w:type="dxa"/>
              <w:start w:w="110" w:type="dxa"/>
              <w:bottom w:w="90" w:type="dxa"/>
              <w:end w:w="110" w:type="dxa"/>
            </w:tcMar>
            <w:vAlign w:val="center"/>
            <w:shd w:fill="F4F7FA"/>
          </w:tcPr>
          <w:p>
            <w:pPr>
              <w:jc w:val="left"/>
            </w:pPr>
            <w:r>
              <w:rPr>
                <w:rFonts w:ascii="DejaVu Serif" w:hAnsi="DejaVu Serif" w:eastAsia="DejaVu Serif"/>
                <w:b w:val="0"/>
                <w:i w:val="0"/>
                <w:sz w:val="16"/>
              </w:rPr>
              <w:t>limit 0 or bottom</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6"/>
              </w:rPr>
              <w:t>3</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6"/>
              </w:rPr>
              <w:t>ReperSearch</w:t>
            </w:r>
          </w:p>
        </w:tc>
        <w:tc>
          <w:tcPr>
            <w:tcW w:type="dxa" w:w="3515"/>
            <w:tcMar>
              <w:top w:w="90" w:type="dxa"/>
              <w:start w:w="110" w:type="dxa"/>
              <w:bottom w:w="90" w:type="dxa"/>
              <w:end w:w="110" w:type="dxa"/>
            </w:tcMar>
            <w:vAlign w:val="center"/>
          </w:tcPr>
          <w:p>
            <w:pPr>
              <w:jc w:val="left"/>
            </w:pPr>
            <w:r>
              <w:rPr>
                <w:rFonts w:ascii="DejaVu Serif" w:hAnsi="DejaVu Serif" w:eastAsia="DejaVu Serif"/>
                <w:b w:val="0"/>
                <w:i w:val="0"/>
                <w:sz w:val="16"/>
              </w:rPr>
              <w:t>source-anchored candidates</w:t>
            </w:r>
          </w:p>
        </w:tc>
        <w:tc>
          <w:tcPr>
            <w:tcW w:type="dxa" w:w="3061"/>
            <w:tcMar>
              <w:top w:w="90" w:type="dxa"/>
              <w:start w:w="110" w:type="dxa"/>
              <w:bottom w:w="90" w:type="dxa"/>
              <w:end w:w="110" w:type="dxa"/>
            </w:tcMar>
            <w:vAlign w:val="center"/>
          </w:tcPr>
          <w:p>
            <w:pPr>
              <w:jc w:val="left"/>
            </w:pPr>
            <w:r>
              <w:rPr>
                <w:rFonts w:ascii="DejaVu Serif" w:hAnsi="DejaVu Serif" w:eastAsia="DejaVu Serif"/>
                <w:b w:val="0"/>
                <w:i w:val="0"/>
                <w:sz w:val="16"/>
              </w:rPr>
              <w:t>orphan source</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4</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6"/>
              </w:rPr>
              <w:t>LambdaClosure</w:t>
            </w:r>
          </w:p>
        </w:tc>
        <w:tc>
          <w:tcPr>
            <w:tcW w:type="dxa" w:w="3515"/>
            <w:tcMar>
              <w:top w:w="90" w:type="dxa"/>
              <w:start w:w="110" w:type="dxa"/>
              <w:bottom w:w="90" w:type="dxa"/>
              <w:end w:w="110" w:type="dxa"/>
            </w:tcMar>
            <w:vAlign w:val="center"/>
            <w:shd w:fill="F4F7FA"/>
          </w:tcPr>
          <w:p>
            <w:pPr>
              <w:jc w:val="left"/>
            </w:pPr>
            <w:r>
              <w:rPr>
                <w:rFonts w:ascii="DejaVu Serif" w:hAnsi="DejaVu Serif" w:eastAsia="DejaVu Serif"/>
                <w:b w:val="0"/>
                <w:i w:val="0"/>
                <w:sz w:val="16"/>
              </w:rPr>
              <w:t>registered formula</w:t>
            </w:r>
          </w:p>
        </w:tc>
        <w:tc>
          <w:tcPr>
            <w:tcW w:type="dxa" w:w="3061"/>
            <w:tcMar>
              <w:top w:w="90" w:type="dxa"/>
              <w:start w:w="110" w:type="dxa"/>
              <w:bottom w:w="90" w:type="dxa"/>
              <w:end w:w="110" w:type="dxa"/>
            </w:tcMar>
            <w:vAlign w:val="center"/>
            <w:shd w:fill="F4F7FA"/>
          </w:tcPr>
          <w:p>
            <w:pPr>
              <w:jc w:val="left"/>
            </w:pPr>
            <w:r>
              <w:rPr>
                <w:rFonts w:ascii="DejaVu Serif" w:hAnsi="DejaVu Serif" w:eastAsia="DejaVu Serif"/>
                <w:b w:val="0"/>
                <w:i w:val="0"/>
                <w:sz w:val="16"/>
              </w:rPr>
              <w:t>KMA-only</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6"/>
              </w:rPr>
              <w:t>5</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6"/>
              </w:rPr>
              <w:t>ForecastBuild</w:t>
            </w:r>
          </w:p>
        </w:tc>
        <w:tc>
          <w:tcPr>
            <w:tcW w:type="dxa" w:w="3515"/>
            <w:tcMar>
              <w:top w:w="90" w:type="dxa"/>
              <w:start w:w="110" w:type="dxa"/>
              <w:bottom w:w="90" w:type="dxa"/>
              <w:end w:w="110" w:type="dxa"/>
            </w:tcMar>
            <w:vAlign w:val="center"/>
          </w:tcPr>
          <w:p>
            <w:pPr>
              <w:jc w:val="left"/>
            </w:pPr>
            <w:r>
              <w:rPr>
                <w:rFonts w:ascii="DejaVu Serif" w:hAnsi="DejaVu Serif" w:eastAsia="DejaVu Serif"/>
                <w:b w:val="0"/>
                <w:i w:val="0"/>
                <w:sz w:val="16"/>
              </w:rPr>
              <w:t>branch corridor</w:t>
            </w:r>
          </w:p>
        </w:tc>
        <w:tc>
          <w:tcPr>
            <w:tcW w:type="dxa" w:w="3061"/>
            <w:tcMar>
              <w:top w:w="90" w:type="dxa"/>
              <w:start w:w="110" w:type="dxa"/>
              <w:bottom w:w="90" w:type="dxa"/>
              <w:end w:w="110" w:type="dxa"/>
            </w:tcMar>
            <w:vAlign w:val="center"/>
          </w:tcPr>
          <w:p>
            <w:pPr>
              <w:jc w:val="left"/>
            </w:pPr>
            <w:r>
              <w:rPr>
                <w:rFonts w:ascii="DejaVu Serif" w:hAnsi="DejaVu Serif" w:eastAsia="DejaVu Serif"/>
                <w:b w:val="0"/>
                <w:i w:val="0"/>
                <w:sz w:val="16"/>
              </w:rPr>
              <w:t>hidden branch</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6</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6"/>
              </w:rPr>
              <w:t>FactAttach</w:t>
            </w:r>
          </w:p>
        </w:tc>
        <w:tc>
          <w:tcPr>
            <w:tcW w:type="dxa" w:w="3515"/>
            <w:tcMar>
              <w:top w:w="90" w:type="dxa"/>
              <w:start w:w="110" w:type="dxa"/>
              <w:bottom w:w="90" w:type="dxa"/>
              <w:end w:w="110" w:type="dxa"/>
            </w:tcMar>
            <w:vAlign w:val="center"/>
            <w:shd w:fill="F4F7FA"/>
          </w:tcPr>
          <w:p>
            <w:pPr>
              <w:jc w:val="left"/>
            </w:pPr>
            <w:r>
              <w:rPr>
                <w:rFonts w:ascii="DejaVu Serif" w:hAnsi="DejaVu Serif" w:eastAsia="DejaVu Serif"/>
                <w:b w:val="0"/>
                <w:i w:val="0"/>
                <w:sz w:val="16"/>
              </w:rPr>
              <w:t>canonical_id and time</w:t>
            </w:r>
          </w:p>
        </w:tc>
        <w:tc>
          <w:tcPr>
            <w:tcW w:type="dxa" w:w="3061"/>
            <w:tcMar>
              <w:top w:w="90" w:type="dxa"/>
              <w:start w:w="110" w:type="dxa"/>
              <w:bottom w:w="90" w:type="dxa"/>
              <w:end w:w="110" w:type="dxa"/>
            </w:tcMar>
            <w:vAlign w:val="center"/>
            <w:shd w:fill="F4F7FA"/>
          </w:tcPr>
          <w:p>
            <w:pPr>
              <w:jc w:val="left"/>
            </w:pPr>
            <w:r>
              <w:rPr>
                <w:rFonts w:ascii="DejaVu Serif" w:hAnsi="DejaVu Serif" w:eastAsia="DejaVu Serif"/>
                <w:b w:val="0"/>
                <w:i w:val="0"/>
                <w:sz w:val="16"/>
              </w:rPr>
              <w:t>identity conflict</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6"/>
              </w:rPr>
              <w:t>7</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6"/>
              </w:rPr>
              <w:t>MismatchDetect</w:t>
            </w:r>
          </w:p>
        </w:tc>
        <w:tc>
          <w:tcPr>
            <w:tcW w:type="dxa" w:w="3515"/>
            <w:tcMar>
              <w:top w:w="90" w:type="dxa"/>
              <w:start w:w="110" w:type="dxa"/>
              <w:bottom w:w="90" w:type="dxa"/>
              <w:end w:w="110" w:type="dxa"/>
            </w:tcMar>
            <w:vAlign w:val="center"/>
          </w:tcPr>
          <w:p>
            <w:pPr>
              <w:jc w:val="left"/>
            </w:pPr>
            <w:r>
              <w:rPr>
                <w:rFonts w:ascii="DejaVu Serif" w:hAnsi="DejaVu Serif" w:eastAsia="DejaVu Serif"/>
                <w:b w:val="0"/>
                <w:i w:val="0"/>
                <w:sz w:val="16"/>
              </w:rPr>
              <w:t>frozen loss</w:t>
            </w:r>
          </w:p>
        </w:tc>
        <w:tc>
          <w:tcPr>
            <w:tcW w:type="dxa" w:w="3061"/>
            <w:tcMar>
              <w:top w:w="90" w:type="dxa"/>
              <w:start w:w="110" w:type="dxa"/>
              <w:bottom w:w="90" w:type="dxa"/>
              <w:end w:w="110" w:type="dxa"/>
            </w:tcMar>
            <w:vAlign w:val="center"/>
          </w:tcPr>
          <w:p>
            <w:pPr>
              <w:jc w:val="left"/>
            </w:pPr>
            <w:r>
              <w:rPr>
                <w:rFonts w:ascii="DejaVu Serif" w:hAnsi="DejaVu Serif" w:eastAsia="DejaVu Serif"/>
                <w:b w:val="0"/>
                <w:i w:val="0"/>
                <w:sz w:val="16"/>
              </w:rPr>
              <w:t>test leakage</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8</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6"/>
              </w:rPr>
              <w:t>NearestRebuild</w:t>
            </w:r>
          </w:p>
        </w:tc>
        <w:tc>
          <w:tcPr>
            <w:tcW w:type="dxa" w:w="3515"/>
            <w:tcMar>
              <w:top w:w="90" w:type="dxa"/>
              <w:start w:w="110" w:type="dxa"/>
              <w:bottom w:w="90" w:type="dxa"/>
              <w:end w:w="110" w:type="dxa"/>
            </w:tcMar>
            <w:vAlign w:val="center"/>
            <w:shd w:fill="F4F7FA"/>
          </w:tcPr>
          <w:p>
            <w:pPr>
              <w:jc w:val="left"/>
            </w:pPr>
            <w:r>
              <w:rPr>
                <w:rFonts w:ascii="DejaVu Serif" w:hAnsi="DejaVu Serif" w:eastAsia="DejaVu Serif"/>
                <w:b w:val="0"/>
                <w:i w:val="0"/>
                <w:sz w:val="16"/>
              </w:rPr>
              <w:t>local queue</w:t>
            </w:r>
          </w:p>
        </w:tc>
        <w:tc>
          <w:tcPr>
            <w:tcW w:type="dxa" w:w="3061"/>
            <w:tcMar>
              <w:top w:w="90" w:type="dxa"/>
              <w:start w:w="110" w:type="dxa"/>
              <w:bottom w:w="90" w:type="dxa"/>
              <w:end w:w="110" w:type="dxa"/>
            </w:tcMar>
            <w:vAlign w:val="center"/>
            <w:shd w:fill="F4F7FA"/>
          </w:tcPr>
          <w:p>
            <w:pPr>
              <w:jc w:val="left"/>
            </w:pPr>
            <w:r>
              <w:rPr>
                <w:rFonts w:ascii="DejaVu Serif" w:hAnsi="DejaVu Serif" w:eastAsia="DejaVu Serif"/>
                <w:b w:val="0"/>
                <w:i w:val="0"/>
                <w:sz w:val="16"/>
              </w:rPr>
              <w:t>global rewrite</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6"/>
              </w:rPr>
              <w:t>9</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6"/>
              </w:rPr>
              <w:t>RevisionChain</w:t>
            </w:r>
          </w:p>
        </w:tc>
        <w:tc>
          <w:tcPr>
            <w:tcW w:type="dxa" w:w="3515"/>
            <w:tcMar>
              <w:top w:w="90" w:type="dxa"/>
              <w:start w:w="110" w:type="dxa"/>
              <w:bottom w:w="90" w:type="dxa"/>
              <w:end w:w="110" w:type="dxa"/>
            </w:tcMar>
            <w:vAlign w:val="center"/>
          </w:tcPr>
          <w:p>
            <w:pPr>
              <w:jc w:val="left"/>
            </w:pPr>
            <w:r>
              <w:rPr>
                <w:rFonts w:ascii="DejaVu Serif" w:hAnsi="DejaVu Serif" w:eastAsia="DejaVu Serif"/>
                <w:b w:val="0"/>
                <w:i w:val="0"/>
                <w:sz w:val="16"/>
              </w:rPr>
              <w:t>new immutable version</w:t>
            </w:r>
          </w:p>
        </w:tc>
        <w:tc>
          <w:tcPr>
            <w:tcW w:type="dxa" w:w="3061"/>
            <w:tcMar>
              <w:top w:w="90" w:type="dxa"/>
              <w:start w:w="110" w:type="dxa"/>
              <w:bottom w:w="90" w:type="dxa"/>
              <w:end w:w="110" w:type="dxa"/>
            </w:tcMar>
            <w:vAlign w:val="center"/>
          </w:tcPr>
          <w:p>
            <w:pPr>
              <w:jc w:val="left"/>
            </w:pPr>
            <w:r>
              <w:rPr>
                <w:rFonts w:ascii="DejaVu Serif" w:hAnsi="DejaVu Serif" w:eastAsia="DejaVu Serif"/>
                <w:b w:val="0"/>
                <w:i w:val="0"/>
                <w:sz w:val="16"/>
              </w:rPr>
              <w:t>in-place edit</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10</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6"/>
              </w:rPr>
              <w:t>Snapshot</w:t>
            </w:r>
          </w:p>
        </w:tc>
        <w:tc>
          <w:tcPr>
            <w:tcW w:type="dxa" w:w="3515"/>
            <w:tcMar>
              <w:top w:w="90" w:type="dxa"/>
              <w:start w:w="110" w:type="dxa"/>
              <w:bottom w:w="90" w:type="dxa"/>
              <w:end w:w="110" w:type="dxa"/>
            </w:tcMar>
            <w:vAlign w:val="center"/>
            <w:shd w:fill="F4F7FA"/>
          </w:tcPr>
          <w:p>
            <w:pPr>
              <w:jc w:val="left"/>
            </w:pPr>
            <w:r>
              <w:rPr>
                <w:rFonts w:ascii="DejaVu Serif" w:hAnsi="DejaVu Serif" w:eastAsia="DejaVu Serif"/>
                <w:b w:val="0"/>
                <w:i w:val="0"/>
                <w:sz w:val="16"/>
              </w:rPr>
              <w:t>hash/status/privacy</w:t>
            </w:r>
          </w:p>
        </w:tc>
        <w:tc>
          <w:tcPr>
            <w:tcW w:type="dxa" w:w="3061"/>
            <w:tcMar>
              <w:top w:w="90" w:type="dxa"/>
              <w:start w:w="110" w:type="dxa"/>
              <w:bottom w:w="90" w:type="dxa"/>
              <w:end w:w="110" w:type="dxa"/>
            </w:tcMar>
            <w:vAlign w:val="center"/>
            <w:shd w:fill="F4F7FA"/>
          </w:tcPr>
          <w:p>
            <w:pPr>
              <w:jc w:val="left"/>
            </w:pPr>
            <w:r>
              <w:rPr>
                <w:rFonts w:ascii="DejaVu Serif" w:hAnsi="DejaVu Serif" w:eastAsia="DejaVu Serif"/>
                <w:b w:val="0"/>
                <w:i w:val="0"/>
                <w:sz w:val="16"/>
              </w:rPr>
              <w:t>unpassed privacy</w:t>
            </w:r>
          </w:p>
        </w:tc>
      </w:tr>
    </w:tbl>
    <w:p>
      <w:pPr>
        <w:spacing w:after="40"/>
      </w:pPr>
    </w:p>
    <w:p>
      <w:pPr>
        <w:pStyle w:val="Heading2"/>
        <w:keepNext/>
      </w:pPr>
      <w:r>
        <w:t>37.3. Canonicalisation and Round Trip</w:t>
      </w:r>
    </w:p>
    <w:p>
      <w:pPr>
        <w:spacing w:before="80" w:after="100"/>
        <w:jc w:val="center"/>
      </w:pPr>
      <w:r>
        <w:rPr>
          <w:rFonts w:ascii="DejaVu Serif" w:hAnsi="DejaVu Serif" w:eastAsia="DejaVu Serif"/>
          <w:b w:val="0"/>
          <w:i w:val="0"/>
          <w:sz w:val="21"/>
        </w:rPr>
        <w:t>c(c(x))=c(x);   decode(encode(x))=x on Dom(round-trip)</w:t>
      </w:r>
      <w:r>
        <w:rPr>
          <w:rFonts w:ascii="DejaVu Serif" w:hAnsi="DejaVu Serif" w:eastAsia="DejaVu Serif"/>
          <w:b w:val="0"/>
          <w:i/>
          <w:color w:val="6B7280"/>
          <w:sz w:val="17"/>
        </w:rPr>
        <w:t xml:space="preserve">    [RU p. 182]</w:t>
      </w:r>
    </w:p>
    <w:p>
      <w:pPr>
        <w:spacing w:before="100" w:after="60"/>
      </w:pPr>
      <w:r>
        <w:rPr>
          <w:rFonts w:ascii="DejaVu Serif" w:hAnsi="DejaVu Serif" w:eastAsia="DejaVu Serif"/>
          <w:b/>
          <w:i w:val="0"/>
          <w:color w:val="173B63"/>
        </w:rPr>
        <w:t xml:space="preserve">Proposition 37.2 - Idempotence prevents identifier drift [PROP]. </w:t>
      </w:r>
      <w:r>
        <w:rPr>
          <w:rFonts w:ascii="DejaVu Serif" w:hAnsi="DejaVu Serif" w:eastAsia="DejaVu Serif"/>
          <w:b w:val="0"/>
          <w:i w:val="0"/>
        </w:rPr>
        <w:t>Idempotent canonicalisation prevents identifier drift under repeated import, but it does not prove semantic equality of two sources.</w:t>
      </w:r>
    </w:p>
    <w:p>
      <w:pPr>
        <w:ind w:left="283" w:right="113"/>
        <w:jc w:val="both"/>
      </w:pPr>
      <w:r>
        <w:rPr>
          <w:rFonts w:ascii="DejaVu Serif" w:hAnsi="DejaVu Serif" w:eastAsia="DejaVu Serif"/>
          <w:b/>
          <w:i/>
        </w:rPr>
        <w:t xml:space="preserve">Proof. </w:t>
      </w:r>
      <w:r>
        <w:rPr>
          <w:rFonts w:ascii="DejaVu Serif" w:hAnsi="DejaVu Serif" w:eastAsia="DejaVu Serif"/>
          <w:b w:val="0"/>
          <w:i/>
        </w:rPr>
        <w:t>A second canonicalisation preserves the chosen representative. Semantic equivalence is a separate domain relation not contained in string equality.</w:t>
      </w:r>
    </w:p>
    <w:p>
      <w:pPr>
        <w:pStyle w:val="Heading2"/>
        <w:keepNext/>
      </w:pPr>
      <w:r>
        <w:t>37.4. Real Import Audit</w:t>
      </w:r>
    </w:p>
    <w:p>
      <w:pPr>
        <w:spacing w:before="80" w:after="100"/>
        <w:jc w:val="center"/>
      </w:pPr>
      <w:r>
        <w:rPr>
          <w:rFonts w:ascii="DejaVu Serif" w:hAnsi="DejaVu Serif" w:eastAsia="DejaVu Serif"/>
          <w:b w:val="0"/>
          <w:i w:val="0"/>
          <w:sz w:val="21"/>
        </w:rPr>
        <w:t>N(raw)=46;   N(byte)=45;   N(db)=45;   N(dup)=1</w:t>
      </w:r>
      <w:r>
        <w:rPr>
          <w:rFonts w:ascii="DejaVu Serif" w:hAnsi="DejaVu Serif" w:eastAsia="DejaVu Serif"/>
          <w:b w:val="0"/>
          <w:i/>
          <w:color w:val="6B7280"/>
          <w:sz w:val="17"/>
        </w:rPr>
        <w:t xml:space="preserve">    [RU p. 182]</w:t>
      </w:r>
    </w:p>
    <w:p>
      <w:pPr>
        <w:spacing w:after="80" w:line="269" w:lineRule="auto"/>
        <w:jc w:val="both"/>
      </w:pPr>
      <w:r>
        <w:rPr>
          <w:rFonts w:ascii="DejaVu Serif" w:hAnsi="DejaVu Serif" w:eastAsia="DejaVu Serif"/>
          <w:b w:val="0"/>
          <w:i w:val="0"/>
        </w:rPr>
        <w:t>The count is not retroactively changed to a more convenient value. The certificate stores the raw count, byte-equivalence classes, deduplicated database count, and representative-selection rule.</w:t>
      </w:r>
    </w:p>
    <w:p>
      <w:pPr>
        <w:pStyle w:val="Heading2"/>
        <w:keepNext/>
      </w:pPr>
      <w:r>
        <w:t>37.5. Reproducibility Passport</w:t>
      </w:r>
    </w:p>
    <w:p>
      <w:pPr>
        <w:spacing w:before="80" w:after="100"/>
        <w:jc w:val="center"/>
      </w:pPr>
      <w:r>
        <w:rPr>
          <w:rFonts w:ascii="DejaVu Serif" w:hAnsi="DejaVu Serif" w:eastAsia="DejaVu Serif"/>
          <w:b w:val="0"/>
          <w:i w:val="0"/>
          <w:sz w:val="21"/>
        </w:rPr>
        <w:t>RunID=H(data, schema, adapter, config, code, environment, seed)</w:t>
      </w:r>
      <w:r>
        <w:rPr>
          <w:rFonts w:ascii="DejaVu Serif" w:hAnsi="DejaVu Serif" w:eastAsia="DejaVu Serif"/>
          <w:b w:val="0"/>
          <w:i/>
          <w:color w:val="6B7280"/>
          <w:sz w:val="17"/>
        </w:rPr>
        <w:t xml:space="preserve">    [RU p. 182]</w:t>
      </w:r>
    </w:p>
    <w:p>
      <w:pPr>
        <w:spacing w:after="80" w:line="269" w:lineRule="auto"/>
        <w:jc w:val="both"/>
      </w:pPr>
      <w:r>
        <w:rPr>
          <w:rFonts w:ascii="DejaVu Serif" w:hAnsi="DejaVu Serif" w:eastAsia="DejaVu Serif"/>
          <w:b w:val="0"/>
          <w:i w:val="0"/>
        </w:rPr>
        <w:t>The passport contains data_hash, schema_hash, adapter_hash, config_hash, code_hash, environment_hash, seed, locale, timezone, library_versions, and canonicalization_version. Missing any mandatory component returns Block.</w:t>
      </w:r>
    </w:p>
    <w:p>
      <w:pPr>
        <w:spacing w:before="100" w:after="60"/>
      </w:pPr>
      <w:r>
        <w:rPr>
          <w:rFonts w:ascii="DejaVu Serif" w:hAnsi="DejaVu Serif" w:eastAsia="DejaVu Serif"/>
          <w:b/>
          <w:i w:val="0"/>
          <w:color w:val="173B63"/>
        </w:rPr>
        <w:t xml:space="preserve">Theorem 37.3 - Conditional replay equality [THM]. </w:t>
      </w:r>
      <w:r>
        <w:rPr>
          <w:rFonts w:ascii="DejaVu Serif" w:hAnsi="DejaVu Serif" w:eastAsia="DejaVu Serif"/>
          <w:b w:val="0"/>
          <w:i w:val="0"/>
        </w:rPr>
        <w:t>If the input bytes, all hashed components, deterministic operations, and computation order coincide, the canonical serialised certificate coincides.</w:t>
      </w:r>
    </w:p>
    <w:p>
      <w:pPr>
        <w:ind w:left="283" w:right="113"/>
        <w:jc w:val="both"/>
      </w:pPr>
      <w:r>
        <w:rPr>
          <w:rFonts w:ascii="DejaVu Serif" w:hAnsi="DejaVu Serif" w:eastAsia="DejaVu Serif"/>
          <w:b/>
          <w:i/>
        </w:rPr>
        <w:t xml:space="preserve">Proof. </w:t>
      </w:r>
      <w:r>
        <w:rPr>
          <w:rFonts w:ascii="DejaVu Serif" w:hAnsi="DejaVu Serif" w:eastAsia="DejaVu Serif"/>
          <w:b w:val="0"/>
          <w:i/>
        </w:rPr>
        <w:t>Every stage is a deterministic function of its input and frozen configuration. Substitution of equal arguments yields equal outputs; canonical serialisation removes field-order variation.</w:t>
      </w:r>
    </w:p>
    <w:p>
      <w:pPr>
        <w:spacing w:after="80" w:line="269" w:lineRule="auto"/>
        <w:jc w:val="both"/>
      </w:pPr>
      <w:r>
        <w:rPr>
          <w:rFonts w:ascii="DejaVu Serif" w:hAnsi="DejaVu Serif" w:eastAsia="DejaVu Serif"/>
          <w:b w:val="0"/>
          <w:i w:val="0"/>
        </w:rPr>
        <w:t>Equal certificates prove replay of this route only. They do not prove that the model is correct.</w:t>
      </w:r>
    </w:p>
    <w:p>
      <w:pPr>
        <w:pStyle w:val="Heading2"/>
        <w:keepNext/>
      </w:pPr>
      <w:r>
        <w:t>37.6. Minimum End-to-End Tests</w:t>
      </w:r>
    </w:p>
    <w:p>
      <w:pPr>
        <w:spacing w:after="80" w:line="269" w:lineRule="auto"/>
        <w:jc w:val="both"/>
      </w:pPr>
      <w:r>
        <w:rPr>
          <w:rFonts w:ascii="DejaVu Serif" w:hAnsi="DejaVu Serif" w:eastAsia="DejaVu Serif"/>
          <w:b w:val="0"/>
          <w:i w:val="0"/>
        </w:rPr>
        <w:t>T-E2E-1 schema; T-E2E-2 D subset Dom; T-E2E-3 idempotence; T-E2E-4 provenance; T-E2E-5 units; T-E2E-6 matched-null; T-E2E-7 support-gap; T-E2E-8 local rebuild; T-E2E-9 privacy; T-E2E-10 replay. Replay compares status, branches, blockers, intermediate hashes, and forecast-set boundaries, not only the final number.</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An error becomes a scientific object when the system does not hide it beneath a number. Block is not an absence of knowledge; it is precise knowledge of the point where continuation is not yet authorised.</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E2E-ADAPTER-CERT-v196i8. </w:t>
            </w:r>
            <w:r>
              <w:rPr>
                <w:rFonts w:ascii="DejaVu Serif" w:hAnsi="DejaVu Serif" w:eastAsia="DejaVu Serif"/>
                <w:b w:val="0"/>
                <w:i w:val="0"/>
                <w:sz w:val="18"/>
              </w:rPr>
              <w:t>Result=Ok-or-Block; Block=absorbing; stages=10; D/Dom=distinct; canonicalization=idempotent; round-trip=domain-bounded; import={raw:46,byte:45,db:45,duplicate:1}; provenance=complete; replay=hash-locked; empirical-truth=not-inferred.</w:t>
            </w:r>
          </w:p>
        </w:tc>
      </w:tr>
    </w:tbl>
    <w:p>
      <w:pPr>
        <w:spacing w:after="40"/>
      </w:pPr>
    </w:p>
    <w:p>
      <w:pPr>
        <w:pStyle w:val="Heading1"/>
        <w:keepNext/>
      </w:pPr>
      <w:bookmarkStart w:id="1037" w:name="T1_CH_38"/>
      <w:r>
        <w:t>Chapter 38. Weighted Calibration under Covariate Shift</w:t>
      </w:r>
      <w:bookmarkEnd w:id="1037"/>
    </w:p>
    <w:p>
      <w:pPr>
        <w:spacing w:after="80" w:line="269" w:lineRule="auto"/>
        <w:jc w:val="both"/>
      </w:pPr>
      <w:r>
        <w:rPr>
          <w:rFonts w:ascii="DejaVu Serif" w:hAnsi="DejaVu Serif" w:eastAsia="DejaVu Serif"/>
          <w:b w:val="0"/>
          <w:i w:val="0"/>
        </w:rPr>
        <w:t>Russian source locator: pp. 184-185</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How can calibration be adjusted when the target domain visits states with different frequencies?</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Ordinary ranks cease to be symmetric; density-ratio weights give some observed states a larger target voice.</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Under covariate shift P_S(Y|X)=P_T(Y|X) and P_T(X)&lt;&lt;P_S(X), a weighted conformal quantile includes a special test-point mass at +infinity.</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Unknown, unstable, or infinite weights create a Block. Weighting does not prove causal transportability.</w:t>
            </w:r>
          </w:p>
        </w:tc>
      </w:tr>
    </w:tbl>
    <w:p>
      <w:pPr>
        <w:spacing w:after="40"/>
      </w:pPr>
    </w:p>
    <w:p>
      <w:pPr>
        <w:keepNext/>
        <w:jc w:val="center"/>
      </w:pPr>
      <w:r>
        <w:drawing>
          <wp:inline xmlns:a="http://schemas.openxmlformats.org/drawingml/2006/main" xmlns:pic="http://schemas.openxmlformats.org/drawingml/2006/picture">
            <wp:extent cx="5623560" cy="2510902"/>
            <wp:docPr id="41" name="Picture 41"/>
            <wp:cNvGraphicFramePr>
              <a:graphicFrameLocks noChangeAspect="1"/>
            </wp:cNvGraphicFramePr>
            <a:graphic>
              <a:graphicData uri="http://schemas.openxmlformats.org/drawingml/2006/picture">
                <pic:pic>
                  <pic:nvPicPr>
                    <pic:cNvPr id="0" name="fig38_weighted.png"/>
                    <pic:cNvPicPr/>
                  </pic:nvPicPr>
                  <pic:blipFill>
                    <a:blip r:embed="rId53"/>
                    <a:stretch>
                      <a:fillRect/>
                    </a:stretch>
                  </pic:blipFill>
                  <pic:spPr>
                    <a:xfrm>
                      <a:off x="0" y="0"/>
                      <a:ext cx="5623560" cy="2510902"/>
                    </a:xfrm>
                    <a:prstGeom prst="rect"/>
                  </pic:spPr>
                </pic:pic>
              </a:graphicData>
            </a:graphic>
          </wp:inline>
        </w:drawing>
      </w:r>
    </w:p>
    <w:p>
      <w:pPr>
        <w:pStyle w:val="Caption"/>
        <w:spacing w:before="40" w:after="160"/>
        <w:jc w:val="center"/>
      </w:pPr>
      <w:bookmarkStart w:id="1098" w:name="T1_FIG_040"/>
      <w:r>
        <w:t>Figure 38.1. Weighted calibration requires support, a registered ratio model, and a finite-sample test atom.</w:t>
      </w:r>
      <w:bookmarkEnd w:id="1098"/>
    </w:p>
    <w:p>
      <w:pPr>
        <w:pStyle w:val="Heading2"/>
        <w:keepNext/>
      </w:pPr>
      <w:r>
        <w:t>38.1. Covariate-Shift Model</w:t>
      </w:r>
    </w:p>
    <w:p>
      <w:pPr>
        <w:spacing w:before="80" w:after="100"/>
        <w:jc w:val="center"/>
      </w:pPr>
      <w:r>
        <w:rPr>
          <w:rFonts w:ascii="DejaVu Serif" w:hAnsi="DejaVu Serif" w:eastAsia="DejaVu Serif"/>
          <w:b w:val="0"/>
          <w:i w:val="0"/>
          <w:sz w:val="21"/>
        </w:rPr>
        <w:t>P_S(Y|X)=P_T(Y|X);   w(x)=dP_T(X)/dP_S(X);   P_T(X)&lt;&lt;P_S(X)</w:t>
      </w:r>
      <w:r>
        <w:rPr>
          <w:rFonts w:ascii="DejaVu Serif" w:hAnsi="DejaVu Serif" w:eastAsia="DejaVu Serif"/>
          <w:b w:val="0"/>
          <w:i/>
          <w:color w:val="6B7280"/>
          <w:sz w:val="17"/>
        </w:rPr>
        <w:t xml:space="preserve">    [RU p. 184]</w:t>
      </w:r>
    </w:p>
    <w:p>
      <w:pPr>
        <w:spacing w:after="80" w:line="269" w:lineRule="auto"/>
        <w:jc w:val="both"/>
      </w:pPr>
      <w:r>
        <w:rPr>
          <w:rFonts w:ascii="DejaVu Serif" w:hAnsi="DejaVu Serif" w:eastAsia="DejaVu Serif"/>
          <w:b w:val="0"/>
          <w:i w:val="0"/>
        </w:rPr>
        <w:t>The conditional-law equality is a registered bridge assumption, not a consequence of similar histograms. If P_T(A)&gt;0 but P_S(A)=0, w is undefined on A and the system returns support-gap regardless of the amount of source data outside A.</w:t>
      </w:r>
    </w:p>
    <w:p>
      <w:pPr>
        <w:pStyle w:val="Heading2"/>
        <w:keepNext/>
      </w:pPr>
      <w:r>
        <w:t>38.2. Weighted Prediction Set</w:t>
      </w:r>
    </w:p>
    <w:p>
      <w:pPr>
        <w:spacing w:before="80" w:after="100"/>
        <w:jc w:val="center"/>
      </w:pPr>
      <w:r>
        <w:rPr>
          <w:rFonts w:ascii="DejaVu Serif" w:hAnsi="DejaVu Serif" w:eastAsia="DejaVu Serif"/>
          <w:b w:val="0"/>
          <w:i w:val="0"/>
          <w:sz w:val="21"/>
        </w:rPr>
        <w:t>p_i=w(X_i)/(w(x)+sum_j w(X_j));   p_test=w(x)/(w(x)+sum_j w(X_j))</w:t>
      </w:r>
      <w:r>
        <w:rPr>
          <w:rFonts w:ascii="DejaVu Serif" w:hAnsi="DejaVu Serif" w:eastAsia="DejaVu Serif"/>
          <w:b w:val="0"/>
          <w:i/>
          <w:color w:val="6B7280"/>
          <w:sz w:val="17"/>
        </w:rPr>
        <w:t xml:space="preserve">    [RU p. 184]</w:t>
      </w:r>
    </w:p>
    <w:p>
      <w:pPr>
        <w:spacing w:before="80" w:after="100"/>
        <w:jc w:val="center"/>
      </w:pPr>
      <w:r>
        <w:rPr>
          <w:rFonts w:ascii="DejaVu Serif" w:hAnsi="DejaVu Serif" w:eastAsia="DejaVu Serif"/>
          <w:b w:val="0"/>
          <w:i w:val="0"/>
          <w:sz w:val="21"/>
        </w:rPr>
        <w:t>C_alpha(x)={y : s(x,y)&lt;=Q_(1-alpha)(sum_i p_i delta_(s_i) + p_test delta_(+infinity))}</w:t>
      </w:r>
      <w:r>
        <w:rPr>
          <w:rFonts w:ascii="DejaVu Serif" w:hAnsi="DejaVu Serif" w:eastAsia="DejaVu Serif"/>
          <w:b w:val="0"/>
          <w:i/>
          <w:color w:val="6B7280"/>
          <w:sz w:val="17"/>
        </w:rPr>
        <w:t xml:space="preserve">    [RU p. 184]</w:t>
      </w:r>
    </w:p>
    <w:p>
      <w:pPr>
        <w:spacing w:before="100" w:after="60"/>
      </w:pPr>
      <w:r>
        <w:rPr>
          <w:rFonts w:ascii="DejaVu Serif" w:hAnsi="DejaVu Serif" w:eastAsia="DejaVu Serif"/>
          <w:b/>
          <w:i w:val="0"/>
          <w:color w:val="173B63"/>
        </w:rPr>
        <w:t xml:space="preserve">Theorem 38.1 - Conditional weighted coverage [THM]. </w:t>
      </w:r>
      <w:r>
        <w:rPr>
          <w:rFonts w:ascii="DejaVu Serif" w:hAnsi="DejaVu Serif" w:eastAsia="DejaVu Serif"/>
          <w:b w:val="0"/>
          <w:i w:val="0"/>
        </w:rPr>
        <w:t>Under a correct density ratio, invariant P(Y|X), independent calibration, and a registered score, the weighted conformal construction achieves target marginal coverage at least 1-alpha.</w:t>
      </w:r>
    </w:p>
    <w:p>
      <w:pPr>
        <w:ind w:left="283" w:right="113"/>
        <w:jc w:val="both"/>
      </w:pPr>
      <w:r>
        <w:rPr>
          <w:rFonts w:ascii="DejaVu Serif" w:hAnsi="DejaVu Serif" w:eastAsia="DejaVu Serif"/>
          <w:b/>
          <w:i/>
        </w:rPr>
        <w:t xml:space="preserve">Proof. </w:t>
      </w:r>
      <w:r>
        <w:rPr>
          <w:rFonts w:ascii="DejaVu Serif" w:hAnsi="DejaVu Serif" w:eastAsia="DejaVu Serif"/>
          <w:b w:val="0"/>
          <w:i/>
        </w:rPr>
        <w:t>After weighting, the probability of each position in the combined sample is proportional to its target density. The weighted upper-tail rank is at most alpha; the +infinity atom preserves finite-sample conservatism.</w:t>
      </w:r>
    </w:p>
    <w:p>
      <w:pPr>
        <w:pStyle w:val="Heading2"/>
        <w:keepNext/>
      </w:pPr>
      <w:r>
        <w:t>38.3. What the Guarantee Does Not Say</w:t>
      </w:r>
    </w:p>
    <w:p>
      <w:pPr>
        <w:spacing w:after="80" w:line="269" w:lineRule="auto"/>
        <w:jc w:val="both"/>
      </w:pPr>
      <w:r>
        <w:rPr>
          <w:rFonts w:ascii="DejaVu Serif" w:hAnsi="DejaVu Serif" w:eastAsia="DejaVu Serif"/>
          <w:b w:val="0"/>
          <w:i w:val="0"/>
        </w:rPr>
        <w:t>Coverage remains marginal under the target law. It is not pointwise conditional coverage, does not establish causal transport, and does not permit changing the score after target responses are observed. Estimated weights add uncertainty; reusing the same target sample for weight fitting and coverage assessment requires sample splitting or another theorem.</w:t>
      </w:r>
    </w:p>
    <w:p>
      <w:pPr>
        <w:pStyle w:val="Heading2"/>
        <w:keepNext/>
      </w:pPr>
      <w:r>
        <w:t>38.4. Effective Size and Weight Instability</w:t>
      </w:r>
    </w:p>
    <w:p>
      <w:pPr>
        <w:spacing w:before="80" w:after="100"/>
        <w:jc w:val="center"/>
      </w:pPr>
      <w:r>
        <w:rPr>
          <w:rFonts w:ascii="DejaVu Serif" w:hAnsi="DejaVu Serif" w:eastAsia="DejaVu Serif"/>
          <w:b w:val="0"/>
          <w:i w:val="0"/>
          <w:sz w:val="21"/>
        </w:rPr>
        <w:t>N_eff=(sum_i w_i)^2 / sum_i w_i^2</w:t>
      </w:r>
      <w:r>
        <w:rPr>
          <w:rFonts w:ascii="DejaVu Serif" w:hAnsi="DejaVu Serif" w:eastAsia="DejaVu Serif"/>
          <w:b w:val="0"/>
          <w:i/>
          <w:color w:val="6B7280"/>
          <w:sz w:val="17"/>
        </w:rPr>
        <w:t xml:space="preserve">    [RU p. 184]</w:t>
      </w:r>
    </w:p>
    <w:p>
      <w:pPr>
        <w:spacing w:after="80" w:line="269" w:lineRule="auto"/>
        <w:jc w:val="both"/>
      </w:pPr>
      <w:r>
        <w:rPr>
          <w:rFonts w:ascii="DejaVu Serif" w:hAnsi="DejaVu Serif" w:eastAsia="DejaVu Serif"/>
          <w:b w:val="0"/>
          <w:i w:val="0"/>
        </w:rPr>
        <w:t>N_eff is a diagnostic of weight concentration, not an exact number of independent observations. A preregistered lower threshold N_eff,min is evaluated before target outcomes. Failure yields status=weight-instability and prevents truth promotion.</w:t>
      </w:r>
    </w:p>
    <w:p>
      <w:pPr>
        <w:pStyle w:val="Heading2"/>
        <w:keepNext/>
      </w:pPr>
      <w:r>
        <w:t>38.5. Robustness over a Weight Set</w:t>
      </w:r>
    </w:p>
    <w:p>
      <w:pPr>
        <w:spacing w:before="80" w:after="100"/>
        <w:jc w:val="center"/>
      </w:pPr>
      <w:r>
        <w:rPr>
          <w:rFonts w:ascii="DejaVu Serif" w:hAnsi="DejaVu Serif" w:eastAsia="DejaVu Serif"/>
          <w:b w:val="0"/>
          <w:i w:val="0"/>
          <w:sz w:val="21"/>
        </w:rPr>
        <w:t>C_alpha^rob(x)=union_{w in W} C_alpha^w(x)</w:t>
      </w:r>
      <w:r>
        <w:rPr>
          <w:rFonts w:ascii="DejaVu Serif" w:hAnsi="DejaVu Serif" w:eastAsia="DejaVu Serif"/>
          <w:b w:val="0"/>
          <w:i/>
          <w:color w:val="6B7280"/>
          <w:sz w:val="17"/>
        </w:rPr>
        <w:t xml:space="preserve">    [RU p. 185]</w:t>
      </w:r>
    </w:p>
    <w:p>
      <w:pPr>
        <w:spacing w:before="100" w:after="60"/>
      </w:pPr>
      <w:r>
        <w:rPr>
          <w:rFonts w:ascii="DejaVu Serif" w:hAnsi="DejaVu Serif" w:eastAsia="DejaVu Serif"/>
          <w:b/>
          <w:i w:val="0"/>
          <w:color w:val="173B63"/>
        </w:rPr>
        <w:t xml:space="preserve">Proposition 38.2 - Robust union [PROP]. </w:t>
      </w:r>
      <w:r>
        <w:rPr>
          <w:rFonts w:ascii="DejaVu Serif" w:hAnsi="DejaVu Serif" w:eastAsia="DejaVu Serif"/>
          <w:b w:val="0"/>
          <w:i w:val="0"/>
        </w:rPr>
        <w:t>If the true weight belongs to the registered set W and its corridor has coverage 1-alpha, the union corridor has no smaller coverage.</w:t>
      </w:r>
    </w:p>
    <w:p>
      <w:pPr>
        <w:ind w:left="283" w:right="113"/>
        <w:jc w:val="both"/>
      </w:pPr>
      <w:r>
        <w:rPr>
          <w:rFonts w:ascii="DejaVu Serif" w:hAnsi="DejaVu Serif" w:eastAsia="DejaVu Serif"/>
          <w:b/>
          <w:i/>
        </w:rPr>
        <w:t xml:space="preserve">Proof. </w:t>
      </w:r>
      <w:r>
        <w:rPr>
          <w:rFonts w:ascii="DejaVu Serif" w:hAnsi="DejaVu Serif" w:eastAsia="DejaVu Serif"/>
          <w:b w:val="0"/>
          <w:i/>
        </w:rPr>
        <w:t>The true-weight corridor is contained in the union, so its coverage event implies union coverage.</w:t>
      </w:r>
    </w:p>
    <w:p>
      <w:pPr>
        <w:spacing w:after="80" w:line="269" w:lineRule="auto"/>
        <w:jc w:val="both"/>
      </w:pPr>
      <w:r>
        <w:rPr>
          <w:rFonts w:ascii="DejaVu Serif" w:hAnsi="DejaVu Serif" w:eastAsia="DejaVu Serif"/>
          <w:b w:val="0"/>
          <w:i w:val="0"/>
        </w:rPr>
        <w:t>Robustness costs width. If W is so broad that the union is practically uninformative, the strict output is ABSTAIN rather than post-result narrowing of W.</w:t>
      </w:r>
    </w:p>
    <w:p>
      <w:pPr>
        <w:pStyle w:val="Heading2"/>
        <w:keepNext/>
      </w:pPr>
      <w:r>
        <w:t>38.6. Transfer Registration Card</w:t>
      </w:r>
    </w:p>
    <w:p>
      <w:pPr>
        <w:spacing w:after="80" w:line="269" w:lineRule="auto"/>
        <w:jc w:val="both"/>
      </w:pPr>
      <w:r>
        <w:rPr>
          <w:rFonts w:ascii="DejaVu Serif" w:hAnsi="DejaVu Serif" w:eastAsia="DejaVu Serif"/>
          <w:b w:val="0"/>
          <w:i w:val="0"/>
        </w:rPr>
        <w:t>The card stores source_population, target_population, inclusion rules, support audit, weight model, weight-training split, clipping rule, W, N_eff,min, alpha, score, horizon, and publication rule. Weight clipping changes the effective target measure; its threshold and bias analysis must be preregistered.</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A weight does not itself transport the phenomenon. It recognises that some observed states must speak more loudly than others. Where the target world reveals what the source never saw, the weight must fall silent.</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TRANSFER-CAL-CERT-v196i8. </w:t>
            </w:r>
            <w:r>
              <w:rPr>
                <w:rFonts w:ascii="DejaVu Serif" w:hAnsi="DejaVu Serif" w:eastAsia="DejaVu Serif"/>
                <w:b w:val="0"/>
                <w:i w:val="0"/>
                <w:sz w:val="18"/>
              </w:rPr>
              <w:t>shift=covariate-only; support=P_T&lt;&lt;P_S; conditional-law=invariant; weights=registered; test-atom=plus-infinity; coverage=target-marginal-conditional-on-assumptions; N_eff=diagnostic; unknown-weight=robust-union-or-ABSTAIN; causal-transfer=not-claimed.</w:t>
            </w:r>
          </w:p>
        </w:tc>
      </w:tr>
    </w:tbl>
    <w:p>
      <w:pPr>
        <w:spacing w:after="40"/>
      </w:pPr>
    </w:p>
    <w:p>
      <w:pPr>
        <w:pStyle w:val="Heading1"/>
        <w:keepNext/>
      </w:pPr>
      <w:bookmarkStart w:id="1038" w:name="T1_CH_39"/>
      <w:r>
        <w:t>Chapter 39. E-Processes, Ville Inequality, and Optional Stopping</w:t>
      </w:r>
      <w:bookmarkEnd w:id="1038"/>
    </w:p>
    <w:p>
      <w:pPr>
        <w:spacing w:after="80" w:line="269" w:lineRule="auto"/>
        <w:jc w:val="both"/>
      </w:pPr>
      <w:r>
        <w:rPr>
          <w:rFonts w:ascii="DejaVu Serif" w:hAnsi="DejaVu Serif" w:eastAsia="DejaVu Serif"/>
          <w:b w:val="0"/>
          <w:i w:val="0"/>
        </w:rPr>
        <w:t>Russian source locator: pp. 186-187</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How can evidence be monitored repeatedly without inflating a fixed-sample error claim?</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The rule for looking through time must be written before the result. A nonnegative supermartingale controls its running maximum.</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An e-process starts at one, remains nonnegative, and obeys a conditional supermartingale inequality under the registered null; Ville gives an anytime-valid boundary.</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The stake must be predictable from the past and the guarantee applies only to the preregistered null and data stream.</w:t>
            </w:r>
          </w:p>
        </w:tc>
      </w:tr>
    </w:tbl>
    <w:p>
      <w:pPr>
        <w:spacing w:after="40"/>
      </w:pPr>
    </w:p>
    <w:p>
      <w:pPr>
        <w:keepNext/>
        <w:jc w:val="center"/>
      </w:pPr>
      <w:r>
        <w:drawing>
          <wp:inline xmlns:a="http://schemas.openxmlformats.org/drawingml/2006/main" xmlns:pic="http://schemas.openxmlformats.org/drawingml/2006/picture">
            <wp:extent cx="5623560" cy="2510902"/>
            <wp:docPr id="42" name="Picture 42"/>
            <wp:cNvGraphicFramePr>
              <a:graphicFrameLocks noChangeAspect="1"/>
            </wp:cNvGraphicFramePr>
            <a:graphic>
              <a:graphicData uri="http://schemas.openxmlformats.org/drawingml/2006/picture">
                <pic:pic>
                  <pic:nvPicPr>
                    <pic:cNvPr id="0" name="fig39_eprocess.png"/>
                    <pic:cNvPicPr/>
                  </pic:nvPicPr>
                  <pic:blipFill>
                    <a:blip r:embed="rId54"/>
                    <a:stretch>
                      <a:fillRect/>
                    </a:stretch>
                  </pic:blipFill>
                  <pic:spPr>
                    <a:xfrm>
                      <a:off x="0" y="0"/>
                      <a:ext cx="5623560" cy="2510902"/>
                    </a:xfrm>
                    <a:prstGeom prst="rect"/>
                  </pic:spPr>
                </pic:pic>
              </a:graphicData>
            </a:graphic>
          </wp:inline>
        </w:drawing>
      </w:r>
    </w:p>
    <w:p>
      <w:pPr>
        <w:pStyle w:val="Caption"/>
        <w:spacing w:before="40" w:after="160"/>
        <w:jc w:val="center"/>
      </w:pPr>
      <w:bookmarkStart w:id="1099" w:name="T1_FIG_041"/>
      <w:r>
        <w:t>Figure 39.1. Predictable e-factors accumulate into an anytime-valid process with a fixed boundary.</w:t>
      </w:r>
      <w:bookmarkEnd w:id="1099"/>
    </w:p>
    <w:p>
      <w:pPr>
        <w:pStyle w:val="Heading2"/>
        <w:keepNext/>
      </w:pPr>
      <w:r>
        <w:t>39.1. Filtration and Predictability</w:t>
      </w:r>
    </w:p>
    <w:p>
      <w:pPr>
        <w:spacing w:before="80" w:after="100"/>
        <w:jc w:val="center"/>
      </w:pPr>
      <w:r>
        <w:rPr>
          <w:rFonts w:ascii="DejaVu Serif" w:hAnsi="DejaVu Serif" w:eastAsia="DejaVu Serif"/>
          <w:b w:val="0"/>
          <w:i w:val="0"/>
          <w:sz w:val="21"/>
        </w:rPr>
        <w:t>E(0)=1;   E(t)&gt;=0;   E[E(t)|F(t-1)]&lt;=E(t-1)</w:t>
      </w:r>
      <w:r>
        <w:rPr>
          <w:rFonts w:ascii="DejaVu Serif" w:hAnsi="DejaVu Serif" w:eastAsia="DejaVu Serif"/>
          <w:b w:val="0"/>
          <w:i/>
          <w:color w:val="6B7280"/>
          <w:sz w:val="17"/>
        </w:rPr>
        <w:t xml:space="preserve">    [RU p. 186]</w:t>
      </w:r>
    </w:p>
    <w:p>
      <w:pPr>
        <w:spacing w:after="80" w:line="269" w:lineRule="auto"/>
        <w:jc w:val="both"/>
      </w:pPr>
      <w:r>
        <w:rPr>
          <w:rFonts w:ascii="DejaVu Serif" w:hAnsi="DejaVu Serif" w:eastAsia="DejaVu Serif"/>
          <w:b w:val="0"/>
          <w:i w:val="0"/>
        </w:rPr>
        <w:t>F(t) is the information available after step t. A stake lambda(t) must be chosen using F(t-1). Using the current outcome to choose lambda(t) violates predictability and creates invalid-sequential-null.</w:t>
      </w:r>
    </w:p>
    <w:p>
      <w:pPr>
        <w:pStyle w:val="Heading2"/>
        <w:keepNext/>
      </w:pPr>
      <w:r>
        <w:t>39.2. Ville Inequality</w:t>
      </w:r>
    </w:p>
    <w:p>
      <w:pPr>
        <w:spacing w:before="80" w:after="100"/>
        <w:jc w:val="center"/>
      </w:pPr>
      <w:r>
        <w:rPr>
          <w:rFonts w:ascii="DejaVu Serif" w:hAnsi="DejaVu Serif" w:eastAsia="DejaVu Serif"/>
          <w:b w:val="0"/>
          <w:i w:val="0"/>
          <w:sz w:val="21"/>
        </w:rPr>
        <w:t>P_0{sup_t E(t) &gt;= 1/alpha} &lt;= alpha</w:t>
      </w:r>
      <w:r>
        <w:rPr>
          <w:rFonts w:ascii="DejaVu Serif" w:hAnsi="DejaVu Serif" w:eastAsia="DejaVu Serif"/>
          <w:b w:val="0"/>
          <w:i/>
          <w:color w:val="6B7280"/>
          <w:sz w:val="17"/>
        </w:rPr>
        <w:t xml:space="preserve">    [RU p. 186]</w:t>
      </w:r>
    </w:p>
    <w:p>
      <w:pPr>
        <w:spacing w:before="100" w:after="60"/>
      </w:pPr>
      <w:r>
        <w:rPr>
          <w:rFonts w:ascii="DejaVu Serif" w:hAnsi="DejaVu Serif" w:eastAsia="DejaVu Serif"/>
          <w:b/>
          <w:i w:val="0"/>
          <w:color w:val="173B63"/>
        </w:rPr>
        <w:t xml:space="preserve">Theorem 39.1 - Ville inequality [THM]. </w:t>
      </w:r>
      <w:r>
        <w:rPr>
          <w:rFonts w:ascii="DejaVu Serif" w:hAnsi="DejaVu Serif" w:eastAsia="DejaVu Serif"/>
          <w:b w:val="0"/>
          <w:i w:val="0"/>
        </w:rPr>
        <w:t>For a nonnegative supermartingale E(t) with E(0)&lt;=1 and alpha in (0,1), P_0(sup_t E(t)&gt;=1/alpha)&lt;=alpha.</w:t>
      </w:r>
    </w:p>
    <w:p>
      <w:pPr>
        <w:ind w:left="283" w:right="113"/>
        <w:jc w:val="both"/>
      </w:pPr>
      <w:r>
        <w:rPr>
          <w:rFonts w:ascii="DejaVu Serif" w:hAnsi="DejaVu Serif" w:eastAsia="DejaVu Serif"/>
          <w:b/>
          <w:i/>
        </w:rPr>
        <w:t xml:space="preserve">Proof. </w:t>
      </w:r>
      <w:r>
        <w:rPr>
          <w:rFonts w:ascii="DejaVu Serif" w:hAnsi="DejaVu Serif" w:eastAsia="DejaVu Serif"/>
          <w:b w:val="0"/>
          <w:i/>
        </w:rPr>
        <w:t>Let tau be the first crossing of 1/alpha, truncated at T. Optional stopping for a nonnegative supermartingale gives E[E(tau wedge T)]&lt;=1. On {tau&lt;=T} the value is at least 1/alpha, so P(tau&lt;=T)&lt;=alpha. Let T tend to infinity.</w:t>
      </w:r>
    </w:p>
    <w:p>
      <w:pPr>
        <w:spacing w:after="80" w:line="269" w:lineRule="auto"/>
        <w:jc w:val="both"/>
      </w:pPr>
      <w:r>
        <w:rPr>
          <w:rFonts w:ascii="DejaVu Serif" w:hAnsi="DejaVu Serif" w:eastAsia="DejaVu Serif"/>
          <w:b w:val="0"/>
          <w:i w:val="0"/>
        </w:rPr>
        <w:t>Stopping at the first crossing preserves level alpha. It does not permit changing the null, loss, or data stream.</w:t>
      </w:r>
    </w:p>
    <w:p>
      <w:pPr>
        <w:pStyle w:val="Heading2"/>
        <w:keepNext/>
      </w:pPr>
      <w:r>
        <w:t>39.3. Bounded-Gain Example</w:t>
      </w:r>
    </w:p>
    <w:p>
      <w:pPr>
        <w:spacing w:before="80" w:after="100"/>
        <w:jc w:val="center"/>
      </w:pPr>
      <w:r>
        <w:rPr>
          <w:rFonts w:ascii="DejaVu Serif" w:hAnsi="DejaVu Serif" w:eastAsia="DejaVu Serif"/>
          <w:b w:val="0"/>
          <w:i w:val="0"/>
          <w:sz w:val="21"/>
        </w:rPr>
        <w:t>e(t)=1+lambda(t)X(t);   E(t)=product_{s=1}^t e(s)</w:t>
      </w:r>
      <w:r>
        <w:rPr>
          <w:rFonts w:ascii="DejaVu Serif" w:hAnsi="DejaVu Serif" w:eastAsia="DejaVu Serif"/>
          <w:b w:val="0"/>
          <w:i/>
          <w:color w:val="6B7280"/>
          <w:sz w:val="17"/>
        </w:rPr>
        <w:t xml:space="preserve">    [RU p. 186]</w:t>
      </w:r>
    </w:p>
    <w:p>
      <w:pPr>
        <w:spacing w:after="80" w:line="269" w:lineRule="auto"/>
        <w:jc w:val="both"/>
      </w:pPr>
      <w:r>
        <w:rPr>
          <w:rFonts w:ascii="DejaVu Serif" w:hAnsi="DejaVu Serif" w:eastAsia="DejaVu Serif"/>
          <w:b w:val="0"/>
          <w:i w:val="0"/>
        </w:rPr>
        <w:t>Let X(t) lie in [-1,1] and satisfy E[X(t)|F(t-1)]&lt;=0 under H0. For predictable lambda(t) in [0,1], e(t) is nonnegative and has conditional mean at most one, so the product is a nonnegative supermartingale. X(t) must be defined before the current response as a difference between registered losses of the method and matched-null.</w:t>
      </w:r>
    </w:p>
    <w:p>
      <w:pPr>
        <w:pStyle w:val="Heading2"/>
        <w:keepNext/>
      </w:pPr>
      <w:r>
        <w:t>39.4. Mixture of Stakes</w:t>
      </w:r>
    </w:p>
    <w:p>
      <w:pPr>
        <w:spacing w:before="80" w:after="100"/>
        <w:jc w:val="center"/>
      </w:pPr>
      <w:r>
        <w:rPr>
          <w:rFonts w:ascii="DejaVu Serif" w:hAnsi="DejaVu Serif" w:eastAsia="DejaVu Serif"/>
          <w:b w:val="0"/>
          <w:i w:val="0"/>
          <w:sz w:val="21"/>
        </w:rPr>
        <w:t>E_mix(t)=sum_k pi_k E_k(t);   pi_k&gt;=0;   sum_k pi_k=1</w:t>
      </w:r>
      <w:r>
        <w:rPr>
          <w:rFonts w:ascii="DejaVu Serif" w:hAnsi="DejaVu Serif" w:eastAsia="DejaVu Serif"/>
          <w:b w:val="0"/>
          <w:i/>
          <w:color w:val="6B7280"/>
          <w:sz w:val="17"/>
        </w:rPr>
        <w:t xml:space="preserve">    [RU p. 186]</w:t>
      </w:r>
    </w:p>
    <w:p>
      <w:pPr>
        <w:spacing w:before="100" w:after="60"/>
      </w:pPr>
      <w:r>
        <w:rPr>
          <w:rFonts w:ascii="DejaVu Serif" w:hAnsi="DejaVu Serif" w:eastAsia="DejaVu Serif"/>
          <w:b/>
          <w:i w:val="0"/>
          <w:color w:val="173B63"/>
        </w:rPr>
        <w:t xml:space="preserve">Proposition 39.2 - Mixtures preserve e-validity [PROP]. </w:t>
      </w:r>
      <w:r>
        <w:rPr>
          <w:rFonts w:ascii="DejaVu Serif" w:hAnsi="DejaVu Serif" w:eastAsia="DejaVu Serif"/>
          <w:b w:val="0"/>
          <w:i w:val="0"/>
        </w:rPr>
        <w:t>A nonnegative convex combination of e-processes is an e-process.</w:t>
      </w:r>
    </w:p>
    <w:p>
      <w:pPr>
        <w:ind w:left="283" w:right="113"/>
        <w:jc w:val="both"/>
      </w:pPr>
      <w:r>
        <w:rPr>
          <w:rFonts w:ascii="DejaVu Serif" w:hAnsi="DejaVu Serif" w:eastAsia="DejaVu Serif"/>
          <w:b/>
          <w:i/>
        </w:rPr>
        <w:t xml:space="preserve">Proof. </w:t>
      </w:r>
      <w:r>
        <w:rPr>
          <w:rFonts w:ascii="DejaVu Serif" w:hAnsi="DejaVu Serif" w:eastAsia="DejaVu Serif"/>
          <w:b w:val="0"/>
          <w:i/>
        </w:rPr>
        <w:t>Convex combination preserves nonnegativity, initial expectation at most one, and the conditional supermartingale inequality.</w:t>
      </w:r>
    </w:p>
    <w:p>
      <w:pPr>
        <w:pStyle w:val="Heading2"/>
        <w:keepNext/>
      </w:pPr>
      <w:r>
        <w:t>39.5. Versioning after Rebuilding</w:t>
      </w:r>
    </w:p>
    <w:p>
      <w:pPr>
        <w:spacing w:after="80" w:line="269" w:lineRule="auto"/>
        <w:jc w:val="both"/>
      </w:pPr>
      <w:r>
        <w:rPr>
          <w:rFonts w:ascii="DejaVu Serif" w:hAnsi="DejaVu Serif" w:eastAsia="DejaVu Serif"/>
          <w:b w:val="0"/>
          <w:i w:val="0"/>
        </w:rPr>
        <w:t>A local model rebuild changes the law of future gains. Continuation is permitted only when the rebuilding rule and updated stake were part of the null contract. Otherwise the current e-process closes and the new version starts from E(v,0)=1 with its own alpha budget. Old maximum evidence is not transferred as starting capital.</w:t>
      </w:r>
    </w:p>
    <w:p>
      <w:pPr>
        <w:pStyle w:val="Heading2"/>
        <w:keepNext/>
      </w:pPr>
      <w:r>
        <w:t>39.6. E-Value, P-Value, and Truth Layer</w:t>
      </w:r>
    </w:p>
    <w:p>
      <w:pPr>
        <w:spacing w:after="80" w:line="269" w:lineRule="auto"/>
        <w:jc w:val="both"/>
      </w:pPr>
      <w:r>
        <w:rPr>
          <w:rFonts w:ascii="DejaVu Serif" w:hAnsi="DejaVu Serif" w:eastAsia="DejaVu Serif"/>
          <w:b w:val="0"/>
          <w:i w:val="0"/>
        </w:rPr>
        <w:t>The truncated reciprocal of the running maximum is an anytime-valid p-process in the stated setting. It is statistical evidence against H0, not the probability that the authorial theory is true. A threshold crossing does not replace provenance, D/Dom, support, CGI&lt;1, an external corpus, or the publication gate.</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Optional stopping tests not the patience of the investigator but the form of expectation. Rigour begins when the rule of looking through time is written before the result.</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SEQ-E-CERT-v196i8. </w:t>
            </w:r>
            <w:r>
              <w:rPr>
                <w:rFonts w:ascii="DejaVu Serif" w:hAnsi="DejaVu Serif" w:eastAsia="DejaVu Serif"/>
                <w:b w:val="0"/>
                <w:i w:val="0"/>
                <w:sz w:val="18"/>
              </w:rPr>
              <w:t>filtration=explicit; E0=1; nonnegative=yes; supermartingale-under-null=yes; stake=predictable; boundary=1/alpha; optional-stopping=Ville-valid; rebuild=new-version-unless-predeclared; version-budget=sum-alpha; truth-probability=not-claimed.</w:t>
            </w:r>
          </w:p>
        </w:tc>
      </w:tr>
    </w:tbl>
    <w:p>
      <w:pPr>
        <w:spacing w:after="40"/>
      </w:pPr>
    </w:p>
    <w:p>
      <w:pPr>
        <w:pStyle w:val="Heading1"/>
        <w:keepNext/>
      </w:pPr>
      <w:bookmarkStart w:id="1039" w:name="T1_CH_40"/>
      <w:r>
        <w:t>Chapter 40. Aggregation of PN.2 Branches and Regret Bounds</w:t>
      </w:r>
      <w:bookmarkEnd w:id="1039"/>
    </w:p>
    <w:p>
      <w:pPr>
        <w:spacing w:after="80" w:line="269" w:lineRule="auto"/>
        <w:jc w:val="both"/>
      </w:pPr>
      <w:r>
        <w:rPr>
          <w:rFonts w:ascii="DejaVu Serif" w:hAnsi="DejaVu Serif" w:eastAsia="DejaVu Serif"/>
          <w:b w:val="0"/>
          <w:i w:val="0"/>
        </w:rPr>
        <w:t>Russian source locator: pp. 188-189</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How can several registered PN.2 branches be compared without silently declaring one branch true?</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The system treats branches as experts, learns their predictive weights, and keeps abstention as an explicit expert.</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Exponential weights control cumulative regret relative to the best fixed registered branch under bounded losses.</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Small regret is neither a coverage guarantee nor evidence that the highest-weight branch is ontologically true.</w:t>
            </w:r>
          </w:p>
        </w:tc>
      </w:tr>
    </w:tbl>
    <w:p>
      <w:pPr>
        <w:spacing w:after="40"/>
      </w:pPr>
    </w:p>
    <w:p>
      <w:pPr>
        <w:keepNext/>
        <w:jc w:val="center"/>
      </w:pPr>
      <w:r>
        <w:drawing>
          <wp:inline xmlns:a="http://schemas.openxmlformats.org/drawingml/2006/main" xmlns:pic="http://schemas.openxmlformats.org/drawingml/2006/picture">
            <wp:extent cx="5623560" cy="2471546"/>
            <wp:docPr id="43" name="Picture 43"/>
            <wp:cNvGraphicFramePr>
              <a:graphicFrameLocks noChangeAspect="1"/>
            </wp:cNvGraphicFramePr>
            <a:graphic>
              <a:graphicData uri="http://schemas.openxmlformats.org/drawingml/2006/picture">
                <pic:pic>
                  <pic:nvPicPr>
                    <pic:cNvPr id="0" name="fig40_hedge.png"/>
                    <pic:cNvPicPr/>
                  </pic:nvPicPr>
                  <pic:blipFill>
                    <a:blip r:embed="rId55"/>
                    <a:stretch>
                      <a:fillRect/>
                    </a:stretch>
                  </pic:blipFill>
                  <pic:spPr>
                    <a:xfrm>
                      <a:off x="0" y="0"/>
                      <a:ext cx="5623560" cy="2471546"/>
                    </a:xfrm>
                    <a:prstGeom prst="rect"/>
                  </pic:spPr>
                </pic:pic>
              </a:graphicData>
            </a:graphic>
          </wp:inline>
        </w:drawing>
      </w:r>
    </w:p>
    <w:p>
      <w:pPr>
        <w:pStyle w:val="Caption"/>
        <w:spacing w:before="40" w:after="160"/>
        <w:jc w:val="center"/>
      </w:pPr>
      <w:bookmarkStart w:id="1100" w:name="T1_FIG_042"/>
      <w:r>
        <w:t>Figure 40.1. PN.2 branches are registered experts; regret, coverage, and truth remain separate channels.</w:t>
      </w:r>
      <w:bookmarkEnd w:id="1100"/>
    </w:p>
    <w:p>
      <w:pPr>
        <w:pStyle w:val="Heading2"/>
        <w:keepNext/>
      </w:pPr>
      <w:r>
        <w:t>40.1. Registered Experts</w:t>
      </w:r>
    </w:p>
    <w:p>
      <w:pPr>
        <w:spacing w:after="80" w:line="269" w:lineRule="auto"/>
        <w:jc w:val="both"/>
      </w:pPr>
      <w:r>
        <w:rPr>
          <w:rFonts w:ascii="DejaVu Serif" w:hAnsi="DejaVu Serif" w:eastAsia="DejaVu Serif"/>
          <w:b w:val="0"/>
          <w:i w:val="0"/>
        </w:rPr>
        <w:t>Let b=1,...,K be branches fixed before the data stream. Each branch outputs a forecast or ABSTAIN and incurs a bounded loss ell(t,b) in [0,1]. The KMA set {1/2,1/3,3/4,2/3,2,3} remains search metadata only: a match neither creates an expert nor closes a branch.</w:t>
      </w:r>
    </w:p>
    <w:p>
      <w:pPr>
        <w:pStyle w:val="Heading2"/>
        <w:keepNext/>
      </w:pPr>
      <w:r>
        <w:t>40.2. Exponential Weights</w:t>
      </w:r>
    </w:p>
    <w:p>
      <w:pPr>
        <w:spacing w:before="80" w:after="100"/>
        <w:jc w:val="center"/>
      </w:pPr>
      <w:r>
        <w:rPr>
          <w:rFonts w:ascii="DejaVu Serif" w:hAnsi="DejaVu Serif" w:eastAsia="DejaVu Serif"/>
          <w:b w:val="0"/>
          <w:i w:val="0"/>
          <w:sz w:val="21"/>
        </w:rPr>
        <w:t>W(1,b)=1;   W(t+1,b)=W(t,b) exp(-eta ell(t,b));   p(t,b)=W(t,b)/sum_j W(t,j)</w:t>
      </w:r>
      <w:r>
        <w:rPr>
          <w:rFonts w:ascii="DejaVu Serif" w:hAnsi="DejaVu Serif" w:eastAsia="DejaVu Serif"/>
          <w:b w:val="0"/>
          <w:i/>
          <w:color w:val="6B7280"/>
          <w:sz w:val="17"/>
        </w:rPr>
        <w:t xml:space="preserve">    [RU p. 188]</w:t>
      </w:r>
    </w:p>
    <w:p>
      <w:pPr>
        <w:spacing w:before="100" w:after="60"/>
      </w:pPr>
      <w:r>
        <w:rPr>
          <w:rFonts w:ascii="DejaVu Serif" w:hAnsi="DejaVu Serif" w:eastAsia="DejaVu Serif"/>
          <w:b/>
          <w:i w:val="0"/>
          <w:color w:val="173B63"/>
        </w:rPr>
        <w:t xml:space="preserve">Theorem 40.1 - Hedge regret bound [THM]. </w:t>
      </w:r>
      <w:r>
        <w:rPr>
          <w:rFonts w:ascii="DejaVu Serif" w:hAnsi="DejaVu Serif" w:eastAsia="DejaVu Serif"/>
          <w:b w:val="0"/>
          <w:i w:val="0"/>
        </w:rPr>
        <w:t>For losses in [0,1], the expected cumulative loss L(T) of the mixture satisfies L(T)-min_b L(T,b) &lt;= ln(K)/eta + eta T/8.</w:t>
      </w:r>
    </w:p>
    <w:p>
      <w:pPr>
        <w:ind w:left="283" w:right="113"/>
        <w:jc w:val="both"/>
      </w:pPr>
      <w:r>
        <w:rPr>
          <w:rFonts w:ascii="DejaVu Serif" w:hAnsi="DejaVu Serif" w:eastAsia="DejaVu Serif"/>
          <w:b/>
          <w:i/>
        </w:rPr>
        <w:t xml:space="preserve">Proof. </w:t>
      </w:r>
      <w:r>
        <w:rPr>
          <w:rFonts w:ascii="DejaVu Serif" w:hAnsi="DejaVu Serif" w:eastAsia="DejaVu Serif"/>
          <w:b w:val="0"/>
          <w:i/>
        </w:rPr>
        <w:t>Let Z(t)=sum_b W(t,b). The lower bound ln Z(T+1)&gt;=-eta min_b L(T,b) follows from retaining the best branch term. Hoeffding's lemma gives ln(Z(t+1)/Z(t))&lt;=-eta &lt;p(t),ell(t)&gt;+eta^2/8. Summation and division by eta yield the claim.</w:t>
      </w:r>
    </w:p>
    <w:p>
      <w:pPr>
        <w:spacing w:after="80" w:line="269" w:lineRule="auto"/>
        <w:jc w:val="both"/>
      </w:pPr>
      <w:r>
        <w:rPr>
          <w:rFonts w:ascii="DejaVu Serif" w:hAnsi="DejaVu Serif" w:eastAsia="DejaVu Serif"/>
          <w:b w:val="0"/>
          <w:i w:val="0"/>
        </w:rPr>
        <w:t>With eta=sqrt(8 ln(K)/T), the bound is of order sqrt(T ln K). Unknown T requires a registered doubling scheme or another anytime analysis.</w:t>
      </w:r>
    </w:p>
    <w:p>
      <w:pPr>
        <w:pStyle w:val="Heading2"/>
        <w:keepNext/>
      </w:pPr>
      <w:r>
        <w:t>40.3. Abstention Expert</w:t>
      </w:r>
    </w:p>
    <w:p>
      <w:pPr>
        <w:spacing w:before="80" w:after="100"/>
        <w:jc w:val="center"/>
      </w:pPr>
      <w:r>
        <w:rPr>
          <w:rFonts w:ascii="DejaVu Serif" w:hAnsi="DejaVu Serif" w:eastAsia="DejaVu Serif"/>
          <w:b w:val="0"/>
          <w:i w:val="0"/>
          <w:sz w:val="21"/>
        </w:rPr>
        <w:t>ell(t,ABSTAIN)=c_A,   0&lt;=c_A&lt;=1</w:t>
      </w:r>
      <w:r>
        <w:rPr>
          <w:rFonts w:ascii="DejaVu Serif" w:hAnsi="DejaVu Serif" w:eastAsia="DejaVu Serif"/>
          <w:b w:val="0"/>
          <w:i/>
          <w:color w:val="6B7280"/>
          <w:sz w:val="17"/>
        </w:rPr>
        <w:t xml:space="preserve">    [RU p. 188]</w:t>
      </w:r>
    </w:p>
    <w:p>
      <w:pPr>
        <w:spacing w:after="80" w:line="269" w:lineRule="auto"/>
        <w:jc w:val="both"/>
      </w:pPr>
      <w:r>
        <w:rPr>
          <w:rFonts w:ascii="DejaVu Serif" w:hAnsi="DejaVu Serif" w:eastAsia="DejaVu Serif"/>
          <w:b w:val="0"/>
          <w:i w:val="0"/>
        </w:rPr>
        <w:t>The price c_A is fixed before test responses. Too large a price forces false certainty; too small a price makes the system uninformative.</w:t>
      </w:r>
    </w:p>
    <w:p>
      <w:pPr>
        <w:pStyle w:val="Heading2"/>
        <w:keepNext/>
      </w:pPr>
      <w:r>
        <w:t>40.4. Prediction Set of the Mixture</w:t>
      </w:r>
    </w:p>
    <w:p>
      <w:pPr>
        <w:spacing w:before="80" w:after="100"/>
        <w:jc w:val="center"/>
      </w:pPr>
      <w:r>
        <w:rPr>
          <w:rFonts w:ascii="DejaVu Serif" w:hAnsi="DejaVu Serif" w:eastAsia="DejaVu Serif"/>
          <w:b w:val="0"/>
          <w:i w:val="0"/>
          <w:sz w:val="21"/>
        </w:rPr>
        <w:t>C_PN2(x)=union{C_b(x) : gate(b)=1}</w:t>
      </w:r>
      <w:r>
        <w:rPr>
          <w:rFonts w:ascii="DejaVu Serif" w:hAnsi="DejaVu Serif" w:eastAsia="DejaVu Serif"/>
          <w:b w:val="0"/>
          <w:i/>
          <w:color w:val="6B7280"/>
          <w:sz w:val="17"/>
        </w:rPr>
        <w:t xml:space="preserve">    [RU p. 188]</w:t>
      </w:r>
    </w:p>
    <w:p>
      <w:pPr>
        <w:spacing w:after="80" w:line="269" w:lineRule="auto"/>
        <w:jc w:val="both"/>
      </w:pPr>
      <w:r>
        <w:rPr>
          <w:rFonts w:ascii="DejaVu Serif" w:hAnsi="DejaVu Serif" w:eastAsia="DejaVu Serif"/>
          <w:b w:val="0"/>
          <w:i w:val="0"/>
        </w:rPr>
        <w:t>If branches emit corridors, the safe branch-blind output remains the union of gated corridors. A large weight does not authorise deleting a corridor without a separate coverage argument. Regret concerns average mixture loss; coverage concerns future-set inclusion; the truth layer concerns evidence gates. These relations are not interchangeable.</w:t>
      </w:r>
    </w:p>
    <w:p>
      <w:pPr>
        <w:pStyle w:val="Heading2"/>
        <w:keepNext/>
      </w:pPr>
      <w:r>
        <w:t>40.5. Changing Branches</w:t>
      </w:r>
    </w:p>
    <w:p>
      <w:pPr>
        <w:spacing w:after="80" w:line="269" w:lineRule="auto"/>
        <w:jc w:val="both"/>
      </w:pPr>
      <w:r>
        <w:rPr>
          <w:rFonts w:ascii="DejaVu Serif" w:hAnsi="DejaVu Serif" w:eastAsia="DejaVu Serif"/>
          <w:b w:val="0"/>
          <w:i w:val="0"/>
        </w:rPr>
        <w:t>If the best branch may change over time, comparison with the best fixed branch is insufficient. A switch budget S and a tracking-regret algorithm must be preregistered. Adding a branch after inspecting errors creates a new registry version; the old Hedge guarantee applies only to the old K.</w:t>
      </w:r>
    </w:p>
    <w:p>
      <w:pPr>
        <w:pStyle w:val="Heading2"/>
        <w:keepNext/>
      </w:pPr>
      <w:r>
        <w:t>40.6. Relation to the Reper Architecture</w:t>
      </w:r>
    </w:p>
    <w:p>
      <w:pPr>
        <w:spacing w:after="80" w:line="269" w:lineRule="auto"/>
        <w:jc w:val="both"/>
      </w:pPr>
      <w:r>
        <w:rPr>
          <w:rFonts w:ascii="DejaVu Serif" w:hAnsi="DejaVu Serif" w:eastAsia="DejaVu Serif"/>
          <w:b w:val="0"/>
          <w:i w:val="0"/>
        </w:rPr>
        <w:t>An expert is not a naked lambda value. It is a packet containing source anchor, Reper, operator, Dom, loss, corridor, null, status, and revision. Two branches with the same lambda may remain different experts. A Block within a branch changes its output to ABSTAIN; historical weight cannot make an incomplete branch admissible.</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Multiplicity of branches is not a weakness of reason. It describes a future that has not yet become singular. The aggregator may learn among possibilities, but it must not turn a weight into an ontological verdict.</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BRANCH-AGG-CERT-v196i8. </w:t>
            </w:r>
            <w:r>
              <w:rPr>
                <w:rFonts w:ascii="DejaVu Serif" w:hAnsi="DejaVu Serif" w:eastAsia="DejaVu Serif"/>
                <w:b w:val="0"/>
                <w:i w:val="0"/>
                <w:sz w:val="18"/>
              </w:rPr>
              <w:t>branches=pre-registered; loss=[0,1]; weights=exponential; regret=ln(K)/eta+eta*T/8; abstention=explicit-expert; KMA=search-metadata-only; corridor=union-of-gated-branches; regret-not-equal-coverage; coverage-not-equal-truth; new-branch=new-version.</w:t>
            </w:r>
          </w:p>
        </w:tc>
      </w:tr>
    </w:tbl>
    <w:p>
      <w:pPr>
        <w:spacing w:after="40"/>
      </w:pPr>
    </w:p>
    <w:p>
      <w:r>
        <w:br w:type="page"/>
      </w:r>
    </w:p>
    <w:p>
      <w:pPr>
        <w:pStyle w:val="Heading1"/>
        <w:keepNext/>
      </w:pPr>
      <w:r>
        <w:t>T1-EN-VALIDATION-v0.7</w:t>
      </w:r>
    </w:p>
    <w:p>
      <w:pPr>
        <w:jc w:val="center"/>
      </w:pPr>
      <w:r>
        <w:rPr>
          <w:rFonts w:ascii="DejaVu Sans" w:hAnsi="DejaVu Sans" w:eastAsia="DejaVu Sans"/>
          <w:b/>
          <w:i w:val="0"/>
          <w:color w:val="9C6B1B"/>
          <w:sz w:val="24"/>
        </w:rPr>
        <w:t>CONTROLLED ENGLISH TRANSLATION OF CHAPTERS 41-46</w:t>
      </w:r>
    </w:p>
    <w:p>
      <w:pPr>
        <w:spacing w:after="80" w:line="269" w:lineRule="auto"/>
        <w:jc w:val="both"/>
      </w:pPr>
      <w:r>
        <w:rPr>
          <w:rFonts w:ascii="DejaVu Serif" w:hAnsi="DejaVu Serif" w:eastAsia="DejaVu Serif"/>
          <w:b w:val="0"/>
          <w:i w:val="0"/>
        </w:rPr>
        <w:t>This checkpoint translates the independent-validation layer of the frozen Russian Volume I: frozen preregistration fields, data splitting, multiplicity control, pre-outcome domain selection, conservative power planning, group-disjoint calibration, the prediction-intervention boundary, and the executable EXT-RUN-000 protocol. The protocol is prepared but not executed.</w:t>
      </w:r>
    </w:p>
    <w:p>
      <w:pPr>
        <w:spacing w:before="80" w:after="100"/>
        <w:jc w:val="center"/>
      </w:pPr>
      <w:r>
        <w:rPr>
          <w:rFonts w:ascii="DejaVu Serif" w:hAnsi="DejaVu Serif" w:eastAsia="DejaVu Serif"/>
          <w:b w:val="0"/>
          <w:i w:val="0"/>
          <w:sz w:val="21"/>
        </w:rPr>
        <w:t>Authority(T1-RU v197) &gt; Authority(T1-EN v0.7);   Status_EN(x) &lt;= Status_RU(x)</w:t>
      </w:r>
    </w:p>
    <w:tbl>
      <w:tblPr>
        <w:tblStyle w:val="TableGrid"/>
        <w:tblW w:type="auto" w:w="0"/>
        <w:jc w:val="center"/>
        <w:tblLook w:firstColumn="1" w:firstRow="1" w:lastColumn="0" w:lastRow="0" w:noHBand="0" w:noVBand="1" w:val="04A0"/>
      </w:tblPr>
      <w:tblGrid>
        <w:gridCol w:w="10070"/>
      </w:tblGrid>
      <w:tr>
        <w:tc>
          <w:tcPr>
            <w:tcW w:type="dxa" w:w="10070"/>
            <w:shd w:fill="F9EAEA"/>
            <w:tcMar>
              <w:top w:w="120" w:type="dxa"/>
              <w:start w:w="140" w:type="dxa"/>
              <w:bottom w:w="120" w:type="dxa"/>
              <w:end w:w="140" w:type="dxa"/>
            </w:tcMar>
          </w:tcPr>
          <w:p>
            <w:r>
              <w:rPr>
                <w:rFonts w:ascii="DejaVu Sans" w:hAnsi="DejaVu Sans" w:eastAsia="DejaVu Sans"/>
                <w:b/>
                <w:i w:val="0"/>
                <w:color w:val="9E2A2B"/>
                <w:sz w:val="18"/>
              </w:rPr>
              <w:t xml:space="preserve">Status firewall. </w:t>
            </w:r>
            <w:r>
              <w:rPr>
                <w:rFonts w:ascii="DejaVu Serif" w:hAnsi="DejaVu Serif" w:eastAsia="DejaVu Serif"/>
                <w:b w:val="0"/>
                <w:i w:val="0"/>
                <w:sz w:val="18"/>
              </w:rPr>
              <w:t>truth_layer_promotion=0. EMP-PLAN is not EMP-OBS. A protocol-ready EXT-RUN is not a completed external run, and PASS in one registered population would not establish a universal physical law.</w:t>
            </w:r>
          </w:p>
        </w:tc>
      </w:tr>
    </w:tbl>
    <w:p>
      <w:pPr>
        <w:spacing w:after="40"/>
      </w:pPr>
    </w:p>
    <w:p>
      <w:pPr>
        <w:pStyle w:val="Heading2"/>
        <w:keepNext/>
      </w:pPr>
      <w:r>
        <w:t>v0.7 Change-Set and Parity Scope</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181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ID</w:t>
            </w:r>
          </w:p>
        </w:tc>
        <w:tc>
          <w:tcPr>
            <w:tcW w:type="dxa" w:w="6123"/>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Change</w:t>
            </w:r>
          </w:p>
        </w:tc>
        <w:tc>
          <w:tcPr>
            <w:tcW w:type="dxa" w:w="181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Status</w:t>
            </w:r>
          </w:p>
        </w:tc>
      </w:tr>
      <w:tr>
        <w:tc>
          <w:tcPr>
            <w:tcW w:type="dxa" w:w="1814"/>
            <w:tcMar>
              <w:top w:w="90" w:type="dxa"/>
              <w:start w:w="110" w:type="dxa"/>
              <w:bottom w:w="90" w:type="dxa"/>
              <w:end w:w="110" w:type="dxa"/>
            </w:tcMar>
            <w:vAlign w:val="center"/>
          </w:tcPr>
          <w:p>
            <w:pPr>
              <w:jc w:val="center"/>
            </w:pPr>
            <w:r>
              <w:rPr>
                <w:rFonts w:ascii="DejaVu Serif" w:hAnsi="DejaVu Serif" w:eastAsia="DejaVu Serif"/>
                <w:b w:val="0"/>
                <w:i w:val="0"/>
                <w:sz w:val="17"/>
              </w:rPr>
              <w:t>T1-EN-CS-048</w:t>
            </w:r>
          </w:p>
        </w:tc>
        <w:tc>
          <w:tcPr>
            <w:tcW w:type="dxa" w:w="6123"/>
            <w:tcMar>
              <w:top w:w="90" w:type="dxa"/>
              <w:start w:w="110" w:type="dxa"/>
              <w:bottom w:w="90" w:type="dxa"/>
              <w:end w:w="110" w:type="dxa"/>
            </w:tcMar>
            <w:vAlign w:val="center"/>
          </w:tcPr>
          <w:p>
            <w:pPr>
              <w:jc w:val="left"/>
            </w:pPr>
            <w:r>
              <w:rPr>
                <w:rFonts w:ascii="DejaVu Serif" w:hAnsi="DejaVu Serif" w:eastAsia="DejaVu Serif"/>
                <w:b w:val="0"/>
                <w:i w:val="0"/>
                <w:sz w:val="17"/>
              </w:rPr>
              <w:t>Translated Chapters 41-46 with Russian source locators 190-203.</w:t>
            </w:r>
          </w:p>
        </w:tc>
        <w:tc>
          <w:tcPr>
            <w:tcW w:type="dxa" w:w="1814"/>
            <w:tcMar>
              <w:top w:w="90" w:type="dxa"/>
              <w:start w:w="110" w:type="dxa"/>
              <w:bottom w:w="90" w:type="dxa"/>
              <w:end w:w="110" w:type="dxa"/>
            </w:tcMar>
            <w:vAlign w:val="center"/>
          </w:tcPr>
          <w:p>
            <w:pPr>
              <w:jc w:val="left"/>
            </w:pPr>
            <w:r>
              <w:rPr>
                <w:rFonts w:ascii="DejaVu Serif" w:hAnsi="DejaVu Serif" w:eastAsia="DejaVu Serif"/>
                <w:b w:val="0"/>
                <w:i w:val="0"/>
                <w:sz w:val="17"/>
              </w:rPr>
              <w:t>CLOSED-DOC</w:t>
            </w:r>
          </w:p>
        </w:tc>
      </w:tr>
      <w:tr>
        <w:tc>
          <w:tcPr>
            <w:tcW w:type="dxa" w:w="1814"/>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T1-EN-CS-049</w:t>
            </w:r>
          </w:p>
        </w:tc>
        <w:tc>
          <w:tcPr>
            <w:tcW w:type="dxa" w:w="6123"/>
            <w:tcMar>
              <w:top w:w="90" w:type="dxa"/>
              <w:start w:w="110" w:type="dxa"/>
              <w:bottom w:w="90" w:type="dxa"/>
              <w:end w:w="110" w:type="dxa"/>
            </w:tcMar>
            <w:vAlign w:val="center"/>
            <w:shd w:fill="F4F7FA"/>
          </w:tcPr>
          <w:p>
            <w:pPr>
              <w:jc w:val="left"/>
            </w:pPr>
            <w:r>
              <w:rPr>
                <w:rFonts w:ascii="DejaVu Serif" w:hAnsi="DejaVu Serif" w:eastAsia="DejaVu Serif"/>
                <w:b w:val="0"/>
                <w:i w:val="0"/>
                <w:sz w:val="17"/>
              </w:rPr>
              <w:t>Preserved Holm familywise control and the union-bound error budget.</w:t>
            </w:r>
          </w:p>
        </w:tc>
        <w:tc>
          <w:tcPr>
            <w:tcW w:type="dxa" w:w="1814"/>
            <w:tcMar>
              <w:top w:w="90" w:type="dxa"/>
              <w:start w:w="110" w:type="dxa"/>
              <w:bottom w:w="90" w:type="dxa"/>
              <w:end w:w="110" w:type="dxa"/>
            </w:tcMar>
            <w:vAlign w:val="center"/>
            <w:shd w:fill="F4F7FA"/>
          </w:tcPr>
          <w:p>
            <w:pPr>
              <w:jc w:val="left"/>
            </w:pPr>
            <w:r>
              <w:rPr>
                <w:rFonts w:ascii="DejaVu Serif" w:hAnsi="DejaVu Serif" w:eastAsia="DejaVu Serif"/>
                <w:b w:val="0"/>
                <w:i w:val="0"/>
                <w:sz w:val="17"/>
              </w:rPr>
              <w:t>THM-PARITY</w:t>
            </w:r>
          </w:p>
        </w:tc>
      </w:tr>
      <w:tr>
        <w:tc>
          <w:tcPr>
            <w:tcW w:type="dxa" w:w="1814"/>
            <w:tcMar>
              <w:top w:w="90" w:type="dxa"/>
              <w:start w:w="110" w:type="dxa"/>
              <w:bottom w:w="90" w:type="dxa"/>
              <w:end w:w="110" w:type="dxa"/>
            </w:tcMar>
            <w:vAlign w:val="center"/>
          </w:tcPr>
          <w:p>
            <w:pPr>
              <w:jc w:val="center"/>
            </w:pPr>
            <w:r>
              <w:rPr>
                <w:rFonts w:ascii="DejaVu Serif" w:hAnsi="DejaVu Serif" w:eastAsia="DejaVu Serif"/>
                <w:b w:val="0"/>
                <w:i w:val="0"/>
                <w:sz w:val="17"/>
              </w:rPr>
              <w:t>T1-EN-CS-050</w:t>
            </w:r>
          </w:p>
        </w:tc>
        <w:tc>
          <w:tcPr>
            <w:tcW w:type="dxa" w:w="6123"/>
            <w:tcMar>
              <w:top w:w="90" w:type="dxa"/>
              <w:start w:w="110" w:type="dxa"/>
              <w:bottom w:w="90" w:type="dxa"/>
              <w:end w:w="110" w:type="dxa"/>
            </w:tcMar>
            <w:vAlign w:val="center"/>
          </w:tcPr>
          <w:p>
            <w:pPr>
              <w:jc w:val="left"/>
            </w:pPr>
            <w:r>
              <w:rPr>
                <w:rFonts w:ascii="DejaVu Serif" w:hAnsi="DejaVu Serif" w:eastAsia="DejaVu Serif"/>
                <w:b w:val="0"/>
                <w:i w:val="0"/>
                <w:sz w:val="17"/>
              </w:rPr>
              <w:t>Preserved pre-outcome domain selection and the post-selection counterexample.</w:t>
            </w:r>
          </w:p>
        </w:tc>
        <w:tc>
          <w:tcPr>
            <w:tcW w:type="dxa" w:w="1814"/>
            <w:tcMar>
              <w:top w:w="90" w:type="dxa"/>
              <w:start w:w="110" w:type="dxa"/>
              <w:bottom w:w="90" w:type="dxa"/>
              <w:end w:w="110" w:type="dxa"/>
            </w:tcMar>
            <w:vAlign w:val="center"/>
          </w:tcPr>
          <w:p>
            <w:pPr>
              <w:jc w:val="left"/>
            </w:pPr>
            <w:r>
              <w:rPr>
                <w:rFonts w:ascii="DejaVu Serif" w:hAnsi="DejaVu Serif" w:eastAsia="DejaVu Serif"/>
                <w:b w:val="0"/>
                <w:i w:val="0"/>
                <w:sz w:val="17"/>
              </w:rPr>
              <w:t>THM-PARITY</w:t>
            </w:r>
          </w:p>
        </w:tc>
      </w:tr>
      <w:tr>
        <w:tc>
          <w:tcPr>
            <w:tcW w:type="dxa" w:w="1814"/>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T1-EN-CS-051</w:t>
            </w:r>
          </w:p>
        </w:tc>
        <w:tc>
          <w:tcPr>
            <w:tcW w:type="dxa" w:w="6123"/>
            <w:tcMar>
              <w:top w:w="90" w:type="dxa"/>
              <w:start w:w="110" w:type="dxa"/>
              <w:bottom w:w="90" w:type="dxa"/>
              <w:end w:w="110" w:type="dxa"/>
            </w:tcMar>
            <w:vAlign w:val="center"/>
            <w:shd w:fill="F4F7FA"/>
          </w:tcPr>
          <w:p>
            <w:pPr>
              <w:jc w:val="left"/>
            </w:pPr>
            <w:r>
              <w:rPr>
                <w:rFonts w:ascii="DejaVu Serif" w:hAnsi="DejaVu Serif" w:eastAsia="DejaVu Serif"/>
                <w:b w:val="0"/>
                <w:i w:val="0"/>
                <w:sz w:val="17"/>
              </w:rPr>
              <w:t>Preserved conservative Hoeffding power planning and cluster caveats.</w:t>
            </w:r>
          </w:p>
        </w:tc>
        <w:tc>
          <w:tcPr>
            <w:tcW w:type="dxa" w:w="1814"/>
            <w:tcMar>
              <w:top w:w="90" w:type="dxa"/>
              <w:start w:w="110" w:type="dxa"/>
              <w:bottom w:w="90" w:type="dxa"/>
              <w:end w:w="110" w:type="dxa"/>
            </w:tcMar>
            <w:vAlign w:val="center"/>
            <w:shd w:fill="F4F7FA"/>
          </w:tcPr>
          <w:p>
            <w:pPr>
              <w:jc w:val="left"/>
            </w:pPr>
            <w:r>
              <w:rPr>
                <w:rFonts w:ascii="DejaVu Serif" w:hAnsi="DejaVu Serif" w:eastAsia="DejaVu Serif"/>
                <w:b w:val="0"/>
                <w:i w:val="0"/>
                <w:sz w:val="17"/>
              </w:rPr>
              <w:t>THM/PLAN</w:t>
            </w:r>
          </w:p>
        </w:tc>
      </w:tr>
      <w:tr>
        <w:tc>
          <w:tcPr>
            <w:tcW w:type="dxa" w:w="1814"/>
            <w:tcMar>
              <w:top w:w="90" w:type="dxa"/>
              <w:start w:w="110" w:type="dxa"/>
              <w:bottom w:w="90" w:type="dxa"/>
              <w:end w:w="110" w:type="dxa"/>
            </w:tcMar>
            <w:vAlign w:val="center"/>
          </w:tcPr>
          <w:p>
            <w:pPr>
              <w:jc w:val="center"/>
            </w:pPr>
            <w:r>
              <w:rPr>
                <w:rFonts w:ascii="DejaVu Serif" w:hAnsi="DejaVu Serif" w:eastAsia="DejaVu Serif"/>
                <w:b w:val="0"/>
                <w:i w:val="0"/>
                <w:sz w:val="17"/>
              </w:rPr>
              <w:t>T1-EN-CS-052</w:t>
            </w:r>
          </w:p>
        </w:tc>
        <w:tc>
          <w:tcPr>
            <w:tcW w:type="dxa" w:w="6123"/>
            <w:tcMar>
              <w:top w:w="90" w:type="dxa"/>
              <w:start w:w="110" w:type="dxa"/>
              <w:bottom w:w="90" w:type="dxa"/>
              <w:end w:w="110" w:type="dxa"/>
            </w:tcMar>
            <w:vAlign w:val="center"/>
          </w:tcPr>
          <w:p>
            <w:pPr>
              <w:jc w:val="left"/>
            </w:pPr>
            <w:r>
              <w:rPr>
                <w:rFonts w:ascii="DejaVu Serif" w:hAnsi="DejaVu Serif" w:eastAsia="DejaVu Serif"/>
                <w:b w:val="0"/>
                <w:i w:val="0"/>
                <w:sz w:val="17"/>
              </w:rPr>
              <w:t>Preserved group-level exchangeability, splitting, calibration, and null actions.</w:t>
            </w:r>
          </w:p>
        </w:tc>
        <w:tc>
          <w:tcPr>
            <w:tcW w:type="dxa" w:w="1814"/>
            <w:tcMar>
              <w:top w:w="90" w:type="dxa"/>
              <w:start w:w="110" w:type="dxa"/>
              <w:bottom w:w="90" w:type="dxa"/>
              <w:end w:w="110" w:type="dxa"/>
            </w:tcMar>
            <w:vAlign w:val="center"/>
          </w:tcPr>
          <w:p>
            <w:pPr>
              <w:jc w:val="left"/>
            </w:pPr>
            <w:r>
              <w:rPr>
                <w:rFonts w:ascii="DejaVu Serif" w:hAnsi="DejaVu Serif" w:eastAsia="DejaVu Serif"/>
                <w:b w:val="0"/>
                <w:i w:val="0"/>
                <w:sz w:val="17"/>
              </w:rPr>
              <w:t>THM-PARITY</w:t>
            </w:r>
          </w:p>
        </w:tc>
      </w:tr>
      <w:tr>
        <w:tc>
          <w:tcPr>
            <w:tcW w:type="dxa" w:w="1814"/>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T1-EN-CS-053</w:t>
            </w:r>
          </w:p>
        </w:tc>
        <w:tc>
          <w:tcPr>
            <w:tcW w:type="dxa" w:w="6123"/>
            <w:tcMar>
              <w:top w:w="90" w:type="dxa"/>
              <w:start w:w="110" w:type="dxa"/>
              <w:bottom w:w="90" w:type="dxa"/>
              <w:end w:w="110" w:type="dxa"/>
            </w:tcMar>
            <w:vAlign w:val="center"/>
            <w:shd w:fill="F4F7FA"/>
          </w:tcPr>
          <w:p>
            <w:pPr>
              <w:jc w:val="left"/>
            </w:pPr>
            <w:r>
              <w:rPr>
                <w:rFonts w:ascii="DejaVu Serif" w:hAnsi="DejaVu Serif" w:eastAsia="DejaVu Serif"/>
                <w:b w:val="0"/>
                <w:i w:val="0"/>
                <w:sz w:val="17"/>
              </w:rPr>
              <w:t>Preserved prediction/intervention nonidentifiability and conditional g-formula.</w:t>
            </w:r>
          </w:p>
        </w:tc>
        <w:tc>
          <w:tcPr>
            <w:tcW w:type="dxa" w:w="1814"/>
            <w:tcMar>
              <w:top w:w="90" w:type="dxa"/>
              <w:start w:w="110" w:type="dxa"/>
              <w:bottom w:w="90" w:type="dxa"/>
              <w:end w:w="110" w:type="dxa"/>
            </w:tcMar>
            <w:vAlign w:val="center"/>
            <w:shd w:fill="F4F7FA"/>
          </w:tcPr>
          <w:p>
            <w:pPr>
              <w:jc w:val="left"/>
            </w:pPr>
            <w:r>
              <w:rPr>
                <w:rFonts w:ascii="DejaVu Serif" w:hAnsi="DejaVu Serif" w:eastAsia="DejaVu Serif"/>
                <w:b w:val="0"/>
                <w:i w:val="0"/>
                <w:sz w:val="17"/>
              </w:rPr>
              <w:t>THM/COND</w:t>
            </w:r>
          </w:p>
        </w:tc>
      </w:tr>
      <w:tr>
        <w:tc>
          <w:tcPr>
            <w:tcW w:type="dxa" w:w="1814"/>
            <w:tcMar>
              <w:top w:w="90" w:type="dxa"/>
              <w:start w:w="110" w:type="dxa"/>
              <w:bottom w:w="90" w:type="dxa"/>
              <w:end w:w="110" w:type="dxa"/>
            </w:tcMar>
            <w:vAlign w:val="center"/>
          </w:tcPr>
          <w:p>
            <w:pPr>
              <w:jc w:val="center"/>
            </w:pPr>
            <w:r>
              <w:rPr>
                <w:rFonts w:ascii="DejaVu Serif" w:hAnsi="DejaVu Serif" w:eastAsia="DejaVu Serif"/>
                <w:b w:val="0"/>
                <w:i w:val="0"/>
                <w:sz w:val="17"/>
              </w:rPr>
              <w:t>T1-EN-CS-054</w:t>
            </w:r>
          </w:p>
        </w:tc>
        <w:tc>
          <w:tcPr>
            <w:tcW w:type="dxa" w:w="6123"/>
            <w:tcMar>
              <w:top w:w="90" w:type="dxa"/>
              <w:start w:w="110" w:type="dxa"/>
              <w:bottom w:w="90" w:type="dxa"/>
              <w:end w:w="110" w:type="dxa"/>
            </w:tcMar>
            <w:vAlign w:val="center"/>
          </w:tcPr>
          <w:p>
            <w:pPr>
              <w:jc w:val="left"/>
            </w:pPr>
            <w:r>
              <w:rPr>
                <w:rFonts w:ascii="DejaVu Serif" w:hAnsi="DejaVu Serif" w:eastAsia="DejaVu Serif"/>
                <w:b w:val="0"/>
                <w:i w:val="0"/>
                <w:sz w:val="17"/>
              </w:rPr>
              <w:t>Translated EXT-RUN-000 without inventing source hashes or outcomes.</w:t>
            </w:r>
          </w:p>
        </w:tc>
        <w:tc>
          <w:tcPr>
            <w:tcW w:type="dxa" w:w="1814"/>
            <w:tcMar>
              <w:top w:w="90" w:type="dxa"/>
              <w:start w:w="110" w:type="dxa"/>
              <w:bottom w:w="90" w:type="dxa"/>
              <w:end w:w="110" w:type="dxa"/>
            </w:tcMar>
            <w:vAlign w:val="center"/>
          </w:tcPr>
          <w:p>
            <w:pPr>
              <w:jc w:val="left"/>
            </w:pPr>
            <w:r>
              <w:rPr>
                <w:rFonts w:ascii="DejaVu Serif" w:hAnsi="DejaVu Serif" w:eastAsia="DejaVu Serif"/>
                <w:b w:val="0"/>
                <w:i w:val="0"/>
                <w:sz w:val="17"/>
              </w:rPr>
              <w:t>EMP-PLAN</w:t>
            </w:r>
          </w:p>
        </w:tc>
      </w:tr>
      <w:tr>
        <w:tc>
          <w:tcPr>
            <w:tcW w:type="dxa" w:w="1814"/>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T1-EN-CS-055</w:t>
            </w:r>
          </w:p>
        </w:tc>
        <w:tc>
          <w:tcPr>
            <w:tcW w:type="dxa" w:w="6123"/>
            <w:tcMar>
              <w:top w:w="90" w:type="dxa"/>
              <w:start w:w="110" w:type="dxa"/>
              <w:bottom w:w="90" w:type="dxa"/>
              <w:end w:w="110" w:type="dxa"/>
            </w:tcMar>
            <w:vAlign w:val="center"/>
            <w:shd w:fill="F4F7FA"/>
          </w:tcPr>
          <w:p>
            <w:pPr>
              <w:jc w:val="left"/>
            </w:pPr>
            <w:r>
              <w:rPr>
                <w:rFonts w:ascii="DejaVu Serif" w:hAnsi="DejaVu Serif" w:eastAsia="DejaVu Serif"/>
                <w:b w:val="0"/>
                <w:i w:val="0"/>
                <w:sz w:val="17"/>
              </w:rPr>
              <w:t>Added six explanatory diagrams and a cumulative validation ledger.</w:t>
            </w:r>
          </w:p>
        </w:tc>
        <w:tc>
          <w:tcPr>
            <w:tcW w:type="dxa" w:w="1814"/>
            <w:tcMar>
              <w:top w:w="90" w:type="dxa"/>
              <w:start w:w="110" w:type="dxa"/>
              <w:bottom w:w="90" w:type="dxa"/>
              <w:end w:w="110" w:type="dxa"/>
            </w:tcMar>
            <w:vAlign w:val="center"/>
            <w:shd w:fill="F4F7FA"/>
          </w:tcPr>
          <w:p>
            <w:pPr>
              <w:jc w:val="left"/>
            </w:pPr>
            <w:r>
              <w:rPr>
                <w:rFonts w:ascii="DejaVu Serif" w:hAnsi="DejaVu Serif" w:eastAsia="DejaVu Serif"/>
                <w:b w:val="0"/>
                <w:i w:val="0"/>
                <w:sz w:val="17"/>
              </w:rPr>
              <w:t>DOC-QA</w:t>
            </w:r>
          </w:p>
        </w:tc>
      </w:tr>
    </w:tbl>
    <w:p>
      <w:pPr>
        <w:spacing w:after="40"/>
      </w:pPr>
    </w:p>
    <w:p>
      <w:pPr>
        <w:pStyle w:val="Heading1"/>
        <w:keepNext/>
      </w:pPr>
      <w:r>
        <w:t>Part X. Preregistration, Power, and the Causal Boundary</w:t>
      </w:r>
    </w:p>
    <w:p>
      <w:pPr>
        <w:spacing w:after="80" w:line="269" w:lineRule="auto"/>
        <w:jc w:val="both"/>
      </w:pPr>
      <w:r>
        <w:rPr>
          <w:rFonts w:ascii="DejaVu Serif" w:hAnsi="DejaVu Serif" w:eastAsia="DejaVu Serif"/>
          <w:b w:val="0"/>
          <w:i w:val="0"/>
        </w:rPr>
        <w:t>This part turns the requirement of independent verification into a complete study design. It specifies who selects the domain, how many independent units are required, where the cluster lies, what counts as a prediction, and which additional assumptions are required before causal language is permitted.</w:t>
      </w:r>
    </w:p>
    <w:p>
      <w:pPr>
        <w:pStyle w:val="Heading1"/>
        <w:keepNext/>
      </w:pPr>
      <w:bookmarkStart w:id="1040" w:name="T1_CH_41"/>
      <w:r>
        <w:t>Chapter 41. Independent Validation and Composition of Error Budgets</w:t>
      </w:r>
      <w:bookmarkEnd w:id="1040"/>
    </w:p>
    <w:p>
      <w:pPr>
        <w:spacing w:after="80" w:line="269" w:lineRule="auto"/>
        <w:jc w:val="both"/>
      </w:pPr>
      <w:r>
        <w:rPr>
          <w:rFonts w:ascii="DejaVu Serif" w:hAnsi="DejaVu Serif" w:eastAsia="DejaVu Serif"/>
          <w:b w:val="0"/>
          <w:i w:val="0"/>
        </w:rPr>
        <w:t>Russian source locator: pp. 190-192</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How can a strict forecast be tested without allowing the result to influence the formula or threshold?</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Train, calibration, internal test, and external test are separated; multiplicity and error budgets are controlled by declared rules.</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Holm correction controls familywise error, and the union bound composes registered probabilistic error events.</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A validation protocol is EMP-PLAN. It does not report that independent validation has already occurred.</w:t>
            </w:r>
          </w:p>
        </w:tc>
      </w:tr>
    </w:tbl>
    <w:p>
      <w:pPr>
        <w:spacing w:after="40"/>
      </w:pPr>
    </w:p>
    <w:p>
      <w:pPr>
        <w:keepNext/>
        <w:jc w:val="center"/>
      </w:pPr>
      <w:r>
        <w:drawing>
          <wp:inline xmlns:a="http://schemas.openxmlformats.org/drawingml/2006/main" xmlns:pic="http://schemas.openxmlformats.org/drawingml/2006/picture">
            <wp:extent cx="5623560" cy="2510902"/>
            <wp:docPr id="44" name="Picture 44"/>
            <wp:cNvGraphicFramePr>
              <a:graphicFrameLocks noChangeAspect="1"/>
            </wp:cNvGraphicFramePr>
            <a:graphic>
              <a:graphicData uri="http://schemas.openxmlformats.org/drawingml/2006/picture">
                <pic:pic>
                  <pic:nvPicPr>
                    <pic:cNvPr id="0" name="fig41_validation.png"/>
                    <pic:cNvPicPr/>
                  </pic:nvPicPr>
                  <pic:blipFill>
                    <a:blip r:embed="rId56"/>
                    <a:stretch>
                      <a:fillRect/>
                    </a:stretch>
                  </pic:blipFill>
                  <pic:spPr>
                    <a:xfrm>
                      <a:off x="0" y="0"/>
                      <a:ext cx="5623560" cy="2510902"/>
                    </a:xfrm>
                    <a:prstGeom prst="rect"/>
                  </pic:spPr>
                </pic:pic>
              </a:graphicData>
            </a:graphic>
          </wp:inline>
        </w:drawing>
      </w:r>
    </w:p>
    <w:p>
      <w:pPr>
        <w:pStyle w:val="Caption"/>
        <w:spacing w:before="40" w:after="160"/>
        <w:jc w:val="center"/>
      </w:pPr>
      <w:bookmarkStart w:id="1101" w:name="T1_FIG_043"/>
      <w:r>
        <w:t>Figure 41.1. Frozen validation design, multiplicity control, and separate decision states.</w:t>
      </w:r>
      <w:bookmarkEnd w:id="1101"/>
    </w:p>
    <w:p>
      <w:pPr>
        <w:pStyle w:val="Heading2"/>
        <w:keepNext/>
      </w:pPr>
      <w:r>
        <w:t>41.1. Fields Frozen Before Unblinding</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181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Block</w:t>
            </w:r>
          </w:p>
        </w:tc>
        <w:tc>
          <w:tcPr>
            <w:tcW w:type="dxa" w:w="3969"/>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Before unblinding</w:t>
            </w:r>
          </w:p>
        </w:tc>
        <w:tc>
          <w:tcPr>
            <w:tcW w:type="dxa" w:w="3402"/>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After unblinding</w:t>
            </w:r>
          </w:p>
        </w:tc>
      </w:tr>
      <w:tr>
        <w:tc>
          <w:tcPr>
            <w:tcW w:type="dxa" w:w="1814"/>
            <w:tcMar>
              <w:top w:w="90" w:type="dxa"/>
              <w:start w:w="110" w:type="dxa"/>
              <w:bottom w:w="90" w:type="dxa"/>
              <w:end w:w="110" w:type="dxa"/>
            </w:tcMar>
            <w:vAlign w:val="center"/>
          </w:tcPr>
          <w:p>
            <w:pPr>
              <w:jc w:val="center"/>
            </w:pPr>
            <w:r>
              <w:rPr>
                <w:rFonts w:ascii="DejaVu Serif" w:hAnsi="DejaVu Serif" w:eastAsia="DejaVu Serif"/>
                <w:b w:val="0"/>
                <w:i w:val="0"/>
                <w:sz w:val="17"/>
              </w:rPr>
              <w:t>Objective</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7"/>
              </w:rPr>
              <w:t>population, outcome, horizon</w:t>
            </w:r>
          </w:p>
        </w:tc>
        <w:tc>
          <w:tcPr>
            <w:tcW w:type="dxa" w:w="3402"/>
            <w:tcMar>
              <w:top w:w="90" w:type="dxa"/>
              <w:start w:w="110" w:type="dxa"/>
              <w:bottom w:w="90" w:type="dxa"/>
              <w:end w:w="110" w:type="dxa"/>
            </w:tcMar>
            <w:vAlign w:val="center"/>
          </w:tcPr>
          <w:p>
            <w:pPr>
              <w:jc w:val="left"/>
            </w:pPr>
            <w:r>
              <w:rPr>
                <w:rFonts w:ascii="DejaVu Serif" w:hAnsi="DejaVu Serif" w:eastAsia="DejaVu Serif"/>
                <w:b w:val="0"/>
                <w:i w:val="0"/>
                <w:sz w:val="17"/>
              </w:rPr>
              <w:t>do not change</w:t>
            </w:r>
          </w:p>
        </w:tc>
      </w:tr>
      <w:tr>
        <w:tc>
          <w:tcPr>
            <w:tcW w:type="dxa" w:w="1814"/>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Data</w:t>
            </w:r>
          </w:p>
        </w:tc>
        <w:tc>
          <w:tcPr>
            <w:tcW w:type="dxa" w:w="3969"/>
            <w:tcMar>
              <w:top w:w="90" w:type="dxa"/>
              <w:start w:w="110" w:type="dxa"/>
              <w:bottom w:w="90" w:type="dxa"/>
              <w:end w:w="110" w:type="dxa"/>
            </w:tcMar>
            <w:vAlign w:val="center"/>
            <w:shd w:fill="F4F7FA"/>
          </w:tcPr>
          <w:p>
            <w:pPr>
              <w:jc w:val="left"/>
            </w:pPr>
            <w:r>
              <w:rPr>
                <w:rFonts w:ascii="DejaVu Serif" w:hAnsi="DejaVu Serif" w:eastAsia="DejaVu Serif"/>
                <w:b w:val="0"/>
                <w:i w:val="0"/>
                <w:sz w:val="17"/>
              </w:rPr>
              <w:t>source, unit, split, cluster</w:t>
            </w:r>
          </w:p>
        </w:tc>
        <w:tc>
          <w:tcPr>
            <w:tcW w:type="dxa" w:w="3402"/>
            <w:tcMar>
              <w:top w:w="90" w:type="dxa"/>
              <w:start w:w="110" w:type="dxa"/>
              <w:bottom w:w="90" w:type="dxa"/>
              <w:end w:w="110" w:type="dxa"/>
            </w:tcMar>
            <w:vAlign w:val="center"/>
            <w:shd w:fill="F4F7FA"/>
          </w:tcPr>
          <w:p>
            <w:pPr>
              <w:jc w:val="left"/>
            </w:pPr>
            <w:r>
              <w:rPr>
                <w:rFonts w:ascii="DejaVu Serif" w:hAnsi="DejaVu Serif" w:eastAsia="DejaVu Serif"/>
                <w:b w:val="0"/>
                <w:i w:val="0"/>
                <w:sz w:val="17"/>
              </w:rPr>
              <w:t>audit only</w:t>
            </w:r>
          </w:p>
        </w:tc>
      </w:tr>
      <w:tr>
        <w:tc>
          <w:tcPr>
            <w:tcW w:type="dxa" w:w="1814"/>
            <w:tcMar>
              <w:top w:w="90" w:type="dxa"/>
              <w:start w:w="110" w:type="dxa"/>
              <w:bottom w:w="90" w:type="dxa"/>
              <w:end w:w="110" w:type="dxa"/>
            </w:tcMar>
            <w:vAlign w:val="center"/>
          </w:tcPr>
          <w:p>
            <w:pPr>
              <w:jc w:val="center"/>
            </w:pPr>
            <w:r>
              <w:rPr>
                <w:rFonts w:ascii="DejaVu Serif" w:hAnsi="DejaVu Serif" w:eastAsia="DejaVu Serif"/>
                <w:b w:val="0"/>
                <w:i w:val="0"/>
                <w:sz w:val="17"/>
              </w:rPr>
              <w:t>Method</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7"/>
              </w:rPr>
              <w:t>adapter, score, loss, null</w:t>
            </w:r>
          </w:p>
        </w:tc>
        <w:tc>
          <w:tcPr>
            <w:tcW w:type="dxa" w:w="3402"/>
            <w:tcMar>
              <w:top w:w="90" w:type="dxa"/>
              <w:start w:w="110" w:type="dxa"/>
              <w:bottom w:w="90" w:type="dxa"/>
              <w:end w:w="110" w:type="dxa"/>
            </w:tcMar>
            <w:vAlign w:val="center"/>
          </w:tcPr>
          <w:p>
            <w:pPr>
              <w:jc w:val="left"/>
            </w:pPr>
            <w:r>
              <w:rPr>
                <w:rFonts w:ascii="DejaVu Serif" w:hAnsi="DejaVu Serif" w:eastAsia="DejaVu Serif"/>
                <w:b w:val="0"/>
                <w:i w:val="0"/>
                <w:sz w:val="17"/>
              </w:rPr>
              <w:t>execute</w:t>
            </w:r>
          </w:p>
        </w:tc>
      </w:tr>
      <w:tr>
        <w:tc>
          <w:tcPr>
            <w:tcW w:type="dxa" w:w="1814"/>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Statistics</w:t>
            </w:r>
          </w:p>
        </w:tc>
        <w:tc>
          <w:tcPr>
            <w:tcW w:type="dxa" w:w="3969"/>
            <w:tcMar>
              <w:top w:w="90" w:type="dxa"/>
              <w:start w:w="110" w:type="dxa"/>
              <w:bottom w:w="90" w:type="dxa"/>
              <w:end w:w="110" w:type="dxa"/>
            </w:tcMar>
            <w:vAlign w:val="center"/>
            <w:shd w:fill="F4F7FA"/>
          </w:tcPr>
          <w:p>
            <w:pPr>
              <w:jc w:val="left"/>
            </w:pPr>
            <w:r>
              <w:rPr>
                <w:rFonts w:ascii="DejaVu Serif" w:hAnsi="DejaVu Serif" w:eastAsia="DejaVu Serif"/>
                <w:b w:val="0"/>
                <w:i w:val="0"/>
                <w:sz w:val="17"/>
              </w:rPr>
              <w:t>alpha, multiplicity, stopping</w:t>
            </w:r>
          </w:p>
        </w:tc>
        <w:tc>
          <w:tcPr>
            <w:tcW w:type="dxa" w:w="3402"/>
            <w:tcMar>
              <w:top w:w="90" w:type="dxa"/>
              <w:start w:w="110" w:type="dxa"/>
              <w:bottom w:w="90" w:type="dxa"/>
              <w:end w:w="110" w:type="dxa"/>
            </w:tcMar>
            <w:vAlign w:val="center"/>
            <w:shd w:fill="F4F7FA"/>
          </w:tcPr>
          <w:p>
            <w:pPr>
              <w:jc w:val="left"/>
            </w:pPr>
            <w:r>
              <w:rPr>
                <w:rFonts w:ascii="DejaVu Serif" w:hAnsi="DejaVu Serif" w:eastAsia="DejaVu Serif"/>
                <w:b w:val="0"/>
                <w:i w:val="0"/>
                <w:sz w:val="17"/>
              </w:rPr>
              <w:t>compute</w:t>
            </w:r>
          </w:p>
        </w:tc>
      </w:tr>
      <w:tr>
        <w:tc>
          <w:tcPr>
            <w:tcW w:type="dxa" w:w="1814"/>
            <w:tcMar>
              <w:top w:w="90" w:type="dxa"/>
              <w:start w:w="110" w:type="dxa"/>
              <w:bottom w:w="90" w:type="dxa"/>
              <w:end w:w="110" w:type="dxa"/>
            </w:tcMar>
            <w:vAlign w:val="center"/>
          </w:tcPr>
          <w:p>
            <w:pPr>
              <w:jc w:val="center"/>
            </w:pPr>
            <w:r>
              <w:rPr>
                <w:rFonts w:ascii="DejaVu Serif" w:hAnsi="DejaVu Serif" w:eastAsia="DejaVu Serif"/>
                <w:b w:val="0"/>
                <w:i w:val="0"/>
                <w:sz w:val="17"/>
              </w:rPr>
              <w:t>Decision</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7"/>
              </w:rPr>
              <w:t>PASS / FAIL / ABSTAIN / BLOCK</w:t>
            </w:r>
          </w:p>
        </w:tc>
        <w:tc>
          <w:tcPr>
            <w:tcW w:type="dxa" w:w="3402"/>
            <w:tcMar>
              <w:top w:w="90" w:type="dxa"/>
              <w:start w:w="110" w:type="dxa"/>
              <w:bottom w:w="90" w:type="dxa"/>
              <w:end w:w="110" w:type="dxa"/>
            </w:tcMar>
            <w:vAlign w:val="center"/>
          </w:tcPr>
          <w:p>
            <w:pPr>
              <w:jc w:val="left"/>
            </w:pPr>
            <w:r>
              <w:rPr>
                <w:rFonts w:ascii="DejaVu Serif" w:hAnsi="DejaVu Serif" w:eastAsia="DejaVu Serif"/>
                <w:b w:val="0"/>
                <w:i w:val="0"/>
                <w:sz w:val="17"/>
              </w:rPr>
              <w:t>apply literally</w:t>
            </w:r>
          </w:p>
        </w:tc>
      </w:tr>
      <w:tr>
        <w:tc>
          <w:tcPr>
            <w:tcW w:type="dxa" w:w="1814"/>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Publication</w:t>
            </w:r>
          </w:p>
        </w:tc>
        <w:tc>
          <w:tcPr>
            <w:tcW w:type="dxa" w:w="3969"/>
            <w:tcMar>
              <w:top w:w="90" w:type="dxa"/>
              <w:start w:w="110" w:type="dxa"/>
              <w:bottom w:w="90" w:type="dxa"/>
              <w:end w:w="110" w:type="dxa"/>
            </w:tcMar>
            <w:vAlign w:val="center"/>
            <w:shd w:fill="F4F7FA"/>
          </w:tcPr>
          <w:p>
            <w:pPr>
              <w:jc w:val="left"/>
            </w:pPr>
            <w:r>
              <w:rPr>
                <w:rFonts w:ascii="DejaVu Serif" w:hAnsi="DejaVu Serif" w:eastAsia="DejaVu Serif"/>
                <w:b w:val="0"/>
                <w:i w:val="0"/>
                <w:sz w:val="17"/>
              </w:rPr>
              <w:t>positive and negative outcomes</w:t>
            </w:r>
          </w:p>
        </w:tc>
        <w:tc>
          <w:tcPr>
            <w:tcW w:type="dxa" w:w="3402"/>
            <w:tcMar>
              <w:top w:w="90" w:type="dxa"/>
              <w:start w:w="110" w:type="dxa"/>
              <w:bottom w:w="90" w:type="dxa"/>
              <w:end w:w="110" w:type="dxa"/>
            </w:tcMar>
            <w:vAlign w:val="center"/>
            <w:shd w:fill="F4F7FA"/>
          </w:tcPr>
          <w:p>
            <w:pPr>
              <w:jc w:val="left"/>
            </w:pPr>
            <w:r>
              <w:rPr>
                <w:rFonts w:ascii="DejaVu Serif" w:hAnsi="DejaVu Serif" w:eastAsia="DejaVu Serif"/>
                <w:b w:val="0"/>
                <w:i w:val="0"/>
                <w:sz w:val="17"/>
              </w:rPr>
              <w:t>publish</w:t>
            </w:r>
          </w:p>
        </w:tc>
      </w:tr>
    </w:tbl>
    <w:p>
      <w:pPr>
        <w:spacing w:after="40"/>
      </w:pPr>
    </w:p>
    <w:p>
      <w:pPr>
        <w:spacing w:after="80" w:line="269" w:lineRule="auto"/>
        <w:jc w:val="both"/>
      </w:pPr>
      <w:r>
        <w:rPr>
          <w:rFonts w:ascii="DejaVu Serif" w:hAnsi="DejaVu Serif" w:eastAsia="DejaVu Serif"/>
          <w:b w:val="0"/>
          <w:i w:val="0"/>
        </w:rPr>
        <w:t>Freezing is evidenced by a timestamp, protocol owner, and hashes. A blank field is not completed after the result by a silent assumption.</w:t>
      </w:r>
    </w:p>
    <w:p>
      <w:pPr>
        <w:pStyle w:val="Heading2"/>
        <w:keepNext/>
      </w:pPr>
      <w:r>
        <w:t>41.2. Sample Splits</w:t>
      </w:r>
    </w:p>
    <w:p>
      <w:pPr>
        <w:spacing w:before="80" w:after="100"/>
        <w:jc w:val="center"/>
      </w:pPr>
      <w:r>
        <w:rPr>
          <w:rFonts w:ascii="DejaVu Serif" w:hAnsi="DejaVu Serif" w:eastAsia="DejaVu Serif"/>
          <w:b w:val="0"/>
          <w:i w:val="0"/>
          <w:sz w:val="21"/>
        </w:rPr>
        <w:t>train -&gt; model;   cal -&gt; corridor;   test -&gt; internal audit;   ext -&gt; external audit</w:t>
      </w:r>
      <w:r>
        <w:rPr>
          <w:rFonts w:ascii="DejaVu Serif" w:hAnsi="DejaVu Serif" w:eastAsia="DejaVu Serif"/>
          <w:b w:val="0"/>
          <w:i/>
          <w:color w:val="6B7280"/>
          <w:sz w:val="17"/>
        </w:rPr>
        <w:t xml:space="preserve">    [RU p. 190]</w:t>
      </w:r>
    </w:p>
    <w:p>
      <w:pPr>
        <w:spacing w:after="80" w:line="269" w:lineRule="auto"/>
        <w:jc w:val="both"/>
      </w:pPr>
      <w:r>
        <w:rPr>
          <w:rFonts w:ascii="DejaVu Serif" w:hAnsi="DejaVu Serif" w:eastAsia="DejaVu Serif"/>
          <w:b w:val="0"/>
          <w:i w:val="0"/>
        </w:rPr>
        <w:t>An independent ext source does not guarantee statistical independence when objects are duplicated, instruments share calibration, or annotators use one hidden reference. The provenance graph must test these dependencies. Any change to features, loss, null, or threshold after test unblinding creates a new version and requires a fresh untouched test set.</w:t>
      </w:r>
    </w:p>
    <w:p>
      <w:pPr>
        <w:pStyle w:val="Heading2"/>
        <w:keepNext/>
      </w:pPr>
      <w:r>
        <w:t>41.3. Multiple Testing</w:t>
      </w:r>
    </w:p>
    <w:p>
      <w:pPr>
        <w:spacing w:before="80" w:after="100"/>
        <w:jc w:val="center"/>
      </w:pPr>
      <w:r>
        <w:rPr>
          <w:rFonts w:ascii="DejaVu Serif" w:hAnsi="DejaVu Serif" w:eastAsia="DejaVu Serif"/>
          <w:b w:val="0"/>
          <w:i w:val="0"/>
          <w:sz w:val="21"/>
        </w:rPr>
        <w:t>p_(j) &lt;= alpha / (m-j+1)</w:t>
      </w:r>
      <w:r>
        <w:rPr>
          <w:rFonts w:ascii="DejaVu Serif" w:hAnsi="DejaVu Serif" w:eastAsia="DejaVu Serif"/>
          <w:b w:val="0"/>
          <w:i/>
          <w:color w:val="6B7280"/>
          <w:sz w:val="17"/>
        </w:rPr>
        <w:t xml:space="preserve">    [RU p. 190]</w:t>
      </w:r>
    </w:p>
    <w:p>
      <w:pPr>
        <w:spacing w:before="100" w:after="60"/>
      </w:pPr>
      <w:r>
        <w:rPr>
          <w:rFonts w:ascii="DejaVu Serif" w:hAnsi="DejaVu Serif" w:eastAsia="DejaVu Serif"/>
          <w:b/>
          <w:i w:val="0"/>
          <w:color w:val="173B63"/>
        </w:rPr>
        <w:t xml:space="preserve">Theorem 41.1 - Holm familywise control [THM]. </w:t>
      </w:r>
      <w:r>
        <w:rPr>
          <w:rFonts w:ascii="DejaVu Serif" w:hAnsi="DejaVu Serif" w:eastAsia="DejaVu Serif"/>
          <w:b w:val="0"/>
          <w:i w:val="0"/>
        </w:rPr>
        <w:t>For valid individual p-values, the Holm step-down procedure controls the probability of at least one false rejection at level alpha without requiring independence of the p-values.</w:t>
      </w:r>
    </w:p>
    <w:p>
      <w:pPr>
        <w:ind w:left="283" w:right="113"/>
        <w:jc w:val="both"/>
      </w:pPr>
      <w:r>
        <w:rPr>
          <w:rFonts w:ascii="DejaVu Serif" w:hAnsi="DejaVu Serif" w:eastAsia="DejaVu Serif"/>
          <w:b/>
          <w:i/>
        </w:rPr>
        <w:t xml:space="preserve">Proof. </w:t>
      </w:r>
      <w:r>
        <w:rPr>
          <w:rFonts w:ascii="DejaVu Serif" w:hAnsi="DejaVu Serif" w:eastAsia="DejaVu Serif"/>
          <w:b w:val="0"/>
          <w:i/>
        </w:rPr>
        <w:t>If the first false rejection occurs and m0 null hypotheses are true, the smallest true-null p-value is at most alpha/m0. The Bonferroni inequality bounds this event by alpha.</w:t>
      </w:r>
    </w:p>
    <w:p>
      <w:pPr>
        <w:pStyle w:val="Heading2"/>
        <w:keepNext/>
      </w:pPr>
      <w:r>
        <w:t>41.4. Evidence Levels</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113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Level</w:t>
            </w:r>
          </w:p>
        </w:tc>
        <w:tc>
          <w:tcPr>
            <w:tcW w:type="dxa" w:w="3969"/>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Confirmed</w:t>
            </w:r>
          </w:p>
        </w:tc>
        <w:tc>
          <w:tcPr>
            <w:tcW w:type="dxa" w:w="4082"/>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Not implied</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7"/>
              </w:rPr>
              <w:t>L0</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7"/>
              </w:rPr>
              <w:t>scheme and formulae</w:t>
            </w:r>
          </w:p>
        </w:tc>
        <w:tc>
          <w:tcPr>
            <w:tcW w:type="dxa" w:w="4082"/>
            <w:tcMar>
              <w:top w:w="90" w:type="dxa"/>
              <w:start w:w="110" w:type="dxa"/>
              <w:bottom w:w="90" w:type="dxa"/>
              <w:end w:w="110" w:type="dxa"/>
            </w:tcMar>
            <w:vAlign w:val="center"/>
          </w:tcPr>
          <w:p>
            <w:pPr>
              <w:jc w:val="left"/>
            </w:pPr>
            <w:r>
              <w:rPr>
                <w:rFonts w:ascii="DejaVu Serif" w:hAnsi="DejaVu Serif" w:eastAsia="DejaVu Serif"/>
                <w:b w:val="0"/>
                <w:i w:val="0"/>
                <w:sz w:val="17"/>
              </w:rPr>
              <w:t>executability</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L1</w:t>
            </w:r>
          </w:p>
        </w:tc>
        <w:tc>
          <w:tcPr>
            <w:tcW w:type="dxa" w:w="3969"/>
            <w:tcMar>
              <w:top w:w="90" w:type="dxa"/>
              <w:start w:w="110" w:type="dxa"/>
              <w:bottom w:w="90" w:type="dxa"/>
              <w:end w:w="110" w:type="dxa"/>
            </w:tcMar>
            <w:vAlign w:val="center"/>
            <w:shd w:fill="F4F7FA"/>
          </w:tcPr>
          <w:p>
            <w:pPr>
              <w:jc w:val="left"/>
            </w:pPr>
            <w:r>
              <w:rPr>
                <w:rFonts w:ascii="DejaVu Serif" w:hAnsi="DejaVu Serif" w:eastAsia="DejaVu Serif"/>
                <w:b w:val="0"/>
                <w:i w:val="0"/>
                <w:sz w:val="17"/>
              </w:rPr>
              <w:t>unit/replay on synthetic data</w:t>
            </w:r>
          </w:p>
        </w:tc>
        <w:tc>
          <w:tcPr>
            <w:tcW w:type="dxa" w:w="4082"/>
            <w:tcMar>
              <w:top w:w="90" w:type="dxa"/>
              <w:start w:w="110" w:type="dxa"/>
              <w:bottom w:w="90" w:type="dxa"/>
              <w:end w:w="110" w:type="dxa"/>
            </w:tcMar>
            <w:vAlign w:val="center"/>
            <w:shd w:fill="F4F7FA"/>
          </w:tcPr>
          <w:p>
            <w:pPr>
              <w:jc w:val="left"/>
            </w:pPr>
            <w:r>
              <w:rPr>
                <w:rFonts w:ascii="DejaVu Serif" w:hAnsi="DejaVu Serif" w:eastAsia="DejaVu Serif"/>
                <w:b w:val="0"/>
                <w:i w:val="0"/>
                <w:sz w:val="17"/>
              </w:rPr>
              <w:t>domain validity</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7"/>
              </w:rPr>
              <w:t>L2</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7"/>
              </w:rPr>
              <w:t>internal test</w:t>
            </w:r>
          </w:p>
        </w:tc>
        <w:tc>
          <w:tcPr>
            <w:tcW w:type="dxa" w:w="4082"/>
            <w:tcMar>
              <w:top w:w="90" w:type="dxa"/>
              <w:start w:w="110" w:type="dxa"/>
              <w:bottom w:w="90" w:type="dxa"/>
              <w:end w:w="110" w:type="dxa"/>
            </w:tcMar>
            <w:vAlign w:val="center"/>
          </w:tcPr>
          <w:p>
            <w:pPr>
              <w:jc w:val="left"/>
            </w:pPr>
            <w:r>
              <w:rPr>
                <w:rFonts w:ascii="DejaVu Serif" w:hAnsi="DejaVu Serif" w:eastAsia="DejaVu Serif"/>
                <w:b w:val="0"/>
                <w:i w:val="0"/>
                <w:sz w:val="17"/>
              </w:rPr>
              <w:t>external transportability</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L3</w:t>
            </w:r>
          </w:p>
        </w:tc>
        <w:tc>
          <w:tcPr>
            <w:tcW w:type="dxa" w:w="3969"/>
            <w:tcMar>
              <w:top w:w="90" w:type="dxa"/>
              <w:start w:w="110" w:type="dxa"/>
              <w:bottom w:w="90" w:type="dxa"/>
              <w:end w:w="110" w:type="dxa"/>
            </w:tcMar>
            <w:vAlign w:val="center"/>
            <w:shd w:fill="F4F7FA"/>
          </w:tcPr>
          <w:p>
            <w:pPr>
              <w:jc w:val="left"/>
            </w:pPr>
            <w:r>
              <w:rPr>
                <w:rFonts w:ascii="DejaVu Serif" w:hAnsi="DejaVu Serif" w:eastAsia="DejaVu Serif"/>
                <w:b w:val="0"/>
                <w:i w:val="0"/>
                <w:sz w:val="17"/>
              </w:rPr>
              <w:t>independent ext</w:t>
            </w:r>
          </w:p>
        </w:tc>
        <w:tc>
          <w:tcPr>
            <w:tcW w:type="dxa" w:w="4082"/>
            <w:tcMar>
              <w:top w:w="90" w:type="dxa"/>
              <w:start w:w="110" w:type="dxa"/>
              <w:bottom w:w="90" w:type="dxa"/>
              <w:end w:w="110" w:type="dxa"/>
            </w:tcMar>
            <w:vAlign w:val="center"/>
            <w:shd w:fill="F4F7FA"/>
          </w:tcPr>
          <w:p>
            <w:pPr>
              <w:jc w:val="left"/>
            </w:pPr>
            <w:r>
              <w:rPr>
                <w:rFonts w:ascii="DejaVu Serif" w:hAnsi="DejaVu Serif" w:eastAsia="DejaVu Serif"/>
                <w:b w:val="0"/>
                <w:i w:val="0"/>
                <w:sz w:val="17"/>
              </w:rPr>
              <w:t>universality</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7"/>
              </w:rPr>
              <w:t>L4</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7"/>
              </w:rPr>
              <w:t>multi-domain replication</w:t>
            </w:r>
          </w:p>
        </w:tc>
        <w:tc>
          <w:tcPr>
            <w:tcW w:type="dxa" w:w="4082"/>
            <w:tcMar>
              <w:top w:w="90" w:type="dxa"/>
              <w:start w:w="110" w:type="dxa"/>
              <w:bottom w:w="90" w:type="dxa"/>
              <w:end w:w="110" w:type="dxa"/>
            </w:tcMar>
            <w:vAlign w:val="center"/>
          </w:tcPr>
          <w:p>
            <w:pPr>
              <w:jc w:val="left"/>
            </w:pPr>
            <w:r>
              <w:rPr>
                <w:rFonts w:ascii="DejaVu Serif" w:hAnsi="DejaVu Serif" w:eastAsia="DejaVu Serif"/>
                <w:b w:val="0"/>
                <w:i w:val="0"/>
                <w:sz w:val="17"/>
              </w:rPr>
              <w:t>metaphysical truth</w:t>
            </w:r>
          </w:p>
        </w:tc>
      </w:tr>
    </w:tbl>
    <w:p>
      <w:pPr>
        <w:spacing w:after="40"/>
      </w:pPr>
    </w:p>
    <w:p>
      <w:pPr>
        <w:spacing w:after="80" w:line="269" w:lineRule="auto"/>
        <w:jc w:val="both"/>
      </w:pPr>
      <w:r>
        <w:rPr>
          <w:rFonts w:ascii="DejaVu Serif" w:hAnsi="DejaVu Serif" w:eastAsia="DejaVu Serif"/>
          <w:b w:val="0"/>
          <w:i w:val="0"/>
        </w:rPr>
        <w:t>Every level inherits unresolved blockers from previous levels. Moving from L2 to L3 requires a new source, not a new interpretation of the same test.</w:t>
      </w:r>
    </w:p>
    <w:p>
      <w:pPr>
        <w:pStyle w:val="Heading2"/>
        <w:keepNext/>
      </w:pPr>
      <w:r>
        <w:t>41.5. Decisions and Statuses</w:t>
      </w:r>
    </w:p>
    <w:p>
      <w:pPr>
        <w:spacing w:after="80" w:line="269" w:lineRule="auto"/>
        <w:jc w:val="both"/>
      </w:pPr>
      <w:r>
        <w:rPr>
          <w:rFonts w:ascii="DejaVu Serif" w:hAnsi="DejaVu Serif" w:eastAsia="DejaVu Serif"/>
          <w:b w:val="0"/>
          <w:i w:val="0"/>
        </w:rPr>
        <w:t>PASS means the preregistered criterion was met. FAIL means a valid completed test produced a negative result. ABSTAIN means the method does not authorise a definite object-level forecast. BLOCK means a prerequisite failed or the test was not executable. FAIL is not renamed ABSTAIN, and BLOCK is not included in the denominator of successful tests.</w:t>
      </w:r>
    </w:p>
    <w:p>
      <w:pPr>
        <w:pStyle w:val="Heading2"/>
        <w:keepNext/>
      </w:pPr>
      <w:r>
        <w:t>41.6. Error-Budget Composition</w:t>
      </w:r>
    </w:p>
    <w:p>
      <w:pPr>
        <w:spacing w:before="80" w:after="100"/>
        <w:jc w:val="center"/>
      </w:pPr>
      <w:r>
        <w:rPr>
          <w:rFonts w:ascii="DejaVu Serif" w:hAnsi="DejaVu Serif" w:eastAsia="DejaVu Serif"/>
          <w:b w:val="0"/>
          <w:i w:val="0"/>
          <w:sz w:val="21"/>
        </w:rPr>
        <w:t>P(union_j E_j) &lt;= sum_j alpha_j</w:t>
      </w:r>
      <w:r>
        <w:rPr>
          <w:rFonts w:ascii="DejaVu Serif" w:hAnsi="DejaVu Serif" w:eastAsia="DejaVu Serif"/>
          <w:b w:val="0"/>
          <w:i/>
          <w:color w:val="6B7280"/>
          <w:sz w:val="17"/>
        </w:rPr>
        <w:t xml:space="preserve">    [RU p. 191]</w:t>
      </w:r>
    </w:p>
    <w:p>
      <w:pPr>
        <w:spacing w:before="100" w:after="60"/>
      </w:pPr>
      <w:r>
        <w:rPr>
          <w:rFonts w:ascii="DejaVu Serif" w:hAnsi="DejaVu Serif" w:eastAsia="DejaVu Serif"/>
          <w:b/>
          <w:i w:val="0"/>
          <w:color w:val="173B63"/>
        </w:rPr>
        <w:t xml:space="preserve">Theorem 41.2 - Registered union budget [THM]. </w:t>
      </w:r>
      <w:r>
        <w:rPr>
          <w:rFonts w:ascii="DejaVu Serif" w:hAnsi="DejaVu Serif" w:eastAsia="DejaVu Serif"/>
          <w:b w:val="0"/>
          <w:i w:val="0"/>
        </w:rPr>
        <w:t>If P(E_j)&lt;=alpha_j for every registered error event and sum_j alpha_j&lt;=alpha_total, then the probability of at least one event in the family is at most alpha_total.</w:t>
      </w:r>
    </w:p>
    <w:p>
      <w:pPr>
        <w:ind w:left="283" w:right="113"/>
        <w:jc w:val="both"/>
      </w:pPr>
      <w:r>
        <w:rPr>
          <w:rFonts w:ascii="DejaVu Serif" w:hAnsi="DejaVu Serif" w:eastAsia="DejaVu Serif"/>
          <w:b/>
          <w:i/>
        </w:rPr>
        <w:t xml:space="preserve">Proof. </w:t>
      </w:r>
      <w:r>
        <w:rPr>
          <w:rFonts w:ascii="DejaVu Serif" w:hAnsi="DejaVu Serif" w:eastAsia="DejaVu Serif"/>
          <w:b w:val="0"/>
          <w:i/>
        </w:rPr>
        <w:t>Apply subadditivity of probability to the union. Independence is not required.</w:t>
      </w:r>
    </w:p>
    <w:p>
      <w:pPr>
        <w:spacing w:after="80" w:line="269" w:lineRule="auto"/>
        <w:jc w:val="both"/>
      </w:pPr>
      <w:r>
        <w:rPr>
          <w:rFonts w:ascii="DejaVu Serif" w:hAnsi="DejaVu Serif" w:eastAsia="DejaVu Serif"/>
          <w:b w:val="0"/>
          <w:i w:val="0"/>
        </w:rPr>
        <w:t>CGI, delta_truth, corridor width, and regret do not have the required probability meaning and therefore cannot be inserted into this sum. They remain separate coordinates.</w:t>
      </w:r>
    </w:p>
    <w:p>
      <w:pPr>
        <w:pStyle w:val="Heading2"/>
        <w:keepNext/>
      </w:pPr>
      <w:r>
        <w:t>41.7. Immutable Artifact-1 Card</w:t>
      </w:r>
    </w:p>
    <w:p>
      <w:pPr>
        <w:spacing w:before="80" w:after="100"/>
        <w:jc w:val="center"/>
      </w:pPr>
      <w:r>
        <w:rPr>
          <w:rFonts w:ascii="DejaVu Serif" w:hAnsi="DejaVu Serif" w:eastAsia="DejaVu Serif"/>
          <w:b w:val="0"/>
          <w:i w:val="0"/>
          <w:sz w:val="21"/>
        </w:rPr>
        <w:t>RIUD-TETRA-RUN006-029 -&gt; PROOF-OBJ-RUN007-0029 -&gt; FORMAL-CARD-RUN009-006 -&gt; SIGNATURE-REVIEW-RUN013-001</w:t>
      </w:r>
      <w:r>
        <w:rPr>
          <w:rFonts w:ascii="DejaVu Serif" w:hAnsi="DejaVu Serif" w:eastAsia="DejaVu Serif"/>
          <w:b w:val="0"/>
          <w:i/>
          <w:color w:val="6B7280"/>
          <w:sz w:val="17"/>
        </w:rPr>
        <w:t xml:space="preserve">    [RU p. 191]</w:t>
      </w:r>
    </w:p>
    <w:p>
      <w:pPr>
        <w:spacing w:before="80" w:after="100"/>
        <w:jc w:val="center"/>
      </w:pPr>
      <w:r>
        <w:rPr>
          <w:rFonts w:ascii="DejaVu Serif" w:hAnsi="DejaVu Serif" w:eastAsia="DejaVu Serif"/>
          <w:b w:val="0"/>
          <w:i w:val="0"/>
          <w:sz w:val="21"/>
        </w:rPr>
        <w:t>lambda=-0.992736565468; delta_truth=0.007263434532; CGI=0.140948882338</w:t>
      </w:r>
      <w:r>
        <w:rPr>
          <w:rFonts w:ascii="DejaVu Serif" w:hAnsi="DejaVu Serif" w:eastAsia="DejaVu Serif"/>
          <w:b w:val="0"/>
          <w:i/>
          <w:color w:val="6B7280"/>
          <w:sz w:val="17"/>
        </w:rPr>
        <w:t xml:space="preserve">    [RU p. 191]</w:t>
      </w:r>
    </w:p>
    <w:p>
      <w:pPr>
        <w:spacing w:after="80" w:line="269" w:lineRule="auto"/>
        <w:jc w:val="both"/>
      </w:pPr>
      <w:r>
        <w:rPr>
          <w:rFonts w:ascii="DejaVu Serif" w:hAnsi="DejaVu Serif" w:eastAsia="DejaVu Serif"/>
          <w:b w:val="0"/>
          <w:i w:val="0"/>
        </w:rPr>
        <w:t>The v196i8 layer changes none of these fields. Independent validation must be attached as a new linked object; it does not rewrite the old card.</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Independence begins not with a new table, but with refusing to let a future result rewrite a past rule. A negative outcome then becomes a completed fact rather than a defeat.</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SEQ-VALID-CERT-v196i8. </w:t>
            </w:r>
            <w:r>
              <w:rPr>
                <w:rFonts w:ascii="DejaVu Serif" w:hAnsi="DejaVu Serif" w:eastAsia="DejaVu Serif"/>
                <w:b w:val="0"/>
                <w:i w:val="0"/>
                <w:sz w:val="18"/>
              </w:rPr>
              <w:t>splits=train/cal/test/ext; multiplicity=Holm; error-budget=union-bound; blocker-safe=yes; optional-stopping=e-process-only; Artifact-1=frozen; independent-run=required; truth_layer_promotion=0.</w:t>
            </w:r>
          </w:p>
        </w:tc>
      </w:tr>
    </w:tbl>
    <w:p>
      <w:pPr>
        <w:spacing w:after="40"/>
      </w:pPr>
    </w:p>
    <w:p>
      <w:pPr>
        <w:pStyle w:val="Heading1"/>
        <w:keepNext/>
      </w:pPr>
      <w:bookmarkStart w:id="1041" w:name="T1_CH_42"/>
      <w:r>
        <w:t>Chapter 42. Domain Selection Before Outcome Disclosure and Protection Against Post-Selection</w:t>
      </w:r>
      <w:bookmarkEnd w:id="1041"/>
    </w:p>
    <w:p>
      <w:pPr>
        <w:spacing w:after="80" w:line="269" w:lineRule="auto"/>
        <w:jc w:val="both"/>
      </w:pPr>
      <w:r>
        <w:rPr>
          <w:rFonts w:ascii="DejaVu Serif" w:hAnsi="DejaVu Serif" w:eastAsia="DejaVu Serif"/>
          <w:b w:val="0"/>
          <w:i w:val="0"/>
        </w:rPr>
        <w:t>Russian source locator: pp. 193-194</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What happens if many domains are inspected but only the most favourable one is reported?</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The nominal error becomes too optimistic unless the selection was independent of the external responses or explicitly corrected.</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The selection rule S uses planning information I0 only; conditioning then preserves validity of the selected p-value.</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Selection using test outcomes requires a fresh holdout, multiplicity correction, or a proved selective-inference route.</w:t>
            </w:r>
          </w:p>
        </w:tc>
      </w:tr>
    </w:tbl>
    <w:p>
      <w:pPr>
        <w:spacing w:after="40"/>
      </w:pPr>
    </w:p>
    <w:p>
      <w:pPr>
        <w:keepNext/>
        <w:jc w:val="center"/>
      </w:pPr>
      <w:r>
        <w:drawing>
          <wp:inline xmlns:a="http://schemas.openxmlformats.org/drawingml/2006/main" xmlns:pic="http://schemas.openxmlformats.org/drawingml/2006/picture">
            <wp:extent cx="5623560" cy="2510902"/>
            <wp:docPr id="45" name="Picture 45"/>
            <wp:cNvGraphicFramePr>
              <a:graphicFrameLocks noChangeAspect="1"/>
            </wp:cNvGraphicFramePr>
            <a:graphic>
              <a:graphicData uri="http://schemas.openxmlformats.org/drawingml/2006/picture">
                <pic:pic>
                  <pic:nvPicPr>
                    <pic:cNvPr id="0" name="fig42_selection.png"/>
                    <pic:cNvPicPr/>
                  </pic:nvPicPr>
                  <pic:blipFill>
                    <a:blip r:embed="rId57"/>
                    <a:stretch>
                      <a:fillRect/>
                    </a:stretch>
                  </pic:blipFill>
                  <pic:spPr>
                    <a:xfrm>
                      <a:off x="0" y="0"/>
                      <a:ext cx="5623560" cy="2510902"/>
                    </a:xfrm>
                    <a:prstGeom prst="rect"/>
                  </pic:spPr>
                </pic:pic>
              </a:graphicData>
            </a:graphic>
          </wp:inline>
        </w:drawing>
      </w:r>
    </w:p>
    <w:p>
      <w:pPr>
        <w:pStyle w:val="Caption"/>
        <w:spacing w:before="40" w:after="160"/>
        <w:jc w:val="center"/>
      </w:pPr>
      <w:bookmarkStart w:id="1102" w:name="T1_FIG_044"/>
      <w:r>
        <w:t>Figure 42.1. Domain selection is frozen before the key to external outcomes is released.</w:t>
      </w:r>
      <w:bookmarkEnd w:id="1102"/>
    </w:p>
    <w:p>
      <w:pPr>
        <w:pStyle w:val="Heading2"/>
        <w:keepNext/>
      </w:pPr>
      <w:r>
        <w:t>42.1. Candidate Space and Selection Map</w:t>
      </w:r>
    </w:p>
    <w:p>
      <w:pPr>
        <w:spacing w:before="80" w:after="100"/>
        <w:jc w:val="center"/>
      </w:pPr>
      <w:r>
        <w:rPr>
          <w:rFonts w:ascii="DejaVu Serif" w:hAnsi="DejaVu Serif" w:eastAsia="DejaVu Serif"/>
          <w:b w:val="0"/>
          <w:i w:val="0"/>
          <w:sz w:val="21"/>
        </w:rPr>
        <w:t>Delta={delta_1,...,delta_M};   S:I0 -&gt; Delta;   delta*=S(I0)</w:t>
      </w:r>
      <w:r>
        <w:rPr>
          <w:rFonts w:ascii="DejaVu Serif" w:hAnsi="DejaVu Serif" w:eastAsia="DejaVu Serif"/>
          <w:b w:val="0"/>
          <w:i/>
          <w:color w:val="6B7280"/>
          <w:sz w:val="17"/>
        </w:rPr>
        <w:t xml:space="preserve">    [RU p. 193]</w:t>
      </w:r>
    </w:p>
    <w:p>
      <w:pPr>
        <w:spacing w:after="80" w:line="269" w:lineRule="auto"/>
        <w:jc w:val="both"/>
      </w:pPr>
      <w:r>
        <w:rPr>
          <w:rFonts w:ascii="DejaVu Serif" w:hAnsi="DejaVu Serif" w:eastAsia="DejaVu Serif"/>
          <w:b w:val="0"/>
          <w:i w:val="0"/>
        </w:rPr>
        <w:t>I0 may contain source availability, ethics, units, cluster identifiers, cost, and minimum size, but not the external outcomes. D_ext is the finite data set in the selected domain; Dom(S) is the mathematical domain of the selection rule. These symbols remain distinct.</w:t>
      </w:r>
    </w:p>
    <w:p>
      <w:pPr>
        <w:pStyle w:val="Heading2"/>
        <w:keepNext/>
      </w:pPr>
      <w:r>
        <w:t>42.2. Validity of a Selected p-Value</w:t>
      </w:r>
    </w:p>
    <w:p>
      <w:pPr>
        <w:spacing w:before="100" w:after="60"/>
      </w:pPr>
      <w:r>
        <w:rPr>
          <w:rFonts w:ascii="DejaVu Serif" w:hAnsi="DejaVu Serif" w:eastAsia="DejaVu Serif"/>
          <w:b/>
          <w:i w:val="0"/>
          <w:color w:val="173B63"/>
        </w:rPr>
        <w:t xml:space="preserve">Theorem 42.1 - Validity by conditioning [THM]. </w:t>
      </w:r>
      <w:r>
        <w:rPr>
          <w:rFonts w:ascii="DejaVu Serif" w:hAnsi="DejaVu Serif" w:eastAsia="DejaVu Serif"/>
          <w:b w:val="0"/>
          <w:i w:val="0"/>
        </w:rPr>
        <w:t>If for every fixed delta, P(p(delta)&lt;=u | I0)&lt;=u, and delta*=S(I0), then P(p(delta*)&lt;=u)&lt;=u.</w:t>
      </w:r>
    </w:p>
    <w:p>
      <w:pPr>
        <w:ind w:left="283" w:right="113"/>
        <w:jc w:val="both"/>
      </w:pPr>
      <w:r>
        <w:rPr>
          <w:rFonts w:ascii="DejaVu Serif" w:hAnsi="DejaVu Serif" w:eastAsia="DejaVu Serif"/>
          <w:b/>
          <w:i/>
        </w:rPr>
        <w:t xml:space="preserve">Proof. </w:t>
      </w:r>
      <w:r>
        <w:rPr>
          <w:rFonts w:ascii="DejaVu Serif" w:hAnsi="DejaVu Serif" w:eastAsia="DejaVu Serif"/>
          <w:b w:val="0"/>
          <w:i/>
        </w:rPr>
        <w:t>Conditionally on I0, delta* is fixed. Apply the conditional validity inequality and then take expectation over I0.</w:t>
      </w:r>
    </w:p>
    <w:p>
      <w:pPr>
        <w:spacing w:after="80" w:line="269" w:lineRule="auto"/>
        <w:jc w:val="both"/>
      </w:pPr>
      <w:r>
        <w:rPr>
          <w:rFonts w:ascii="DejaVu Serif" w:hAnsi="DejaVu Serif" w:eastAsia="DejaVu Serif"/>
          <w:b w:val="0"/>
          <w:i w:val="0"/>
        </w:rPr>
        <w:t>A domain may therefore be chosen by logistics, scientific relevance, and previously established feasibility provided those criteria do not use the external responses.</w:t>
      </w:r>
    </w:p>
    <w:p>
      <w:pPr>
        <w:pStyle w:val="Heading2"/>
        <w:keepNext/>
      </w:pPr>
      <w:r>
        <w:t>42.3. Post-Selection Counterexample</w:t>
      </w:r>
    </w:p>
    <w:p>
      <w:pPr>
        <w:spacing w:before="80" w:after="100"/>
        <w:jc w:val="center"/>
      </w:pPr>
      <w:r>
        <w:rPr>
          <w:rFonts w:ascii="DejaVu Serif" w:hAnsi="DejaVu Serif" w:eastAsia="DejaVu Serif"/>
          <w:b w:val="0"/>
          <w:i w:val="0"/>
          <w:sz w:val="21"/>
        </w:rPr>
        <w:t>P(min_{1&lt;=m&lt;=M} p_m &lt;= alpha) = 1 - (1-alpha)^M</w:t>
      </w:r>
      <w:r>
        <w:rPr>
          <w:rFonts w:ascii="DejaVu Serif" w:hAnsi="DejaVu Serif" w:eastAsia="DejaVu Serif"/>
          <w:b w:val="0"/>
          <w:i/>
          <w:color w:val="6B7280"/>
          <w:sz w:val="17"/>
        </w:rPr>
        <w:t xml:space="preserve">    [RU p. 193]</w:t>
      </w:r>
    </w:p>
    <w:p>
      <w:pPr>
        <w:spacing w:after="80" w:line="269" w:lineRule="auto"/>
        <w:jc w:val="both"/>
      </w:pPr>
      <w:r>
        <w:rPr>
          <w:rFonts w:ascii="DejaVu Serif" w:hAnsi="DejaVu Serif" w:eastAsia="DejaVu Serif"/>
          <w:b w:val="0"/>
          <w:i w:val="0"/>
        </w:rPr>
        <w:t>For M independent uniform p-values under H0, reporting only their minimum exceeds the nominal level whenever M&gt;1. Agreement with a theoretical expectation does not remove the selection error.</w:t>
      </w:r>
    </w:p>
    <w:p>
      <w:pPr>
        <w:pStyle w:val="Heading2"/>
        <w:keepNext/>
      </w:pPr>
      <w:r>
        <w:t>42.4. Admissible Routes After Selection</w:t>
      </w:r>
    </w:p>
    <w:tbl>
      <w:tblPr>
        <w:tblStyle w:val="TableGrid"/>
        <w:tblW w:type="auto" w:w="0"/>
        <w:jc w:val="center"/>
        <w:tblLook w:firstColumn="1" w:firstRow="1" w:lastColumn="0" w:lastRow="0" w:noHBand="0" w:noVBand="1" w:val="04A0"/>
      </w:tblPr>
      <w:tblGrid>
        <w:gridCol w:w="5035"/>
        <w:gridCol w:w="5035"/>
      </w:tblGrid>
      <w:tr>
        <w:trPr>
          <w:tblHeader w:val="true"/>
        </w:trPr>
        <w:tc>
          <w:tcPr>
            <w:tcW w:type="dxa" w:w="113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Route</w:t>
            </w:r>
          </w:p>
        </w:tc>
        <w:tc>
          <w:tcPr>
            <w:tcW w:type="dxa" w:w="8050"/>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Requirement</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7"/>
              </w:rPr>
              <w:t>A</w:t>
            </w:r>
          </w:p>
        </w:tc>
        <w:tc>
          <w:tcPr>
            <w:tcW w:type="dxa" w:w="8050"/>
            <w:tcMar>
              <w:top w:w="90" w:type="dxa"/>
              <w:start w:w="110" w:type="dxa"/>
              <w:bottom w:w="90" w:type="dxa"/>
              <w:end w:w="110" w:type="dxa"/>
            </w:tcMar>
            <w:vAlign w:val="center"/>
          </w:tcPr>
          <w:p>
            <w:pPr>
              <w:jc w:val="left"/>
            </w:pPr>
            <w:r>
              <w:rPr>
                <w:rFonts w:ascii="DejaVu Serif" w:hAnsi="DejaVu Serif" w:eastAsia="DejaVu Serif"/>
                <w:b w:val="0"/>
                <w:i w:val="0"/>
                <w:sz w:val="17"/>
              </w:rPr>
              <w:t>Select on planning/train and use a new untouched ext set.</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B</w:t>
            </w:r>
          </w:p>
        </w:tc>
        <w:tc>
          <w:tcPr>
            <w:tcW w:type="dxa" w:w="8050"/>
            <w:tcMar>
              <w:top w:w="90" w:type="dxa"/>
              <w:start w:w="110" w:type="dxa"/>
              <w:bottom w:w="90" w:type="dxa"/>
              <w:end w:w="110" w:type="dxa"/>
            </w:tcMar>
            <w:vAlign w:val="center"/>
            <w:shd w:fill="F4F7FA"/>
          </w:tcPr>
          <w:p>
            <w:pPr>
              <w:jc w:val="left"/>
            </w:pPr>
            <w:r>
              <w:rPr>
                <w:rFonts w:ascii="DejaVu Serif" w:hAnsi="DejaVu Serif" w:eastAsia="DejaVu Serif"/>
                <w:b w:val="0"/>
                <w:i w:val="0"/>
                <w:sz w:val="17"/>
              </w:rPr>
              <w:t>Include every inspected domain in a multiplicity procedure.</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7"/>
              </w:rPr>
              <w:t>C</w:t>
            </w:r>
          </w:p>
        </w:tc>
        <w:tc>
          <w:tcPr>
            <w:tcW w:type="dxa" w:w="8050"/>
            <w:tcMar>
              <w:top w:w="90" w:type="dxa"/>
              <w:start w:w="110" w:type="dxa"/>
              <w:bottom w:w="90" w:type="dxa"/>
              <w:end w:w="110" w:type="dxa"/>
            </w:tcMar>
            <w:vAlign w:val="center"/>
          </w:tcPr>
          <w:p>
            <w:pPr>
              <w:jc w:val="left"/>
            </w:pPr>
            <w:r>
              <w:rPr>
                <w:rFonts w:ascii="DejaVu Serif" w:hAnsi="DejaVu Serif" w:eastAsia="DejaVu Serif"/>
                <w:b w:val="0"/>
                <w:i w:val="0"/>
                <w:sz w:val="17"/>
              </w:rPr>
              <w:t>Condition on the selection event and use a proved selective-inference method.</w:t>
            </w:r>
          </w:p>
        </w:tc>
      </w:tr>
    </w:tbl>
    <w:p>
      <w:pPr>
        <w:spacing w:after="40"/>
      </w:pPr>
    </w:p>
    <w:p>
      <w:pPr>
        <w:spacing w:after="80" w:line="269" w:lineRule="auto"/>
        <w:jc w:val="both"/>
      </w:pPr>
      <w:r>
        <w:rPr>
          <w:rFonts w:ascii="DejaVu Serif" w:hAnsi="DejaVu Serif" w:eastAsia="DejaVu Serif"/>
          <w:b w:val="0"/>
          <w:i w:val="0"/>
        </w:rPr>
        <w:t>Repeated holdout use is valid only under a mechanism specifically designed to control adaptivity. Repeatedly looking at an ordinary holdout does not become valid merely by calling it a holdout.</w:t>
      </w:r>
    </w:p>
    <w:p>
      <w:pPr>
        <w:pStyle w:val="Heading2"/>
        <w:keepNext/>
      </w:pPr>
      <w:r>
        <w:t>42.5. Freeze Register</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170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Field</w:t>
            </w:r>
          </w:p>
        </w:tc>
        <w:tc>
          <w:tcPr>
            <w:tcW w:type="dxa" w:w="4535"/>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Frozen value</w:t>
            </w:r>
          </w:p>
        </w:tc>
        <w:tc>
          <w:tcPr>
            <w:tcW w:type="dxa" w:w="294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Block if violated</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6"/>
              </w:rPr>
              <w:t>target</w:t>
            </w:r>
          </w:p>
        </w:tc>
        <w:tc>
          <w:tcPr>
            <w:tcW w:type="dxa" w:w="4535"/>
            <w:tcMar>
              <w:top w:w="90" w:type="dxa"/>
              <w:start w:w="110" w:type="dxa"/>
              <w:bottom w:w="90" w:type="dxa"/>
              <w:end w:w="110" w:type="dxa"/>
            </w:tcMar>
            <w:vAlign w:val="center"/>
          </w:tcPr>
          <w:p>
            <w:pPr>
              <w:jc w:val="left"/>
            </w:pPr>
            <w:r>
              <w:rPr>
                <w:rFonts w:ascii="DejaVu Serif" w:hAnsi="DejaVu Serif" w:eastAsia="DejaVu Serif"/>
                <w:b w:val="0"/>
                <w:i w:val="0"/>
                <w:sz w:val="16"/>
              </w:rPr>
              <w:t>outcome, horizon, population</w:t>
            </w:r>
          </w:p>
        </w:tc>
        <w:tc>
          <w:tcPr>
            <w:tcW w:type="dxa" w:w="2948"/>
            <w:tcMar>
              <w:top w:w="90" w:type="dxa"/>
              <w:start w:w="110" w:type="dxa"/>
              <w:bottom w:w="90" w:type="dxa"/>
              <w:end w:w="110" w:type="dxa"/>
            </w:tcMar>
            <w:vAlign w:val="center"/>
          </w:tcPr>
          <w:p>
            <w:pPr>
              <w:jc w:val="left"/>
            </w:pPr>
            <w:r>
              <w:rPr>
                <w:rFonts w:ascii="DejaVu Serif" w:hAnsi="DejaVu Serif" w:eastAsia="DejaVu Serif"/>
                <w:b w:val="0"/>
                <w:i w:val="0"/>
                <w:sz w:val="16"/>
              </w:rPr>
              <w:t>target-changed</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domain</w:t>
            </w:r>
          </w:p>
        </w:tc>
        <w:tc>
          <w:tcPr>
            <w:tcW w:type="dxa" w:w="45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delta* and rule S</w:t>
            </w:r>
          </w:p>
        </w:tc>
        <w:tc>
          <w:tcPr>
            <w:tcW w:type="dxa" w:w="2948"/>
            <w:tcMar>
              <w:top w:w="90" w:type="dxa"/>
              <w:start w:w="110" w:type="dxa"/>
              <w:bottom w:w="90" w:type="dxa"/>
              <w:end w:w="110" w:type="dxa"/>
            </w:tcMar>
            <w:vAlign w:val="center"/>
            <w:shd w:fill="F4F7FA"/>
          </w:tcPr>
          <w:p>
            <w:pPr>
              <w:jc w:val="left"/>
            </w:pPr>
            <w:r>
              <w:rPr>
                <w:rFonts w:ascii="DejaVu Serif" w:hAnsi="DejaVu Serif" w:eastAsia="DejaVu Serif"/>
                <w:b w:val="0"/>
                <w:i w:val="0"/>
                <w:sz w:val="16"/>
              </w:rPr>
              <w:t>post-selection</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6"/>
              </w:rPr>
              <w:t>adapter</w:t>
            </w:r>
          </w:p>
        </w:tc>
        <w:tc>
          <w:tcPr>
            <w:tcW w:type="dxa" w:w="4535"/>
            <w:tcMar>
              <w:top w:w="90" w:type="dxa"/>
              <w:start w:w="110" w:type="dxa"/>
              <w:bottom w:w="90" w:type="dxa"/>
              <w:end w:w="110" w:type="dxa"/>
            </w:tcMar>
            <w:vAlign w:val="center"/>
          </w:tcPr>
          <w:p>
            <w:pPr>
              <w:jc w:val="left"/>
            </w:pPr>
            <w:r>
              <w:rPr>
                <w:rFonts w:ascii="DejaVu Serif" w:hAnsi="DejaVu Serif" w:eastAsia="DejaVu Serif"/>
                <w:b w:val="0"/>
                <w:i w:val="0"/>
                <w:sz w:val="16"/>
              </w:rPr>
              <w:t>code and hash</w:t>
            </w:r>
          </w:p>
        </w:tc>
        <w:tc>
          <w:tcPr>
            <w:tcW w:type="dxa" w:w="2948"/>
            <w:tcMar>
              <w:top w:w="90" w:type="dxa"/>
              <w:start w:w="110" w:type="dxa"/>
              <w:bottom w:w="90" w:type="dxa"/>
              <w:end w:w="110" w:type="dxa"/>
            </w:tcMar>
            <w:vAlign w:val="center"/>
          </w:tcPr>
          <w:p>
            <w:pPr>
              <w:jc w:val="left"/>
            </w:pPr>
            <w:r>
              <w:rPr>
                <w:rFonts w:ascii="DejaVu Serif" w:hAnsi="DejaVu Serif" w:eastAsia="DejaVu Serif"/>
                <w:b w:val="0"/>
                <w:i w:val="0"/>
                <w:sz w:val="16"/>
              </w:rPr>
              <w:t>adapter-drift</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score/loss</w:t>
            </w:r>
          </w:p>
        </w:tc>
        <w:tc>
          <w:tcPr>
            <w:tcW w:type="dxa" w:w="45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formula and units</w:t>
            </w:r>
          </w:p>
        </w:tc>
        <w:tc>
          <w:tcPr>
            <w:tcW w:type="dxa" w:w="2948"/>
            <w:tcMar>
              <w:top w:w="90" w:type="dxa"/>
              <w:start w:w="110" w:type="dxa"/>
              <w:bottom w:w="90" w:type="dxa"/>
              <w:end w:w="110" w:type="dxa"/>
            </w:tcMar>
            <w:vAlign w:val="center"/>
            <w:shd w:fill="F4F7FA"/>
          </w:tcPr>
          <w:p>
            <w:pPr>
              <w:jc w:val="left"/>
            </w:pPr>
            <w:r>
              <w:rPr>
                <w:rFonts w:ascii="DejaVu Serif" w:hAnsi="DejaVu Serif" w:eastAsia="DejaVu Serif"/>
                <w:b w:val="0"/>
                <w:i w:val="0"/>
                <w:sz w:val="16"/>
              </w:rPr>
              <w:t>metric-shopping</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6"/>
              </w:rPr>
              <w:t>null</w:t>
            </w:r>
          </w:p>
        </w:tc>
        <w:tc>
          <w:tcPr>
            <w:tcW w:type="dxa" w:w="4535"/>
            <w:tcMar>
              <w:top w:w="90" w:type="dxa"/>
              <w:start w:w="110" w:type="dxa"/>
              <w:bottom w:w="90" w:type="dxa"/>
              <w:end w:w="110" w:type="dxa"/>
            </w:tcMar>
            <w:vAlign w:val="center"/>
          </w:tcPr>
          <w:p>
            <w:pPr>
              <w:jc w:val="left"/>
            </w:pPr>
            <w:r>
              <w:rPr>
                <w:rFonts w:ascii="DejaVu Serif" w:hAnsi="DejaVu Serif" w:eastAsia="DejaVu Serif"/>
                <w:b w:val="0"/>
                <w:i w:val="0"/>
                <w:sz w:val="16"/>
              </w:rPr>
              <w:t>matched transformations</w:t>
            </w:r>
          </w:p>
        </w:tc>
        <w:tc>
          <w:tcPr>
            <w:tcW w:type="dxa" w:w="2948"/>
            <w:tcMar>
              <w:top w:w="90" w:type="dxa"/>
              <w:start w:w="110" w:type="dxa"/>
              <w:bottom w:w="90" w:type="dxa"/>
              <w:end w:w="110" w:type="dxa"/>
            </w:tcMar>
            <w:vAlign w:val="center"/>
          </w:tcPr>
          <w:p>
            <w:pPr>
              <w:jc w:val="left"/>
            </w:pPr>
            <w:r>
              <w:rPr>
                <w:rFonts w:ascii="DejaVu Serif" w:hAnsi="DejaVu Serif" w:eastAsia="DejaVu Serif"/>
                <w:b w:val="0"/>
                <w:i w:val="0"/>
                <w:sz w:val="16"/>
              </w:rPr>
              <w:t>invalid-null</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data</w:t>
            </w:r>
          </w:p>
        </w:tc>
        <w:tc>
          <w:tcPr>
            <w:tcW w:type="dxa" w:w="45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source/split/cluster</w:t>
            </w:r>
          </w:p>
        </w:tc>
        <w:tc>
          <w:tcPr>
            <w:tcW w:type="dxa" w:w="2948"/>
            <w:tcMar>
              <w:top w:w="90" w:type="dxa"/>
              <w:start w:w="110" w:type="dxa"/>
              <w:bottom w:w="90" w:type="dxa"/>
              <w:end w:w="110" w:type="dxa"/>
            </w:tcMar>
            <w:vAlign w:val="center"/>
            <w:shd w:fill="F4F7FA"/>
          </w:tcPr>
          <w:p>
            <w:pPr>
              <w:jc w:val="left"/>
            </w:pPr>
            <w:r>
              <w:rPr>
                <w:rFonts w:ascii="DejaVu Serif" w:hAnsi="DejaVu Serif" w:eastAsia="DejaVu Serif"/>
                <w:b w:val="0"/>
                <w:i w:val="0"/>
                <w:sz w:val="16"/>
              </w:rPr>
              <w:t>leakage</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6"/>
              </w:rPr>
              <w:t>decision</w:t>
            </w:r>
          </w:p>
        </w:tc>
        <w:tc>
          <w:tcPr>
            <w:tcW w:type="dxa" w:w="4535"/>
            <w:tcMar>
              <w:top w:w="90" w:type="dxa"/>
              <w:start w:w="110" w:type="dxa"/>
              <w:bottom w:w="90" w:type="dxa"/>
              <w:end w:w="110" w:type="dxa"/>
            </w:tcMar>
            <w:vAlign w:val="center"/>
          </w:tcPr>
          <w:p>
            <w:pPr>
              <w:jc w:val="left"/>
            </w:pPr>
            <w:r>
              <w:rPr>
                <w:rFonts w:ascii="DejaVu Serif" w:hAnsi="DejaVu Serif" w:eastAsia="DejaVu Serif"/>
                <w:b w:val="0"/>
                <w:i w:val="0"/>
                <w:sz w:val="16"/>
              </w:rPr>
              <w:t>alpha, power, PASS/FAIL</w:t>
            </w:r>
          </w:p>
        </w:tc>
        <w:tc>
          <w:tcPr>
            <w:tcW w:type="dxa" w:w="2948"/>
            <w:tcMar>
              <w:top w:w="90" w:type="dxa"/>
              <w:start w:w="110" w:type="dxa"/>
              <w:bottom w:w="90" w:type="dxa"/>
              <w:end w:w="110" w:type="dxa"/>
            </w:tcMar>
            <w:vAlign w:val="center"/>
          </w:tcPr>
          <w:p>
            <w:pPr>
              <w:jc w:val="left"/>
            </w:pPr>
            <w:r>
              <w:rPr>
                <w:rFonts w:ascii="DejaVu Serif" w:hAnsi="DejaVu Serif" w:eastAsia="DejaVu Serif"/>
                <w:b w:val="0"/>
                <w:i w:val="0"/>
                <w:sz w:val="16"/>
              </w:rPr>
              <w:t>moving-threshold</w:t>
            </w:r>
          </w:p>
        </w:tc>
      </w:tr>
    </w:tbl>
    <w:p>
      <w:pPr>
        <w:spacing w:after="40"/>
      </w:pPr>
    </w:p>
    <w:p>
      <w:pPr>
        <w:spacing w:after="80" w:line="269" w:lineRule="auto"/>
        <w:jc w:val="both"/>
      </w:pPr>
      <w:r>
        <w:rPr>
          <w:rFonts w:ascii="DejaVu Serif" w:hAnsi="DejaVu Serif" w:eastAsia="DejaVu Serif"/>
          <w:b w:val="0"/>
          <w:i w:val="0"/>
        </w:rPr>
        <w:t>The registry is signed before the external outcome key is released. When temporal order cannot be proved, the independence status is downgraded to unclear.</w:t>
      </w:r>
    </w:p>
    <w:p>
      <w:pPr>
        <w:pStyle w:val="Heading2"/>
        <w:keepNext/>
      </w:pPr>
      <w:r>
        <w:t>42.6. Relation to PN.2</w:t>
      </w:r>
    </w:p>
    <w:p>
      <w:pPr>
        <w:spacing w:after="80" w:line="269" w:lineRule="auto"/>
        <w:jc w:val="both"/>
      </w:pPr>
      <w:r>
        <w:rPr>
          <w:rFonts w:ascii="DejaVu Serif" w:hAnsi="DejaVu Serif" w:eastAsia="DejaVu Serif"/>
          <w:b w:val="0"/>
          <w:i w:val="0"/>
        </w:rPr>
        <w:t>PN.2 permits ambiguity among branches within a selected domain, but does not permit choosing the domain by whichever branch happened to look best. Domain and branch registries are frozen separately. A branch discovered after ext becomes a hypothesis of the next version.</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Selection becomes knowledge only when the result cannot secretly become the cause of its own selection. Preregistration breaks this circle and restores the future's right to surprise.</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SELECT-CERT-v196i9. </w:t>
            </w:r>
            <w:r>
              <w:rPr>
                <w:rFonts w:ascii="DejaVu Serif" w:hAnsi="DejaVu Serif" w:eastAsia="DejaVu Serif"/>
                <w:b w:val="0"/>
                <w:i w:val="0"/>
                <w:sz w:val="18"/>
              </w:rPr>
              <w:t>candidate-domains=frozen; selection=S(I0); external-outcomes=unseen; selected-p=valid-by-conditioning; post-selection-routes={new-holdout,multiplicity,selective-inference}; PN2-branch-discovery=new-version; truth_layer_promotion=0-before-ext.</w:t>
            </w:r>
          </w:p>
        </w:tc>
      </w:tr>
    </w:tbl>
    <w:p>
      <w:pPr>
        <w:spacing w:after="40"/>
      </w:pPr>
    </w:p>
    <w:p>
      <w:pPr>
        <w:pStyle w:val="Heading1"/>
        <w:keepNext/>
      </w:pPr>
      <w:bookmarkStart w:id="1042" w:name="T1_CH_43"/>
      <w:r>
        <w:t>Chapter 43. Power, Sample Size, and the Minimum Meaningful Effect</w:t>
      </w:r>
      <w:bookmarkEnd w:id="1042"/>
    </w:p>
    <w:p>
      <w:pPr>
        <w:spacing w:after="80" w:line="269" w:lineRule="auto"/>
        <w:jc w:val="both"/>
      </w:pPr>
      <w:r>
        <w:rPr>
          <w:rFonts w:ascii="DejaVu Serif" w:hAnsi="DejaVu Serif" w:eastAsia="DejaVu Serif"/>
          <w:b w:val="0"/>
          <w:i w:val="0"/>
        </w:rPr>
        <w:t>Russian source locator: pp. 195-196</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How large must an external study be to distinguish a useful method from its matched null?</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The minimum useful gain Delta_min and tolerated miss probability beta determine a conservative lower bound.</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Hoeffding concentration applies to independent bounded gains; fixed-horizon and sequential rules remain distinct.</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The formula is conservative and does not replace a cluster-aware design or missingness analysis.</w:t>
            </w:r>
          </w:p>
        </w:tc>
      </w:tr>
    </w:tbl>
    <w:p>
      <w:pPr>
        <w:spacing w:after="40"/>
      </w:pPr>
    </w:p>
    <w:p>
      <w:pPr>
        <w:keepNext/>
        <w:jc w:val="center"/>
      </w:pPr>
      <w:r>
        <w:drawing>
          <wp:inline xmlns:a="http://schemas.openxmlformats.org/drawingml/2006/main" xmlns:pic="http://schemas.openxmlformats.org/drawingml/2006/picture">
            <wp:extent cx="5623560" cy="2510902"/>
            <wp:docPr id="46" name="Picture 46"/>
            <wp:cNvGraphicFramePr>
              <a:graphicFrameLocks noChangeAspect="1"/>
            </wp:cNvGraphicFramePr>
            <a:graphic>
              <a:graphicData uri="http://schemas.openxmlformats.org/drawingml/2006/picture">
                <pic:pic>
                  <pic:nvPicPr>
                    <pic:cNvPr id="0" name="fig43_power.png"/>
                    <pic:cNvPicPr/>
                  </pic:nvPicPr>
                  <pic:blipFill>
                    <a:blip r:embed="rId58"/>
                    <a:stretch>
                      <a:fillRect/>
                    </a:stretch>
                  </pic:blipFill>
                  <pic:spPr>
                    <a:xfrm>
                      <a:off x="0" y="0"/>
                      <a:ext cx="5623560" cy="2510902"/>
                    </a:xfrm>
                    <a:prstGeom prst="rect"/>
                  </pic:spPr>
                </pic:pic>
              </a:graphicData>
            </a:graphic>
          </wp:inline>
        </w:drawing>
      </w:r>
    </w:p>
    <w:p>
      <w:pPr>
        <w:pStyle w:val="Caption"/>
        <w:spacing w:before="40" w:after="160"/>
        <w:jc w:val="center"/>
      </w:pPr>
      <w:bookmarkStart w:id="1103" w:name="T1_FIG_045"/>
      <w:r>
        <w:t>Figure 43.1. Power is planned from a domain-meaningful effect before external outcomes are observed.</w:t>
      </w:r>
      <w:bookmarkEnd w:id="1103"/>
    </w:p>
    <w:p>
      <w:pPr>
        <w:pStyle w:val="Heading2"/>
        <w:keepNext/>
      </w:pPr>
      <w:r>
        <w:t>43.1. Primary Gain</w:t>
      </w:r>
    </w:p>
    <w:p>
      <w:pPr>
        <w:spacing w:before="80" w:after="100"/>
        <w:jc w:val="center"/>
      </w:pPr>
      <w:r>
        <w:rPr>
          <w:rFonts w:ascii="DejaVu Serif" w:hAnsi="DejaVu Serif" w:eastAsia="DejaVu Serif"/>
          <w:b w:val="0"/>
          <w:i w:val="0"/>
          <w:sz w:val="21"/>
        </w:rPr>
        <w:t>Z_i=L_null,i-L_KLT,i;   -1&lt;=Z_i&lt;=1;   mu=E[Z_i]</w:t>
      </w:r>
      <w:r>
        <w:rPr>
          <w:rFonts w:ascii="DejaVu Serif" w:hAnsi="DejaVu Serif" w:eastAsia="DejaVu Serif"/>
          <w:b w:val="0"/>
          <w:i/>
          <w:color w:val="6B7280"/>
          <w:sz w:val="17"/>
        </w:rPr>
        <w:t xml:space="preserve">    [RU p. 195]</w:t>
      </w:r>
    </w:p>
    <w:p>
      <w:pPr>
        <w:spacing w:after="80" w:line="269" w:lineRule="auto"/>
        <w:jc w:val="both"/>
      </w:pPr>
      <w:r>
        <w:rPr>
          <w:rFonts w:ascii="DejaVu Serif" w:hAnsi="DejaVu Serif" w:eastAsia="DejaVu Serif"/>
          <w:b w:val="0"/>
          <w:i w:val="0"/>
        </w:rPr>
        <w:t>A positive mean denotes lower loss for the method. Loss, sign direction, and normalisation are fixed before data. For unbounded loss, another proved concentration result or a preregistered truncation with bias analysis is required.</w:t>
      </w:r>
    </w:p>
    <w:p>
      <w:pPr>
        <w:pStyle w:val="Heading2"/>
        <w:keepNext/>
      </w:pPr>
      <w:r>
        <w:t>43.2. Conservative Miss Bound</w:t>
      </w:r>
    </w:p>
    <w:p>
      <w:pPr>
        <w:spacing w:before="80" w:after="100"/>
        <w:jc w:val="center"/>
      </w:pPr>
      <w:r>
        <w:rPr>
          <w:rFonts w:ascii="DejaVu Serif" w:hAnsi="DejaVu Serif" w:eastAsia="DejaVu Serif"/>
          <w:b w:val="0"/>
          <w:i w:val="0"/>
          <w:sz w:val="21"/>
        </w:rPr>
        <w:t>P(Zbar_n&lt;=0) &lt;= exp(-n Delta^2/2)</w:t>
      </w:r>
      <w:r>
        <w:rPr>
          <w:rFonts w:ascii="DejaVu Serif" w:hAnsi="DejaVu Serif" w:eastAsia="DejaVu Serif"/>
          <w:b w:val="0"/>
          <w:i/>
          <w:color w:val="6B7280"/>
          <w:sz w:val="17"/>
        </w:rPr>
        <w:t xml:space="preserve">    [RU p. 195]</w:t>
      </w:r>
    </w:p>
    <w:p>
      <w:pPr>
        <w:spacing w:before="100" w:after="60"/>
      </w:pPr>
      <w:r>
        <w:rPr>
          <w:rFonts w:ascii="DejaVu Serif" w:hAnsi="DejaVu Serif" w:eastAsia="DejaVu Serif"/>
          <w:b/>
          <w:i w:val="0"/>
          <w:color w:val="173B63"/>
        </w:rPr>
        <w:t xml:space="preserve">Theorem 43.1 - Hoeffding miss bound [THM]. </w:t>
      </w:r>
      <w:r>
        <w:rPr>
          <w:rFonts w:ascii="DejaVu Serif" w:hAnsi="DejaVu Serif" w:eastAsia="DejaVu Serif"/>
          <w:b w:val="0"/>
          <w:i w:val="0"/>
        </w:rPr>
        <w:t>For independent Z_i in [-1,1] with E[Z_i]&gt;=Delta&gt;0, the probability that the sample mean is nonpositive is at most exp(-n Delta^2/2).</w:t>
      </w:r>
    </w:p>
    <w:p>
      <w:pPr>
        <w:ind w:left="283" w:right="113"/>
        <w:jc w:val="both"/>
      </w:pPr>
      <w:r>
        <w:rPr>
          <w:rFonts w:ascii="DejaVu Serif" w:hAnsi="DejaVu Serif" w:eastAsia="DejaVu Serif"/>
          <w:b/>
          <w:i/>
        </w:rPr>
        <w:t xml:space="preserve">Proof. </w:t>
      </w:r>
      <w:r>
        <w:rPr>
          <w:rFonts w:ascii="DejaVu Serif" w:hAnsi="DejaVu Serif" w:eastAsia="DejaVu Serif"/>
          <w:b w:val="0"/>
          <w:i/>
        </w:rPr>
        <w:t>Apply Hoeffding to Zbar_n-E[Zbar_n]&lt;=-Delta. Each variable has range length 2, giving exponent -2 n^2 Delta^2/(4n).</w:t>
      </w:r>
    </w:p>
    <w:p>
      <w:pPr>
        <w:spacing w:before="80" w:after="100"/>
        <w:jc w:val="center"/>
      </w:pPr>
      <w:r>
        <w:rPr>
          <w:rFonts w:ascii="DejaVu Serif" w:hAnsi="DejaVu Serif" w:eastAsia="DejaVu Serif"/>
          <w:b w:val="0"/>
          <w:i w:val="0"/>
          <w:sz w:val="21"/>
        </w:rPr>
        <w:t>n_plan = ceil(2 ln(1/beta) / Delta_min^2)</w:t>
      </w:r>
      <w:r>
        <w:rPr>
          <w:rFonts w:ascii="DejaVu Serif" w:hAnsi="DejaVu Serif" w:eastAsia="DejaVu Serif"/>
          <w:b w:val="0"/>
          <w:i/>
          <w:color w:val="6B7280"/>
          <w:sz w:val="17"/>
        </w:rPr>
        <w:t xml:space="preserve">    [RU p. 195]</w:t>
      </w:r>
    </w:p>
    <w:p>
      <w:pPr>
        <w:spacing w:after="80" w:line="269" w:lineRule="auto"/>
        <w:jc w:val="both"/>
      </w:pPr>
      <w:r>
        <w:rPr>
          <w:rFonts w:ascii="DejaVu Serif" w:hAnsi="DejaVu Serif" w:eastAsia="DejaVu Serif"/>
          <w:b w:val="0"/>
          <w:i w:val="0"/>
        </w:rPr>
        <w:t>This is a one-sided demonstration bound for the sign of the effect. A complete test plan also fixes the false-positive level alpha.</w:t>
      </w:r>
    </w:p>
    <w:p>
      <w:pPr>
        <w:pStyle w:val="Heading2"/>
        <w:keepNext/>
      </w:pPr>
      <w:r>
        <w:t>43.3. Fixed-Horizon Interval</w:t>
      </w:r>
    </w:p>
    <w:p>
      <w:pPr>
        <w:spacing w:before="80" w:after="100"/>
        <w:jc w:val="center"/>
      </w:pPr>
      <w:r>
        <w:rPr>
          <w:rFonts w:ascii="DejaVu Serif" w:hAnsi="DejaVu Serif" w:eastAsia="DejaVu Serif"/>
          <w:b w:val="0"/>
          <w:i w:val="0"/>
          <w:sz w:val="21"/>
        </w:rPr>
        <w:t>|Zbar-mu| &lt;= sqrt(2 ln(2/alpha)/n)</w:t>
      </w:r>
      <w:r>
        <w:rPr>
          <w:rFonts w:ascii="DejaVu Serif" w:hAnsi="DejaVu Serif" w:eastAsia="DejaVu Serif"/>
          <w:b w:val="0"/>
          <w:i/>
          <w:color w:val="6B7280"/>
          <w:sz w:val="17"/>
        </w:rPr>
        <w:t xml:space="preserve">    [RU p. 195]</w:t>
      </w:r>
    </w:p>
    <w:p>
      <w:pPr>
        <w:spacing w:after="80" w:line="269" w:lineRule="auto"/>
        <w:jc w:val="both"/>
      </w:pPr>
      <w:r>
        <w:rPr>
          <w:rFonts w:ascii="DejaVu Serif" w:hAnsi="DejaVu Serif" w:eastAsia="DejaVu Serif"/>
          <w:b w:val="0"/>
          <w:i w:val="0"/>
        </w:rPr>
        <w:t>The interval is for a fixed n. Repeated inspection requires the e-process or confidence-sequence route of Chapter 39.</w:t>
      </w:r>
    </w:p>
    <w:p>
      <w:pPr>
        <w:pStyle w:val="Heading2"/>
        <w:keepNext/>
      </w:pPr>
      <w:r>
        <w:t>43.4. Minimum Meaningful Effect</w:t>
      </w:r>
    </w:p>
    <w:p>
      <w:pPr>
        <w:spacing w:after="80" w:line="269" w:lineRule="auto"/>
        <w:jc w:val="both"/>
      </w:pPr>
      <w:r>
        <w:rPr>
          <w:rFonts w:ascii="DejaVu Serif" w:hAnsi="DejaVu Serif" w:eastAsia="DejaVu Serif"/>
          <w:b w:val="0"/>
          <w:i w:val="0"/>
        </w:rPr>
        <w:t>Delta_min is selected for domain usefulness, not expected statistical significance. Choosing Delta_min after ext to equal the observed gain is post hoc description, not power planning.</w:t>
      </w:r>
    </w:p>
    <w:p>
      <w:pPr>
        <w:pStyle w:val="Heading2"/>
        <w:keepNext/>
      </w:pPr>
      <w:r>
        <w:t>43.5. Cluster Design Effect</w:t>
      </w:r>
    </w:p>
    <w:p>
      <w:pPr>
        <w:spacing w:before="80" w:after="100"/>
        <w:jc w:val="center"/>
      </w:pPr>
      <w:r>
        <w:rPr>
          <w:rFonts w:ascii="DejaVu Serif" w:hAnsi="DejaVu Serif" w:eastAsia="DejaVu Serif"/>
          <w:b w:val="0"/>
          <w:i w:val="0"/>
          <w:sz w:val="21"/>
        </w:rPr>
        <w:t>DE=1+(mbar-1)rho;   N_eff approximately n/DE</w:t>
      </w:r>
      <w:r>
        <w:rPr>
          <w:rFonts w:ascii="DejaVu Serif" w:hAnsi="DejaVu Serif" w:eastAsia="DejaVu Serif"/>
          <w:b w:val="0"/>
          <w:i/>
          <w:color w:val="6B7280"/>
          <w:sz w:val="17"/>
        </w:rPr>
        <w:t xml:space="preserve">    [RU p. 196]</w:t>
      </w:r>
    </w:p>
    <w:p>
      <w:pPr>
        <w:spacing w:after="80" w:line="269" w:lineRule="auto"/>
        <w:jc w:val="both"/>
      </w:pPr>
      <w:r>
        <w:rPr>
          <w:rFonts w:ascii="DejaVu Serif" w:hAnsi="DejaVu Serif" w:eastAsia="DejaVu Serif"/>
          <w:b w:val="0"/>
          <w:i w:val="0"/>
        </w:rPr>
        <w:t>This is a rough planning diagnostic, not a universal theorem for unequal clusters, complex weights, or temporal dependence. In the strict analysis, the independent unit is the cluster as defined in Chapter 44.</w:t>
      </w:r>
    </w:p>
    <w:p>
      <w:pPr>
        <w:pStyle w:val="Heading2"/>
        <w:keepNext/>
      </w:pPr>
      <w:r>
        <w:t>43.6. Attrition and Missing Outcomes</w:t>
      </w:r>
    </w:p>
    <w:p>
      <w:pPr>
        <w:spacing w:after="80" w:line="269" w:lineRule="auto"/>
        <w:jc w:val="both"/>
      </w:pPr>
      <w:r>
        <w:rPr>
          <w:rFonts w:ascii="DejaVu Serif" w:hAnsi="DejaVu Serif" w:eastAsia="DejaVu Serif"/>
          <w:b w:val="0"/>
          <w:i w:val="0"/>
        </w:rPr>
        <w:t>The initial size is increased by a registered expected fraction of invalid or lost units. Exclusions after inspecting Z_i are prohibited. A primary missing-outcome rule and sensitivity set are frozen; if plausible mechanisms reverse the sign, the decision is ABSTAIN.</w:t>
      </w:r>
    </w:p>
    <w:p>
      <w:pPr>
        <w:pStyle w:val="Heading2"/>
        <w:keepNext/>
      </w:pPr>
      <w:r>
        <w:t>43.7. Planning Table</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170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Parameter</w:t>
            </w:r>
          </w:p>
        </w:tc>
        <w:tc>
          <w:tcPr>
            <w:tcW w:type="dxa" w:w="4535"/>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Meaning</w:t>
            </w:r>
          </w:p>
        </w:tc>
        <w:tc>
          <w:tcPr>
            <w:tcW w:type="dxa" w:w="294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Freeze time</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6"/>
              </w:rPr>
              <w:t>alpha</w:t>
            </w:r>
          </w:p>
        </w:tc>
        <w:tc>
          <w:tcPr>
            <w:tcW w:type="dxa" w:w="4535"/>
            <w:tcMar>
              <w:top w:w="90" w:type="dxa"/>
              <w:start w:w="110" w:type="dxa"/>
              <w:bottom w:w="90" w:type="dxa"/>
              <w:end w:w="110" w:type="dxa"/>
            </w:tcMar>
            <w:vAlign w:val="center"/>
          </w:tcPr>
          <w:p>
            <w:pPr>
              <w:jc w:val="left"/>
            </w:pPr>
            <w:r>
              <w:rPr>
                <w:rFonts w:ascii="DejaVu Serif" w:hAnsi="DejaVu Serif" w:eastAsia="DejaVu Serif"/>
                <w:b w:val="0"/>
                <w:i w:val="0"/>
                <w:sz w:val="16"/>
              </w:rPr>
              <w:t>false-positive decision</w:t>
            </w:r>
          </w:p>
        </w:tc>
        <w:tc>
          <w:tcPr>
            <w:tcW w:type="dxa" w:w="2948"/>
            <w:tcMar>
              <w:top w:w="90" w:type="dxa"/>
              <w:start w:w="110" w:type="dxa"/>
              <w:bottom w:w="90" w:type="dxa"/>
              <w:end w:w="110" w:type="dxa"/>
            </w:tcMar>
            <w:vAlign w:val="center"/>
          </w:tcPr>
          <w:p>
            <w:pPr>
              <w:jc w:val="left"/>
            </w:pPr>
            <w:r>
              <w:rPr>
                <w:rFonts w:ascii="DejaVu Serif" w:hAnsi="DejaVu Serif" w:eastAsia="DejaVu Serif"/>
                <w:b w:val="0"/>
                <w:i w:val="0"/>
                <w:sz w:val="16"/>
              </w:rPr>
              <w:t>before ext</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beta</w:t>
            </w:r>
          </w:p>
        </w:tc>
        <w:tc>
          <w:tcPr>
            <w:tcW w:type="dxa" w:w="45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miss of Delta_min</w:t>
            </w:r>
          </w:p>
        </w:tc>
        <w:tc>
          <w:tcPr>
            <w:tcW w:type="dxa" w:w="2948"/>
            <w:tcMar>
              <w:top w:w="90" w:type="dxa"/>
              <w:start w:w="110" w:type="dxa"/>
              <w:bottom w:w="90" w:type="dxa"/>
              <w:end w:w="110" w:type="dxa"/>
            </w:tcMar>
            <w:vAlign w:val="center"/>
            <w:shd w:fill="F4F7FA"/>
          </w:tcPr>
          <w:p>
            <w:pPr>
              <w:jc w:val="left"/>
            </w:pPr>
            <w:r>
              <w:rPr>
                <w:rFonts w:ascii="DejaVu Serif" w:hAnsi="DejaVu Serif" w:eastAsia="DejaVu Serif"/>
                <w:b w:val="0"/>
                <w:i w:val="0"/>
                <w:sz w:val="16"/>
              </w:rPr>
              <w:t>before ext</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6"/>
              </w:rPr>
              <w:t>Delta_min</w:t>
            </w:r>
          </w:p>
        </w:tc>
        <w:tc>
          <w:tcPr>
            <w:tcW w:type="dxa" w:w="4535"/>
            <w:tcMar>
              <w:top w:w="90" w:type="dxa"/>
              <w:start w:w="110" w:type="dxa"/>
              <w:bottom w:w="90" w:type="dxa"/>
              <w:end w:w="110" w:type="dxa"/>
            </w:tcMar>
            <w:vAlign w:val="center"/>
          </w:tcPr>
          <w:p>
            <w:pPr>
              <w:jc w:val="left"/>
            </w:pPr>
            <w:r>
              <w:rPr>
                <w:rFonts w:ascii="DejaVu Serif" w:hAnsi="DejaVu Serif" w:eastAsia="DejaVu Serif"/>
                <w:b w:val="0"/>
                <w:i w:val="0"/>
                <w:sz w:val="16"/>
              </w:rPr>
              <w:t>minimum useful effect</w:t>
            </w:r>
          </w:p>
        </w:tc>
        <w:tc>
          <w:tcPr>
            <w:tcW w:type="dxa" w:w="2948"/>
            <w:tcMar>
              <w:top w:w="90" w:type="dxa"/>
              <w:start w:w="110" w:type="dxa"/>
              <w:bottom w:w="90" w:type="dxa"/>
              <w:end w:w="110" w:type="dxa"/>
            </w:tcMar>
            <w:vAlign w:val="center"/>
          </w:tcPr>
          <w:p>
            <w:pPr>
              <w:jc w:val="left"/>
            </w:pPr>
            <w:r>
              <w:rPr>
                <w:rFonts w:ascii="DejaVu Serif" w:hAnsi="DejaVu Serif" w:eastAsia="DejaVu Serif"/>
                <w:b w:val="0"/>
                <w:i w:val="0"/>
                <w:sz w:val="16"/>
              </w:rPr>
              <w:t>before ext</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n / M</w:t>
            </w:r>
          </w:p>
        </w:tc>
        <w:tc>
          <w:tcPr>
            <w:tcW w:type="dxa" w:w="45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units / clusters</w:t>
            </w:r>
          </w:p>
        </w:tc>
        <w:tc>
          <w:tcPr>
            <w:tcW w:type="dxa" w:w="2948"/>
            <w:tcMar>
              <w:top w:w="90" w:type="dxa"/>
              <w:start w:w="110" w:type="dxa"/>
              <w:bottom w:w="90" w:type="dxa"/>
              <w:end w:w="110" w:type="dxa"/>
            </w:tcMar>
            <w:vAlign w:val="center"/>
            <w:shd w:fill="F4F7FA"/>
          </w:tcPr>
          <w:p>
            <w:pPr>
              <w:jc w:val="left"/>
            </w:pPr>
            <w:r>
              <w:rPr>
                <w:rFonts w:ascii="DejaVu Serif" w:hAnsi="DejaVu Serif" w:eastAsia="DejaVu Serif"/>
                <w:b w:val="0"/>
                <w:i w:val="0"/>
                <w:sz w:val="16"/>
              </w:rPr>
              <w:t>before ext</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6"/>
              </w:rPr>
              <w:t>rho, mbar</w:t>
            </w:r>
          </w:p>
        </w:tc>
        <w:tc>
          <w:tcPr>
            <w:tcW w:type="dxa" w:w="4535"/>
            <w:tcMar>
              <w:top w:w="90" w:type="dxa"/>
              <w:start w:w="110" w:type="dxa"/>
              <w:bottom w:w="90" w:type="dxa"/>
              <w:end w:w="110" w:type="dxa"/>
            </w:tcMar>
            <w:vAlign w:val="center"/>
          </w:tcPr>
          <w:p>
            <w:pPr>
              <w:jc w:val="left"/>
            </w:pPr>
            <w:r>
              <w:rPr>
                <w:rFonts w:ascii="DejaVu Serif" w:hAnsi="DejaVu Serif" w:eastAsia="DejaVu Serif"/>
                <w:b w:val="0"/>
                <w:i w:val="0"/>
                <w:sz w:val="16"/>
              </w:rPr>
              <w:t>cluster diagnostic</w:t>
            </w:r>
          </w:p>
        </w:tc>
        <w:tc>
          <w:tcPr>
            <w:tcW w:type="dxa" w:w="2948"/>
            <w:tcMar>
              <w:top w:w="90" w:type="dxa"/>
              <w:start w:w="110" w:type="dxa"/>
              <w:bottom w:w="90" w:type="dxa"/>
              <w:end w:w="110" w:type="dxa"/>
            </w:tcMar>
            <w:vAlign w:val="center"/>
          </w:tcPr>
          <w:p>
            <w:pPr>
              <w:jc w:val="left"/>
            </w:pPr>
            <w:r>
              <w:rPr>
                <w:rFonts w:ascii="DejaVu Serif" w:hAnsi="DejaVu Serif" w:eastAsia="DejaVu Serif"/>
                <w:b w:val="0"/>
                <w:i w:val="0"/>
                <w:sz w:val="16"/>
              </w:rPr>
              <w:t>planning</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attrition</w:t>
            </w:r>
          </w:p>
        </w:tc>
        <w:tc>
          <w:tcPr>
            <w:tcW w:type="dxa" w:w="45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loss reserve</w:t>
            </w:r>
          </w:p>
        </w:tc>
        <w:tc>
          <w:tcPr>
            <w:tcW w:type="dxa" w:w="2948"/>
            <w:tcMar>
              <w:top w:w="90" w:type="dxa"/>
              <w:start w:w="110" w:type="dxa"/>
              <w:bottom w:w="90" w:type="dxa"/>
              <w:end w:w="110" w:type="dxa"/>
            </w:tcMar>
            <w:vAlign w:val="center"/>
            <w:shd w:fill="F4F7FA"/>
          </w:tcPr>
          <w:p>
            <w:pPr>
              <w:jc w:val="left"/>
            </w:pPr>
            <w:r>
              <w:rPr>
                <w:rFonts w:ascii="DejaVu Serif" w:hAnsi="DejaVu Serif" w:eastAsia="DejaVu Serif"/>
                <w:b w:val="0"/>
                <w:i w:val="0"/>
                <w:sz w:val="16"/>
              </w:rPr>
              <w:t>planning</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6"/>
              </w:rPr>
              <w:t>stopping</w:t>
            </w:r>
          </w:p>
        </w:tc>
        <w:tc>
          <w:tcPr>
            <w:tcW w:type="dxa" w:w="4535"/>
            <w:tcMar>
              <w:top w:w="90" w:type="dxa"/>
              <w:start w:w="110" w:type="dxa"/>
              <w:bottom w:w="90" w:type="dxa"/>
              <w:end w:w="110" w:type="dxa"/>
            </w:tcMar>
            <w:vAlign w:val="center"/>
          </w:tcPr>
          <w:p>
            <w:pPr>
              <w:jc w:val="left"/>
            </w:pPr>
            <w:r>
              <w:rPr>
                <w:rFonts w:ascii="DejaVu Serif" w:hAnsi="DejaVu Serif" w:eastAsia="DejaVu Serif"/>
                <w:b w:val="0"/>
                <w:i w:val="0"/>
                <w:sz w:val="16"/>
              </w:rPr>
              <w:t>fixed or e-process</w:t>
            </w:r>
          </w:p>
        </w:tc>
        <w:tc>
          <w:tcPr>
            <w:tcW w:type="dxa" w:w="2948"/>
            <w:tcMar>
              <w:top w:w="90" w:type="dxa"/>
              <w:start w:w="110" w:type="dxa"/>
              <w:bottom w:w="90" w:type="dxa"/>
              <w:end w:w="110" w:type="dxa"/>
            </w:tcMar>
            <w:vAlign w:val="center"/>
          </w:tcPr>
          <w:p>
            <w:pPr>
              <w:jc w:val="left"/>
            </w:pPr>
            <w:r>
              <w:rPr>
                <w:rFonts w:ascii="DejaVu Serif" w:hAnsi="DejaVu Serif" w:eastAsia="DejaVu Serif"/>
                <w:b w:val="0"/>
                <w:i w:val="0"/>
                <w:sz w:val="16"/>
              </w:rPr>
              <w:t>before first outcome</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Sample size measures how much resistance from the world a design is prepared to accept before deciding. A study that is too small neither confirms nor refutes; it gives the phenomenon insufficient opportunity to distinguish itself.</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POWER-CERT-v196i9. </w:t>
            </w:r>
            <w:r>
              <w:rPr>
                <w:rFonts w:ascii="DejaVu Serif" w:hAnsi="DejaVu Serif" w:eastAsia="DejaVu Serif"/>
                <w:b w:val="0"/>
                <w:i w:val="0"/>
                <w:sz w:val="18"/>
              </w:rPr>
              <w:t>gain=bounded[-1,1]; units=independent-or-clustered-explicitly; alpha=frozen; beta=frozen; delta_min=domain-meaningful; n_plan=ceil(2*ln(1/beta)/delta_min^2); fixed-horizon=Hoeffding; sequential=e-process; design-effect=diagnostic-only; missingness=sensitivity-audited.</w:t>
            </w:r>
          </w:p>
        </w:tc>
      </w:tr>
    </w:tbl>
    <w:p>
      <w:pPr>
        <w:spacing w:after="40"/>
      </w:pPr>
    </w:p>
    <w:p>
      <w:pPr>
        <w:pStyle w:val="Heading1"/>
        <w:keepNext/>
      </w:pPr>
      <w:bookmarkStart w:id="1043" w:name="T1_CH_44"/>
      <w:r>
        <w:t>Chapter 44. Cluster Dependence and Group Predictive Calibration</w:t>
      </w:r>
      <w:bookmarkEnd w:id="1043"/>
    </w:p>
    <w:p>
      <w:pPr>
        <w:spacing w:after="80" w:line="269" w:lineRule="auto"/>
        <w:jc w:val="both"/>
      </w:pPr>
      <w:r>
        <w:rPr>
          <w:rFonts w:ascii="DejaVu Serif" w:hAnsi="DejaVu Serif" w:eastAsia="DejaVu Serif"/>
          <w:b w:val="0"/>
          <w:i w:val="0"/>
        </w:rPr>
        <w:t>Russian source locator: pp. 197-198</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Are one hundred rows from one patient, instrument, or document one hundred independent confirmations?</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No. Rows sharing a common origin form one group-level observational unit.</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Exchangeability and splitting are formulated for whole groups; within-group dependence may be arbitrary.</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A group guarantee does not transfer to a new cluster type or epoch without a new bridge or calibration.</w:t>
            </w:r>
          </w:p>
        </w:tc>
      </w:tr>
    </w:tbl>
    <w:p>
      <w:pPr>
        <w:spacing w:after="40"/>
      </w:pPr>
    </w:p>
    <w:p>
      <w:pPr>
        <w:keepNext/>
        <w:jc w:val="center"/>
      </w:pPr>
      <w:r>
        <w:drawing>
          <wp:inline xmlns:a="http://schemas.openxmlformats.org/drawingml/2006/main" xmlns:pic="http://schemas.openxmlformats.org/drawingml/2006/picture">
            <wp:extent cx="5623560" cy="2510902"/>
            <wp:docPr id="47" name="Picture 47"/>
            <wp:cNvGraphicFramePr>
              <a:graphicFrameLocks noChangeAspect="1"/>
            </wp:cNvGraphicFramePr>
            <a:graphic>
              <a:graphicData uri="http://schemas.openxmlformats.org/drawingml/2006/picture">
                <pic:pic>
                  <pic:nvPicPr>
                    <pic:cNvPr id="0" name="fig44_groups.png"/>
                    <pic:cNvPicPr/>
                  </pic:nvPicPr>
                  <pic:blipFill>
                    <a:blip r:embed="rId59"/>
                    <a:stretch>
                      <a:fillRect/>
                    </a:stretch>
                  </pic:blipFill>
                  <pic:spPr>
                    <a:xfrm>
                      <a:off x="0" y="0"/>
                      <a:ext cx="5623560" cy="2510902"/>
                    </a:xfrm>
                    <a:prstGeom prst="rect"/>
                  </pic:spPr>
                </pic:pic>
              </a:graphicData>
            </a:graphic>
          </wp:inline>
        </w:drawing>
      </w:r>
    </w:p>
    <w:p>
      <w:pPr>
        <w:pStyle w:val="Caption"/>
        <w:spacing w:before="40" w:after="160"/>
        <w:jc w:val="center"/>
      </w:pPr>
      <w:bookmarkStart w:id="1104" w:name="T1_FIG_046"/>
      <w:r>
        <w:t>Figure 44.1. Whole groups, not individual rows, are assigned to train, calibration, test, and external sets.</w:t>
      </w:r>
      <w:bookmarkEnd w:id="1104"/>
    </w:p>
    <w:p>
      <w:pPr>
        <w:pStyle w:val="Heading2"/>
        <w:keepNext/>
      </w:pPr>
      <w:r>
        <w:t>44.1. Groups as Observational Units</w:t>
      </w:r>
    </w:p>
    <w:p>
      <w:pPr>
        <w:spacing w:before="80" w:after="100"/>
        <w:jc w:val="center"/>
      </w:pPr>
      <w:r>
        <w:rPr>
          <w:rFonts w:ascii="DejaVu Serif" w:hAnsi="DejaVu Serif" w:eastAsia="DejaVu Serif"/>
          <w:b w:val="0"/>
          <w:i w:val="0"/>
          <w:sz w:val="21"/>
        </w:rPr>
        <w:t>D=G_1 disjoint_union ... disjoint_union G_M;   exchangeability unit = group</w:t>
      </w:r>
      <w:r>
        <w:rPr>
          <w:rFonts w:ascii="DejaVu Serif" w:hAnsi="DejaVu Serif" w:eastAsia="DejaVu Serif"/>
          <w:b w:val="0"/>
          <w:i/>
          <w:color w:val="6B7280"/>
          <w:sz w:val="17"/>
        </w:rPr>
        <w:t xml:space="preserve">    [RU p. 197]</w:t>
      </w:r>
    </w:p>
    <w:p>
      <w:pPr>
        <w:spacing w:after="80" w:line="269" w:lineRule="auto"/>
        <w:jc w:val="both"/>
      </w:pPr>
      <w:r>
        <w:rPr>
          <w:rFonts w:ascii="DejaVu Serif" w:hAnsi="DejaVu Serif" w:eastAsia="DejaVu Serif"/>
          <w:b w:val="0"/>
          <w:i w:val="0"/>
        </w:rPr>
        <w:t>The cluster identifier is defined by the domain: patient, family, instrument, laboratory, document, author, site, time block, or experimental series. Choosing a convenient cluster identifier after the result is forbidden.</w:t>
      </w:r>
    </w:p>
    <w:p>
      <w:pPr>
        <w:pStyle w:val="Heading2"/>
        <w:keepNext/>
      </w:pPr>
      <w:r>
        <w:t>44.2. Group Score</w:t>
      </w:r>
    </w:p>
    <w:p>
      <w:pPr>
        <w:spacing w:before="80" w:after="100"/>
        <w:jc w:val="center"/>
      </w:pPr>
      <w:r>
        <w:rPr>
          <w:rFonts w:ascii="DejaVu Serif" w:hAnsi="DejaVu Serif" w:eastAsia="DejaVu Serif"/>
          <w:b w:val="0"/>
          <w:i w:val="0"/>
          <w:sz w:val="21"/>
        </w:rPr>
        <w:t>S_g = max{s_i : i in G_g}</w:t>
      </w:r>
      <w:r>
        <w:rPr>
          <w:rFonts w:ascii="DejaVu Serif" w:hAnsi="DejaVu Serif" w:eastAsia="DejaVu Serif"/>
          <w:b w:val="0"/>
          <w:i/>
          <w:color w:val="6B7280"/>
          <w:sz w:val="17"/>
        </w:rPr>
        <w:t xml:space="preserve">    [RU p. 197]</w:t>
      </w:r>
    </w:p>
    <w:p>
      <w:pPr>
        <w:spacing w:after="80" w:line="269" w:lineRule="auto"/>
        <w:jc w:val="both"/>
      </w:pPr>
      <w:r>
        <w:rPr>
          <w:rFonts w:ascii="DejaVu Serif" w:hAnsi="DejaVu Serif" w:eastAsia="DejaVu Serif"/>
          <w:b w:val="0"/>
          <w:i w:val="0"/>
        </w:rPr>
        <w:t>The maximum is a conservative registered functional. It supports simultaneous group coverage but may produce wide corridors for large groups. Other group functionals are allowed only when preregistered.</w:t>
      </w:r>
    </w:p>
    <w:p>
      <w:pPr>
        <w:pStyle w:val="Heading2"/>
        <w:keepNext/>
      </w:pPr>
      <w:r>
        <w:t>44.3. Group Calibration Theorem</w:t>
      </w:r>
    </w:p>
    <w:p>
      <w:pPr>
        <w:spacing w:before="80" w:after="100"/>
        <w:jc w:val="center"/>
      </w:pPr>
      <w:r>
        <w:rPr>
          <w:rFonts w:ascii="DejaVu Serif" w:hAnsi="DejaVu Serif" w:eastAsia="DejaVu Serif"/>
          <w:b w:val="0"/>
          <w:i w:val="0"/>
          <w:sz w:val="21"/>
        </w:rPr>
        <w:t>k=ceil((M+1)(1-alpha));   q=S_(k)</w:t>
      </w:r>
      <w:r>
        <w:rPr>
          <w:rFonts w:ascii="DejaVu Serif" w:hAnsi="DejaVu Serif" w:eastAsia="DejaVu Serif"/>
          <w:b w:val="0"/>
          <w:i/>
          <w:color w:val="6B7280"/>
          <w:sz w:val="17"/>
        </w:rPr>
        <w:t xml:space="preserve">    [RU p. 197]</w:t>
      </w:r>
    </w:p>
    <w:p>
      <w:pPr>
        <w:spacing w:before="100" w:after="60"/>
      </w:pPr>
      <w:r>
        <w:rPr>
          <w:rFonts w:ascii="DejaVu Serif" w:hAnsi="DejaVu Serif" w:eastAsia="DejaVu Serif"/>
          <w:b/>
          <w:i w:val="0"/>
          <w:color w:val="173B63"/>
        </w:rPr>
        <w:t xml:space="preserve">Theorem 44.1 - Marginal group calibration [THM]. </w:t>
      </w:r>
      <w:r>
        <w:rPr>
          <w:rFonts w:ascii="DejaVu Serif" w:hAnsi="DejaVu Serif" w:eastAsia="DejaVu Serif"/>
          <w:b w:val="0"/>
          <w:i w:val="0"/>
        </w:rPr>
        <w:t>If S_1,...,S_M and the new-group score S_(M+1) are exchangeable, the rule accepting the new group when S_(M+1)&lt;=q has marginal group acceptance probability at least 1-alpha.</w:t>
      </w:r>
    </w:p>
    <w:p>
      <w:pPr>
        <w:ind w:left="283" w:right="113"/>
        <w:jc w:val="both"/>
      </w:pPr>
      <w:r>
        <w:rPr>
          <w:rFonts w:ascii="DejaVu Serif" w:hAnsi="DejaVu Serif" w:eastAsia="DejaVu Serif"/>
          <w:b/>
          <w:i/>
        </w:rPr>
        <w:t xml:space="preserve">Proof. </w:t>
      </w:r>
      <w:r>
        <w:rPr>
          <w:rFonts w:ascii="DejaVu Serif" w:hAnsi="DejaVu Serif" w:eastAsia="DejaVu Serif"/>
          <w:b w:val="0"/>
          <w:i/>
        </w:rPr>
        <w:t>The rank of the new score among M+1 exchangeable scores is uniform with conservative tie handling; the chosen rank threshold leaves at most alpha mass in the upper tail.</w:t>
      </w:r>
    </w:p>
    <w:p>
      <w:pPr>
        <w:spacing w:after="80" w:line="269" w:lineRule="auto"/>
        <w:jc w:val="both"/>
      </w:pPr>
      <w:r>
        <w:rPr>
          <w:rFonts w:ascii="DejaVu Serif" w:hAnsi="DejaVu Serif" w:eastAsia="DejaVu Serif"/>
          <w:b w:val="0"/>
          <w:i w:val="0"/>
        </w:rPr>
        <w:t>The number of calibration units is M, not the total row count. Reports therefore disclose both counts and the distribution of group sizes.</w:t>
      </w:r>
    </w:p>
    <w:p>
      <w:pPr>
        <w:pStyle w:val="Heading2"/>
        <w:keepNext/>
      </w:pPr>
      <w:r>
        <w:t>44.4. Leakage-Free Splitting</w:t>
      </w:r>
    </w:p>
    <w:p>
      <w:pPr>
        <w:spacing w:after="80" w:line="269" w:lineRule="auto"/>
        <w:jc w:val="both"/>
      </w:pPr>
      <w:r>
        <w:rPr>
          <w:rFonts w:ascii="DejaVu Serif" w:hAnsi="DejaVu Serif" w:eastAsia="DejaVu Serif"/>
          <w:b w:val="0"/>
          <w:i w:val="0"/>
        </w:rPr>
        <w:t>Every row of one cluster_id belongs to exactly one of train, cal, test, or ext. Dividing one patient between train and test is leakage even with different time stamps unless the temporal forecasting task was separately registered. Leave-one-group-out and group cross-fitting require that the model for group g is trained without any row from G_g.</w:t>
      </w:r>
    </w:p>
    <w:p>
      <w:pPr>
        <w:pStyle w:val="Heading2"/>
        <w:keepNext/>
      </w:pPr>
      <w:r>
        <w:t>44.5. Matched Null at Group Level</w:t>
      </w:r>
    </w:p>
    <w:p>
      <w:pPr>
        <w:spacing w:before="80" w:after="100"/>
        <w:jc w:val="center"/>
      </w:pPr>
      <w:r>
        <w:rPr>
          <w:rFonts w:ascii="DejaVu Serif" w:hAnsi="DejaVu Serif" w:eastAsia="DejaVu Serif"/>
          <w:b w:val="0"/>
          <w:i w:val="0"/>
          <w:sz w:val="21"/>
        </w:rPr>
        <w:t>g.D=(g.G_1,...,g.G_M);   internal structure of each G_g is preserved</w:t>
      </w:r>
      <w:r>
        <w:rPr>
          <w:rFonts w:ascii="DejaVu Serif" w:hAnsi="DejaVu Serif" w:eastAsia="DejaVu Serif"/>
          <w:b w:val="0"/>
          <w:i/>
          <w:color w:val="6B7280"/>
          <w:sz w:val="17"/>
        </w:rPr>
        <w:t xml:space="preserve">    [RU p. 198]</w:t>
      </w:r>
    </w:p>
    <w:p>
      <w:pPr>
        <w:spacing w:after="80" w:line="269" w:lineRule="auto"/>
        <w:jc w:val="both"/>
      </w:pPr>
      <w:r>
        <w:rPr>
          <w:rFonts w:ascii="DejaVu Serif" w:hAnsi="DejaVu Serif" w:eastAsia="DejaVu Serif"/>
          <w:b w:val="0"/>
          <w:i w:val="0"/>
        </w:rPr>
        <w:t>A randomisation null must preserve within-group dependence. Permuting individual rows between groups generally destroys the registered data-generating structure and is not an admissible transformation.</w:t>
      </w:r>
    </w:p>
    <w:p>
      <w:pPr>
        <w:pStyle w:val="Heading2"/>
        <w:keepNext/>
      </w:pPr>
      <w:r>
        <w:t>44.6. Unequal Sizes and New Group Types</w:t>
      </w:r>
    </w:p>
    <w:p>
      <w:pPr>
        <w:spacing w:after="80" w:line="269" w:lineRule="auto"/>
        <w:jc w:val="both"/>
      </w:pPr>
      <w:r>
        <w:rPr>
          <w:rFonts w:ascii="DejaVu Serif" w:hAnsi="DejaVu Serif" w:eastAsia="DejaVu Serif"/>
          <w:b w:val="0"/>
          <w:i w:val="0"/>
        </w:rPr>
        <w:t>When group size changes the score distribution, size is included in a preregistered stratum or weighting model. A new laboratory, instrument version, or epoch can break exchangeability and triggers target calibration, a justified weighted bridge, or ABSTAIN.</w:t>
      </w:r>
    </w:p>
    <w:p>
      <w:pPr>
        <w:pStyle w:val="Heading2"/>
        <w:keepNext/>
      </w:pPr>
      <w:r>
        <w:t>44.7. Example</w:t>
      </w:r>
    </w:p>
    <w:p>
      <w:pPr>
        <w:spacing w:after="80" w:line="269" w:lineRule="auto"/>
        <w:jc w:val="both"/>
      </w:pPr>
      <w:r>
        <w:rPr>
          <w:rFonts w:ascii="DejaVu Serif" w:hAnsi="DejaVu Serif" w:eastAsia="DejaVu Serif"/>
          <w:b w:val="0"/>
          <w:i w:val="0"/>
        </w:rPr>
        <w:t>Forty documents with one hundred fragments each do not provide n=4000 independent test units. A row split leaks near-duplicates, whereas a document split provides M=40 and tests transfer to a new document. In medicine the analogous unit is a patient; in physics it may be an independent experimental series when repeats share one drifting instrument.</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Repetition within one history deepens its description, but does not create many independent worlds. Group analysis recognises unity of origin before counting rows.</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GROUP-CAL-CERT-v196i9. </w:t>
            </w:r>
            <w:r>
              <w:rPr>
                <w:rFonts w:ascii="DejaVu Serif" w:hAnsi="DejaVu Serif" w:eastAsia="DejaVu Serif"/>
                <w:b w:val="0"/>
                <w:i w:val="0"/>
                <w:sz w:val="18"/>
              </w:rPr>
              <w:t>cluster-id=predefined; exchangeability=between-groups; within-group-dependence=arbitrary; score=registered-group-functional; quantile=ceil((M+1)(1-alpha)); split=group-disjoint; matched-null=whole-group; reported-n={rows,groups}; new-cluster-type=recalibrate-or-ABSTAIN.</w:t>
            </w:r>
          </w:p>
        </w:tc>
      </w:tr>
    </w:tbl>
    <w:p>
      <w:pPr>
        <w:spacing w:after="40"/>
      </w:pPr>
    </w:p>
    <w:p>
      <w:pPr>
        <w:pStyle w:val="Heading1"/>
        <w:keepNext/>
      </w:pPr>
      <w:bookmarkStart w:id="1044" w:name="T1_CH_45"/>
      <w:r>
        <w:t>Chapter 45. Prediction, Intervention, and the Limit of Causal Inference</w:t>
      </w:r>
      <w:bookmarkEnd w:id="1044"/>
    </w:p>
    <w:p>
      <w:pPr>
        <w:spacing w:after="80" w:line="269" w:lineRule="auto"/>
        <w:jc w:val="both"/>
      </w:pPr>
      <w:r>
        <w:rPr>
          <w:rFonts w:ascii="DejaVu Serif" w:hAnsi="DejaVu Serif" w:eastAsia="DejaVu Serif"/>
          <w:b w:val="0"/>
          <w:i w:val="0"/>
        </w:rPr>
        <w:t>Russian source locator: pp. 199-200</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Does accurate prediction of Y from X determine what happens when X is forcibly changed?</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No. Observational association and intervention are distinct queries.</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The chapter proves nonidentifiability by observational equivalence and states a conditional g-formula under explicit assumptions.</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Authorial language of foundation and consequence may guide modelling but does not identify a causal effect without a bridge.</w:t>
            </w:r>
          </w:p>
        </w:tc>
      </w:tr>
    </w:tbl>
    <w:p>
      <w:pPr>
        <w:spacing w:after="40"/>
      </w:pPr>
    </w:p>
    <w:p>
      <w:pPr>
        <w:keepNext/>
        <w:jc w:val="center"/>
      </w:pPr>
      <w:r>
        <w:drawing>
          <wp:inline xmlns:a="http://schemas.openxmlformats.org/drawingml/2006/main" xmlns:pic="http://schemas.openxmlformats.org/drawingml/2006/picture">
            <wp:extent cx="5623560" cy="2510902"/>
            <wp:docPr id="48" name="Picture 48"/>
            <wp:cNvGraphicFramePr>
              <a:graphicFrameLocks noChangeAspect="1"/>
            </wp:cNvGraphicFramePr>
            <a:graphic>
              <a:graphicData uri="http://schemas.openxmlformats.org/drawingml/2006/picture">
                <pic:pic>
                  <pic:nvPicPr>
                    <pic:cNvPr id="0" name="fig45_causal.png"/>
                    <pic:cNvPicPr/>
                  </pic:nvPicPr>
                  <pic:blipFill>
                    <a:blip r:embed="rId60"/>
                    <a:stretch>
                      <a:fillRect/>
                    </a:stretch>
                  </pic:blipFill>
                  <pic:spPr>
                    <a:xfrm>
                      <a:off x="0" y="0"/>
                      <a:ext cx="5623560" cy="2510902"/>
                    </a:xfrm>
                    <a:prstGeom prst="rect"/>
                  </pic:spPr>
                </pic:pic>
              </a:graphicData>
            </a:graphic>
          </wp:inline>
        </w:drawing>
      </w:r>
    </w:p>
    <w:p>
      <w:pPr>
        <w:pStyle w:val="Caption"/>
        <w:spacing w:before="40" w:after="160"/>
        <w:jc w:val="center"/>
      </w:pPr>
      <w:bookmarkStart w:id="1105" w:name="T1_FIG_047"/>
      <w:r>
        <w:t>Figure 45.1. A causal answer requires a model and identification assumptions beyond predictive performance.</w:t>
      </w:r>
      <w:bookmarkEnd w:id="1105"/>
    </w:p>
    <w:p>
      <w:pPr>
        <w:pStyle w:val="Heading2"/>
        <w:keepNext/>
      </w:pPr>
      <w:r>
        <w:t>45.1. Two Different Questions</w:t>
      </w:r>
    </w:p>
    <w:p>
      <w:pPr>
        <w:spacing w:before="80" w:after="100"/>
        <w:jc w:val="center"/>
      </w:pPr>
      <w:r>
        <w:rPr>
          <w:rFonts w:ascii="DejaVu Serif" w:hAnsi="DejaVu Serif" w:eastAsia="DejaVu Serif"/>
          <w:b w:val="0"/>
          <w:i w:val="0"/>
          <w:sz w:val="21"/>
        </w:rPr>
        <w:t>prediction: P(Y|X=x);   intervention: P(Y|do(X=x))</w:t>
      </w:r>
      <w:r>
        <w:rPr>
          <w:rFonts w:ascii="DejaVu Serif" w:hAnsi="DejaVu Serif" w:eastAsia="DejaVu Serif"/>
          <w:b w:val="0"/>
          <w:i/>
          <w:color w:val="6B7280"/>
          <w:sz w:val="17"/>
        </w:rPr>
        <w:t xml:space="preserve">    [RU p. 199]</w:t>
      </w:r>
    </w:p>
    <w:p>
      <w:pPr>
        <w:spacing w:after="80" w:line="269" w:lineRule="auto"/>
        <w:jc w:val="both"/>
      </w:pPr>
      <w:r>
        <w:rPr>
          <w:rFonts w:ascii="DejaVu Serif" w:hAnsi="DejaVu Serif" w:eastAsia="DejaVu Serif"/>
          <w:b w:val="0"/>
          <w:i w:val="0"/>
        </w:rPr>
        <w:t>The two distributions coincide only under additional assumptions. High accuracy, low regret, and valid prediction-set coverage do not create those assumptions.</w:t>
      </w:r>
    </w:p>
    <w:p>
      <w:pPr>
        <w:pStyle w:val="Heading2"/>
        <w:keepNext/>
      </w:pPr>
      <w:r>
        <w:t>45.2. Nonidentifiability Counterexample</w:t>
      </w:r>
    </w:p>
    <w:p>
      <w:pPr>
        <w:spacing w:after="80" w:line="269" w:lineRule="auto"/>
        <w:jc w:val="both"/>
      </w:pPr>
      <w:r>
        <w:rPr>
          <w:rFonts w:ascii="DejaVu Serif" w:hAnsi="DejaVu Serif" w:eastAsia="DejaVu Serif"/>
          <w:b w:val="0"/>
          <w:i w:val="0"/>
        </w:rPr>
        <w:t>Model A: U~Bernoulli(1/2), X=U, Y=X. Model B: U~Bernoulli(1/2), X=U, Y=U. Both produce P(X=Y)=1 observationally. Under do(X=x), Model A gives Y=x; Model B leaves Y=U, so Y remains Bernoulli(1/2).</w:t>
      </w:r>
    </w:p>
    <w:p>
      <w:pPr>
        <w:spacing w:before="100" w:after="60"/>
      </w:pPr>
      <w:r>
        <w:rPr>
          <w:rFonts w:ascii="DejaVu Serif" w:hAnsi="DejaVu Serif" w:eastAsia="DejaVu Serif"/>
          <w:b/>
          <w:i w:val="0"/>
          <w:color w:val="173B63"/>
        </w:rPr>
        <w:t xml:space="preserve">Theorem 45.1 - Observational nonidentifiability [THM]. </w:t>
      </w:r>
      <w:r>
        <w:rPr>
          <w:rFonts w:ascii="DejaVu Serif" w:hAnsi="DejaVu Serif" w:eastAsia="DejaVu Serif"/>
          <w:b w:val="0"/>
          <w:i w:val="0"/>
        </w:rPr>
        <w:t>The intervention effect X-&gt;Y is not identifiable from the observational distribution alone in any model class containing Models A and B.</w:t>
      </w:r>
    </w:p>
    <w:p>
      <w:pPr>
        <w:ind w:left="283" w:right="113"/>
        <w:jc w:val="both"/>
      </w:pPr>
      <w:r>
        <w:rPr>
          <w:rFonts w:ascii="DejaVu Serif" w:hAnsi="DejaVu Serif" w:eastAsia="DejaVu Serif"/>
          <w:b/>
          <w:i/>
        </w:rPr>
        <w:t xml:space="preserve">Proof. </w:t>
      </w:r>
      <w:r>
        <w:rPr>
          <w:rFonts w:ascii="DejaVu Serif" w:hAnsi="DejaVu Serif" w:eastAsia="DejaVu Serif"/>
          <w:b w:val="0"/>
          <w:i/>
        </w:rPr>
        <w:t>The models induce the same observational law of (X,Y) but different interventional laws. Any functional of the observational law must have the same value in both and therefore cannot equal both causal answers.</w:t>
      </w:r>
    </w:p>
    <w:p>
      <w:pPr>
        <w:pStyle w:val="Heading2"/>
        <w:keepNext/>
      </w:pPr>
      <w:r>
        <w:t>45.3. Identification Bridge</w:t>
      </w:r>
    </w:p>
    <w:p>
      <w:pPr>
        <w:spacing w:before="80" w:after="100"/>
        <w:jc w:val="center"/>
      </w:pPr>
      <w:r>
        <w:rPr>
          <w:rFonts w:ascii="DejaVu Serif" w:hAnsi="DejaVu Serif" w:eastAsia="DejaVu Serif"/>
          <w:b w:val="0"/>
          <w:i w:val="0"/>
          <w:sz w:val="21"/>
        </w:rPr>
        <w:t>consistency;   Y(x) independent_of X | L;   P(X=x|L=l)&gt;0</w:t>
      </w:r>
      <w:r>
        <w:rPr>
          <w:rFonts w:ascii="DejaVu Serif" w:hAnsi="DejaVu Serif" w:eastAsia="DejaVu Serif"/>
          <w:b w:val="0"/>
          <w:i/>
          <w:color w:val="6B7280"/>
          <w:sz w:val="17"/>
        </w:rPr>
        <w:t xml:space="preserve">    [RU p. 199]</w:t>
      </w:r>
    </w:p>
    <w:p>
      <w:pPr>
        <w:spacing w:before="80" w:after="100"/>
        <w:jc w:val="center"/>
      </w:pPr>
      <w:r>
        <w:rPr>
          <w:rFonts w:ascii="DejaVu Serif" w:hAnsi="DejaVu Serif" w:eastAsia="DejaVu Serif"/>
          <w:b w:val="0"/>
          <w:i w:val="0"/>
          <w:sz w:val="21"/>
        </w:rPr>
        <w:t>P(Y(x)=y)=sum_l P(Y=y|X=x,L=l) P(L=l)</w:t>
      </w:r>
      <w:r>
        <w:rPr>
          <w:rFonts w:ascii="DejaVu Serif" w:hAnsi="DejaVu Serif" w:eastAsia="DejaVu Serif"/>
          <w:b w:val="0"/>
          <w:i/>
          <w:color w:val="6B7280"/>
          <w:sz w:val="17"/>
        </w:rPr>
        <w:t xml:space="preserve">    [RU p. 199]</w:t>
      </w:r>
    </w:p>
    <w:p>
      <w:pPr>
        <w:spacing w:before="100" w:after="60"/>
      </w:pPr>
      <w:r>
        <w:rPr>
          <w:rFonts w:ascii="DejaVu Serif" w:hAnsi="DejaVu Serif" w:eastAsia="DejaVu Serif"/>
          <w:b/>
          <w:i w:val="0"/>
          <w:color w:val="173B63"/>
        </w:rPr>
        <w:t xml:space="preserve">Conditional proposition 45.2 - g-formula [COND]. </w:t>
      </w:r>
      <w:r>
        <w:rPr>
          <w:rFonts w:ascii="DejaVu Serif" w:hAnsi="DejaVu Serif" w:eastAsia="DejaVu Serif"/>
          <w:b w:val="0"/>
          <w:i w:val="0"/>
        </w:rPr>
        <w:t>Under consistency, conditional exchangeability, positivity, and a correctly specified target population, the intervention distribution is given by the displayed g-formula.</w:t>
      </w:r>
    </w:p>
    <w:p>
      <w:pPr>
        <w:ind w:left="283" w:right="113"/>
        <w:jc w:val="both"/>
      </w:pPr>
      <w:r>
        <w:rPr>
          <w:rFonts w:ascii="DejaVu Serif" w:hAnsi="DejaVu Serif" w:eastAsia="DejaVu Serif"/>
          <w:b/>
          <w:i/>
        </w:rPr>
        <w:t xml:space="preserve">Proof. </w:t>
      </w:r>
      <w:r>
        <w:rPr>
          <w:rFonts w:ascii="DejaVu Serif" w:hAnsi="DejaVu Serif" w:eastAsia="DejaVu Serif"/>
          <w:b w:val="0"/>
          <w:i/>
        </w:rPr>
        <w:t>Expand over L by total probability, use exchangeability to replace the potential-outcome distribution by the observed conditional distribution among X=x, and use consistency to identify Y(x) with Y for units receiving x.</w:t>
      </w:r>
    </w:p>
    <w:p>
      <w:pPr>
        <w:pStyle w:val="Heading2"/>
        <w:keepNext/>
      </w:pPr>
      <w:r>
        <w:t>45.4. Positivity as a Dom Gate</w:t>
      </w:r>
    </w:p>
    <w:p>
      <w:pPr>
        <w:spacing w:after="80" w:line="269" w:lineRule="auto"/>
        <w:jc w:val="both"/>
      </w:pPr>
      <w:r>
        <w:rPr>
          <w:rFonts w:ascii="DejaVu Serif" w:hAnsi="DejaVu Serif" w:eastAsia="DejaVu Serif"/>
          <w:b w:val="0"/>
          <w:i w:val="0"/>
        </w:rPr>
        <w:t>If intervention x never occurs for a relevant l, the observed evidence D does not cover that part of the causal functional's Dom. Model extrapolation may be a useful hypothesis, but it is not a nonparametrically identified effect and must carry model-dependent status.</w:t>
      </w:r>
    </w:p>
    <w:p>
      <w:pPr>
        <w:pStyle w:val="Heading2"/>
        <w:keepNext/>
      </w:pPr>
      <w:r>
        <w:t>45.5. Foundation-Consequence and Cause-Action</w:t>
      </w:r>
    </w:p>
    <w:p>
      <w:pPr>
        <w:spacing w:after="80" w:line="269" w:lineRule="auto"/>
        <w:jc w:val="both"/>
      </w:pPr>
      <w:r>
        <w:rPr>
          <w:rFonts w:ascii="DejaVu Serif" w:hAnsi="DejaVu Serif" w:eastAsia="DejaVu Serif"/>
          <w:b w:val="0"/>
          <w:i w:val="0"/>
        </w:rPr>
        <w:t>The project notes distinguish reversible cause/action pairs from ambiguous foundation/consequence relations. This remains a philosophical-model heuristic for choosing graphs and branches. A statistical causal certificate is added only after specifying an intervention, potential outcomes or structural equations, covariates L, and identification assumptions.</w:t>
      </w:r>
    </w:p>
    <w:p>
      <w:pPr>
        <w:pStyle w:val="Heading2"/>
        <w:keepNext/>
      </w:pPr>
      <w:r>
        <w:t>45.6. Causal Transportability</w:t>
      </w:r>
    </w:p>
    <w:p>
      <w:pPr>
        <w:spacing w:after="80" w:line="269" w:lineRule="auto"/>
        <w:jc w:val="both"/>
      </w:pPr>
      <w:r>
        <w:rPr>
          <w:rFonts w:ascii="DejaVu Serif" w:hAnsi="DejaVu Serif" w:eastAsia="DejaVu Serif"/>
          <w:b w:val="0"/>
          <w:i w:val="0"/>
        </w:rPr>
        <w:t>Even an identified source-population effect does not automatically transport. The analysis must describe mechanism differences, selection nodes, effect modifiers, and target support. Weighted conformal calibration concerns predictive coverage and does not replace a causal transport formula.</w:t>
      </w:r>
    </w:p>
    <w:p>
      <w:pPr>
        <w:pStyle w:val="Heading2"/>
        <w:keepNext/>
      </w:pPr>
      <w:r>
        <w:t>45.7. Causal Bridge Card</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181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Field</w:t>
            </w:r>
          </w:p>
        </w:tc>
        <w:tc>
          <w:tcPr>
            <w:tcW w:type="dxa" w:w="4535"/>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Mandatory content</w:t>
            </w:r>
          </w:p>
        </w:tc>
        <w:tc>
          <w:tcPr>
            <w:tcW w:type="dxa" w:w="2835"/>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Status if absent</w:t>
            </w:r>
          </w:p>
        </w:tc>
      </w:tr>
      <w:tr>
        <w:tc>
          <w:tcPr>
            <w:tcW w:type="dxa" w:w="1814"/>
            <w:tcMar>
              <w:top w:w="90" w:type="dxa"/>
              <w:start w:w="110" w:type="dxa"/>
              <w:bottom w:w="90" w:type="dxa"/>
              <w:end w:w="110" w:type="dxa"/>
            </w:tcMar>
            <w:vAlign w:val="center"/>
          </w:tcPr>
          <w:p>
            <w:pPr>
              <w:jc w:val="center"/>
            </w:pPr>
            <w:r>
              <w:rPr>
                <w:rFonts w:ascii="DejaVu Serif" w:hAnsi="DejaVu Serif" w:eastAsia="DejaVu Serif"/>
                <w:b w:val="0"/>
                <w:i w:val="0"/>
                <w:sz w:val="16"/>
              </w:rPr>
              <w:t>estimand</w:t>
            </w:r>
          </w:p>
        </w:tc>
        <w:tc>
          <w:tcPr>
            <w:tcW w:type="dxa" w:w="4535"/>
            <w:tcMar>
              <w:top w:w="90" w:type="dxa"/>
              <w:start w:w="110" w:type="dxa"/>
              <w:bottom w:w="90" w:type="dxa"/>
              <w:end w:w="110" w:type="dxa"/>
            </w:tcMar>
            <w:vAlign w:val="center"/>
          </w:tcPr>
          <w:p>
            <w:pPr>
              <w:jc w:val="left"/>
            </w:pPr>
            <w:r>
              <w:rPr>
                <w:rFonts w:ascii="DejaVu Serif" w:hAnsi="DejaVu Serif" w:eastAsia="DejaVu Serif"/>
                <w:b w:val="0"/>
                <w:i w:val="0"/>
                <w:sz w:val="16"/>
              </w:rPr>
              <w:t>effect and population</w:t>
            </w:r>
          </w:p>
        </w:tc>
        <w:tc>
          <w:tcPr>
            <w:tcW w:type="dxa" w:w="2835"/>
            <w:tcMar>
              <w:top w:w="90" w:type="dxa"/>
              <w:start w:w="110" w:type="dxa"/>
              <w:bottom w:w="90" w:type="dxa"/>
              <w:end w:w="110" w:type="dxa"/>
            </w:tcMar>
            <w:vAlign w:val="center"/>
          </w:tcPr>
          <w:p>
            <w:pPr>
              <w:jc w:val="left"/>
            </w:pPr>
            <w:r>
              <w:rPr>
                <w:rFonts w:ascii="DejaVu Serif" w:hAnsi="DejaVu Serif" w:eastAsia="DejaVu Serif"/>
                <w:b w:val="0"/>
                <w:i w:val="0"/>
                <w:sz w:val="16"/>
              </w:rPr>
              <w:t>undefined</w:t>
            </w:r>
          </w:p>
        </w:tc>
      </w:tr>
      <w:tr>
        <w:tc>
          <w:tcPr>
            <w:tcW w:type="dxa" w:w="1814"/>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intervention</w:t>
            </w:r>
          </w:p>
        </w:tc>
        <w:tc>
          <w:tcPr>
            <w:tcW w:type="dxa" w:w="45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meaning of do(X=x)</w:t>
            </w:r>
          </w:p>
        </w:tc>
        <w:tc>
          <w:tcPr>
            <w:tcW w:type="dxa" w:w="28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ambiguous</w:t>
            </w:r>
          </w:p>
        </w:tc>
      </w:tr>
      <w:tr>
        <w:tc>
          <w:tcPr>
            <w:tcW w:type="dxa" w:w="1814"/>
            <w:tcMar>
              <w:top w:w="90" w:type="dxa"/>
              <w:start w:w="110" w:type="dxa"/>
              <w:bottom w:w="90" w:type="dxa"/>
              <w:end w:w="110" w:type="dxa"/>
            </w:tcMar>
            <w:vAlign w:val="center"/>
          </w:tcPr>
          <w:p>
            <w:pPr>
              <w:jc w:val="center"/>
            </w:pPr>
            <w:r>
              <w:rPr>
                <w:rFonts w:ascii="DejaVu Serif" w:hAnsi="DejaVu Serif" w:eastAsia="DejaVu Serif"/>
                <w:b w:val="0"/>
                <w:i w:val="0"/>
                <w:sz w:val="16"/>
              </w:rPr>
              <w:t>graph/model</w:t>
            </w:r>
          </w:p>
        </w:tc>
        <w:tc>
          <w:tcPr>
            <w:tcW w:type="dxa" w:w="4535"/>
            <w:tcMar>
              <w:top w:w="90" w:type="dxa"/>
              <w:start w:w="110" w:type="dxa"/>
              <w:bottom w:w="90" w:type="dxa"/>
              <w:end w:w="110" w:type="dxa"/>
            </w:tcMar>
            <w:vAlign w:val="center"/>
          </w:tcPr>
          <w:p>
            <w:pPr>
              <w:jc w:val="left"/>
            </w:pPr>
            <w:r>
              <w:rPr>
                <w:rFonts w:ascii="DejaVu Serif" w:hAnsi="DejaVu Serif" w:eastAsia="DejaVu Serif"/>
                <w:b w:val="0"/>
                <w:i w:val="0"/>
                <w:sz w:val="16"/>
              </w:rPr>
              <w:t>nodes and arrows</w:t>
            </w:r>
          </w:p>
        </w:tc>
        <w:tc>
          <w:tcPr>
            <w:tcW w:type="dxa" w:w="2835"/>
            <w:tcMar>
              <w:top w:w="90" w:type="dxa"/>
              <w:start w:w="110" w:type="dxa"/>
              <w:bottom w:w="90" w:type="dxa"/>
              <w:end w:w="110" w:type="dxa"/>
            </w:tcMar>
            <w:vAlign w:val="center"/>
          </w:tcPr>
          <w:p>
            <w:pPr>
              <w:jc w:val="left"/>
            </w:pPr>
            <w:r>
              <w:rPr>
                <w:rFonts w:ascii="DejaVu Serif" w:hAnsi="DejaVu Serif" w:eastAsia="DejaVu Serif"/>
                <w:b w:val="0"/>
                <w:i w:val="0"/>
                <w:sz w:val="16"/>
              </w:rPr>
              <w:t>unidentified</w:t>
            </w:r>
          </w:p>
        </w:tc>
      </w:tr>
      <w:tr>
        <w:tc>
          <w:tcPr>
            <w:tcW w:type="dxa" w:w="1814"/>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confounders L</w:t>
            </w:r>
          </w:p>
        </w:tc>
        <w:tc>
          <w:tcPr>
            <w:tcW w:type="dxa" w:w="45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inclusion rule</w:t>
            </w:r>
          </w:p>
        </w:tc>
        <w:tc>
          <w:tcPr>
            <w:tcW w:type="dxa" w:w="28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exchangeability-block</w:t>
            </w:r>
          </w:p>
        </w:tc>
      </w:tr>
      <w:tr>
        <w:tc>
          <w:tcPr>
            <w:tcW w:type="dxa" w:w="1814"/>
            <w:tcMar>
              <w:top w:w="90" w:type="dxa"/>
              <w:start w:w="110" w:type="dxa"/>
              <w:bottom w:w="90" w:type="dxa"/>
              <w:end w:w="110" w:type="dxa"/>
            </w:tcMar>
            <w:vAlign w:val="center"/>
          </w:tcPr>
          <w:p>
            <w:pPr>
              <w:jc w:val="center"/>
            </w:pPr>
            <w:r>
              <w:rPr>
                <w:rFonts w:ascii="DejaVu Serif" w:hAnsi="DejaVu Serif" w:eastAsia="DejaVu Serif"/>
                <w:b w:val="0"/>
                <w:i w:val="0"/>
                <w:sz w:val="16"/>
              </w:rPr>
              <w:t>positivity</w:t>
            </w:r>
          </w:p>
        </w:tc>
        <w:tc>
          <w:tcPr>
            <w:tcW w:type="dxa" w:w="4535"/>
            <w:tcMar>
              <w:top w:w="90" w:type="dxa"/>
              <w:start w:w="110" w:type="dxa"/>
              <w:bottom w:w="90" w:type="dxa"/>
              <w:end w:w="110" w:type="dxa"/>
            </w:tcMar>
            <w:vAlign w:val="center"/>
          </w:tcPr>
          <w:p>
            <w:pPr>
              <w:jc w:val="left"/>
            </w:pPr>
            <w:r>
              <w:rPr>
                <w:rFonts w:ascii="DejaVu Serif" w:hAnsi="DejaVu Serif" w:eastAsia="DejaVu Serif"/>
                <w:b w:val="0"/>
                <w:i w:val="0"/>
                <w:sz w:val="16"/>
              </w:rPr>
              <w:t>support audit</w:t>
            </w:r>
          </w:p>
        </w:tc>
        <w:tc>
          <w:tcPr>
            <w:tcW w:type="dxa" w:w="2835"/>
            <w:tcMar>
              <w:top w:w="90" w:type="dxa"/>
              <w:start w:w="110" w:type="dxa"/>
              <w:bottom w:w="90" w:type="dxa"/>
              <w:end w:w="110" w:type="dxa"/>
            </w:tcMar>
            <w:vAlign w:val="center"/>
          </w:tcPr>
          <w:p>
            <w:pPr>
              <w:jc w:val="left"/>
            </w:pPr>
            <w:r>
              <w:rPr>
                <w:rFonts w:ascii="DejaVu Serif" w:hAnsi="DejaVu Serif" w:eastAsia="DejaVu Serif"/>
                <w:b w:val="0"/>
                <w:i w:val="0"/>
                <w:sz w:val="16"/>
              </w:rPr>
              <w:t>support-gap</w:t>
            </w:r>
          </w:p>
        </w:tc>
      </w:tr>
      <w:tr>
        <w:tc>
          <w:tcPr>
            <w:tcW w:type="dxa" w:w="1814"/>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consistency</w:t>
            </w:r>
          </w:p>
        </w:tc>
        <w:tc>
          <w:tcPr>
            <w:tcW w:type="dxa" w:w="45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intervention versions</w:t>
            </w:r>
          </w:p>
        </w:tc>
        <w:tc>
          <w:tcPr>
            <w:tcW w:type="dxa" w:w="28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version-conflict</w:t>
            </w:r>
          </w:p>
        </w:tc>
      </w:tr>
      <w:tr>
        <w:tc>
          <w:tcPr>
            <w:tcW w:type="dxa" w:w="1814"/>
            <w:tcMar>
              <w:top w:w="90" w:type="dxa"/>
              <w:start w:w="110" w:type="dxa"/>
              <w:bottom w:w="90" w:type="dxa"/>
              <w:end w:w="110" w:type="dxa"/>
            </w:tcMar>
            <w:vAlign w:val="center"/>
          </w:tcPr>
          <w:p>
            <w:pPr>
              <w:jc w:val="center"/>
            </w:pPr>
            <w:r>
              <w:rPr>
                <w:rFonts w:ascii="DejaVu Serif" w:hAnsi="DejaVu Serif" w:eastAsia="DejaVu Serif"/>
                <w:b w:val="0"/>
                <w:i w:val="0"/>
                <w:sz w:val="16"/>
              </w:rPr>
              <w:t>sensitivity</w:t>
            </w:r>
          </w:p>
        </w:tc>
        <w:tc>
          <w:tcPr>
            <w:tcW w:type="dxa" w:w="4535"/>
            <w:tcMar>
              <w:top w:w="90" w:type="dxa"/>
              <w:start w:w="110" w:type="dxa"/>
              <w:bottom w:w="90" w:type="dxa"/>
              <w:end w:w="110" w:type="dxa"/>
            </w:tcMar>
            <w:vAlign w:val="center"/>
          </w:tcPr>
          <w:p>
            <w:pPr>
              <w:jc w:val="left"/>
            </w:pPr>
            <w:r>
              <w:rPr>
                <w:rFonts w:ascii="DejaVu Serif" w:hAnsi="DejaVu Serif" w:eastAsia="DejaVu Serif"/>
                <w:b w:val="0"/>
                <w:i w:val="0"/>
                <w:sz w:val="16"/>
              </w:rPr>
              <w:t>unmeasured confounding</w:t>
            </w:r>
          </w:p>
        </w:tc>
        <w:tc>
          <w:tcPr>
            <w:tcW w:type="dxa" w:w="2835"/>
            <w:tcMar>
              <w:top w:w="90" w:type="dxa"/>
              <w:start w:w="110" w:type="dxa"/>
              <w:bottom w:w="90" w:type="dxa"/>
              <w:end w:w="110" w:type="dxa"/>
            </w:tcMar>
            <w:vAlign w:val="center"/>
          </w:tcPr>
          <w:p>
            <w:pPr>
              <w:jc w:val="left"/>
            </w:pPr>
            <w:r>
              <w:rPr>
                <w:rFonts w:ascii="DejaVu Serif" w:hAnsi="DejaVu Serif" w:eastAsia="DejaVu Serif"/>
                <w:b w:val="0"/>
                <w:i w:val="0"/>
                <w:sz w:val="16"/>
              </w:rPr>
              <w:t>conditional-only</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Prediction follows a phenomenon along its trace; causal inference asks what changes because of our action. Between trace and action lies not a word, but a bridge of assumptions.</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CAUSAL-BRIDGE-CERT-v196i9. </w:t>
            </w:r>
            <w:r>
              <w:rPr>
                <w:rFonts w:ascii="DejaVu Serif" w:hAnsi="DejaVu Serif" w:eastAsia="DejaVu Serif"/>
                <w:b w:val="0"/>
                <w:i w:val="0"/>
                <w:sz w:val="18"/>
              </w:rPr>
              <w:t>prediction-not-equal-intervention; observational-equivalence-counterexample=proved; estimand=required; consistency=required; exchangeability=required; positivity=required; g-formula=conditional; D/Dom=distinct; project-causal-language=model-hypothesis-until-bridged.</w:t>
            </w:r>
          </w:p>
        </w:tc>
      </w:tr>
    </w:tbl>
    <w:p>
      <w:pPr>
        <w:spacing w:after="40"/>
      </w:pPr>
    </w:p>
    <w:p>
      <w:pPr>
        <w:pStyle w:val="Heading1"/>
        <w:keepNext/>
      </w:pPr>
      <w:bookmarkStart w:id="1045" w:name="T1_CH_46"/>
      <w:r>
        <w:t>Chapter 46. Executable External Validation Protocol for Volume I</w:t>
      </w:r>
      <w:bookmarkEnd w:id="1045"/>
    </w:p>
    <w:p>
      <w:pPr>
        <w:spacing w:after="80" w:line="269" w:lineRule="auto"/>
        <w:jc w:val="both"/>
      </w:pPr>
      <w:r>
        <w:rPr>
          <w:rFonts w:ascii="DejaVu Serif" w:hAnsi="DejaVu Serif" w:eastAsia="DejaVu Serif"/>
          <w:b w:val="0"/>
          <w:i w:val="0"/>
        </w:rPr>
        <w:t>Russian source locator: pp. 201-203</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Can the preceding mathematical conditions be executed on a new independent corpus without analytical discretion?</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The protocol card freezes every operational choice and returns one of four distinct decisions.</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Selection, power, clustering, null, coverage, stopping, multiplicity, provenance, and publication are composed in one blocker-safe route.</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In this edition the card is protocol-ready-not-executed. No external source hash or outcome is invented.</w:t>
            </w:r>
          </w:p>
        </w:tc>
      </w:tr>
    </w:tbl>
    <w:p>
      <w:pPr>
        <w:spacing w:after="40"/>
      </w:pPr>
    </w:p>
    <w:p>
      <w:pPr>
        <w:keepNext/>
        <w:jc w:val="center"/>
      </w:pPr>
      <w:r>
        <w:drawing>
          <wp:inline xmlns:a="http://schemas.openxmlformats.org/drawingml/2006/main" xmlns:pic="http://schemas.openxmlformats.org/drawingml/2006/picture">
            <wp:extent cx="5623560" cy="2510902"/>
            <wp:docPr id="49" name="Picture 49"/>
            <wp:cNvGraphicFramePr>
              <a:graphicFrameLocks noChangeAspect="1"/>
            </wp:cNvGraphicFramePr>
            <a:graphic>
              <a:graphicData uri="http://schemas.openxmlformats.org/drawingml/2006/picture">
                <pic:pic>
                  <pic:nvPicPr>
                    <pic:cNvPr id="0" name="fig46_extrun.png"/>
                    <pic:cNvPicPr/>
                  </pic:nvPicPr>
                  <pic:blipFill>
                    <a:blip r:embed="rId61"/>
                    <a:stretch>
                      <a:fillRect/>
                    </a:stretch>
                  </pic:blipFill>
                  <pic:spPr>
                    <a:xfrm>
                      <a:off x="0" y="0"/>
                      <a:ext cx="5623560" cy="2510902"/>
                    </a:xfrm>
                    <a:prstGeom prst="rect"/>
                  </pic:spPr>
                </pic:pic>
              </a:graphicData>
            </a:graphic>
          </wp:inline>
        </w:drawing>
      </w:r>
    </w:p>
    <w:p>
      <w:pPr>
        <w:pStyle w:val="Caption"/>
        <w:spacing w:before="40" w:after="160"/>
        <w:jc w:val="center"/>
      </w:pPr>
      <w:bookmarkStart w:id="1106" w:name="T1_FIG_048"/>
      <w:r>
        <w:t>Figure 46.1. Nine-step EXT-RUN-000 route from frozen hashes to an immutable verdict certificate.</w:t>
      </w:r>
      <w:bookmarkEnd w:id="1106"/>
    </w:p>
    <w:p>
      <w:pPr>
        <w:pStyle w:val="Heading2"/>
        <w:keepNext/>
      </w:pPr>
      <w:r>
        <w:t>46.1. EXT-RUN-000 Object</w:t>
      </w:r>
    </w:p>
    <w:p>
      <w:pPr>
        <w:spacing w:before="80" w:after="100"/>
        <w:jc w:val="center"/>
      </w:pPr>
      <w:r>
        <w:rPr>
          <w:rFonts w:ascii="DejaVu Serif" w:hAnsi="DejaVu Serif" w:eastAsia="DejaVu Serif"/>
          <w:b w:val="0"/>
          <w:i w:val="0"/>
          <w:sz w:val="21"/>
        </w:rPr>
        <w:t>EXT-RUN-000: protocol-ready-not-executed</w:t>
      </w:r>
      <w:r>
        <w:rPr>
          <w:rFonts w:ascii="DejaVu Serif" w:hAnsi="DejaVu Serif" w:eastAsia="DejaVu Serif"/>
          <w:b w:val="0"/>
          <w:i/>
          <w:color w:val="6B7280"/>
          <w:sz w:val="17"/>
        </w:rPr>
        <w:t xml:space="preserve">    [RU p. 201]</w:t>
      </w:r>
    </w:p>
    <w:p>
      <w:pPr>
        <w:spacing w:after="80" w:line="269" w:lineRule="auto"/>
        <w:jc w:val="both"/>
      </w:pPr>
      <w:r>
        <w:rPr>
          <w:rFonts w:ascii="DejaVu Serif" w:hAnsi="DejaVu Serif" w:eastAsia="DejaVu Serif"/>
          <w:b w:val="0"/>
          <w:i w:val="0"/>
        </w:rPr>
        <w:t>This status is not FAIL because the test has not begun, and it is not PASS because no external unit has been evaluated. truth_layer_promotion remains zero.</w:t>
      </w:r>
    </w:p>
    <w:p>
      <w:pPr>
        <w:pStyle w:val="Heading2"/>
        <w:keepNext/>
      </w:pPr>
      <w:r>
        <w:t>46.2. Complete Registration Card</w:t>
      </w:r>
    </w:p>
    <w:tbl>
      <w:tblPr>
        <w:tblStyle w:val="TableGrid"/>
        <w:tblW w:type="auto" w:w="0"/>
        <w:jc w:val="center"/>
        <w:tblLook w:firstColumn="1" w:firstRow="1" w:lastColumn="0" w:lastRow="0" w:noHBand="0" w:noVBand="1" w:val="04A0"/>
      </w:tblPr>
      <w:tblGrid>
        <w:gridCol w:w="5035"/>
        <w:gridCol w:w="5035"/>
      </w:tblGrid>
      <w:tr>
        <w:trPr>
          <w:tblHeader w:val="true"/>
        </w:trPr>
        <w:tc>
          <w:tcPr>
            <w:tcW w:type="dxa" w:w="226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Section</w:t>
            </w:r>
          </w:p>
        </w:tc>
        <w:tc>
          <w:tcPr>
            <w:tcW w:type="dxa" w:w="6917"/>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Mandatory fields</w:t>
            </w:r>
          </w:p>
        </w:tc>
      </w:tr>
      <w:tr>
        <w:tc>
          <w:tcPr>
            <w:tcW w:type="dxa" w:w="2268"/>
            <w:tcMar>
              <w:top w:w="90" w:type="dxa"/>
              <w:start w:w="110" w:type="dxa"/>
              <w:bottom w:w="90" w:type="dxa"/>
              <w:end w:w="110" w:type="dxa"/>
            </w:tcMar>
            <w:vAlign w:val="center"/>
          </w:tcPr>
          <w:p>
            <w:pPr>
              <w:jc w:val="center"/>
            </w:pPr>
            <w:r>
              <w:rPr>
                <w:rFonts w:ascii="DejaVu Serif" w:hAnsi="DejaVu Serif" w:eastAsia="DejaVu Serif"/>
                <w:b w:val="0"/>
                <w:i w:val="0"/>
                <w:sz w:val="16"/>
              </w:rPr>
              <w:t>Identity</w:t>
            </w:r>
          </w:p>
        </w:tc>
        <w:tc>
          <w:tcPr>
            <w:tcW w:type="dxa" w:w="6917"/>
            <w:tcMar>
              <w:top w:w="90" w:type="dxa"/>
              <w:start w:w="110" w:type="dxa"/>
              <w:bottom w:w="90" w:type="dxa"/>
              <w:end w:w="110" w:type="dxa"/>
            </w:tcMar>
            <w:vAlign w:val="center"/>
          </w:tcPr>
          <w:p>
            <w:pPr>
              <w:jc w:val="left"/>
            </w:pPr>
            <w:r>
              <w:rPr>
                <w:rFonts w:ascii="DejaVu Serif" w:hAnsi="DejaVu Serif" w:eastAsia="DejaVu Serif"/>
                <w:b w:val="0"/>
                <w:i w:val="0"/>
                <w:sz w:val="16"/>
              </w:rPr>
              <w:t>project, run_id, owner, timestamp, version</w:t>
            </w:r>
          </w:p>
        </w:tc>
      </w:tr>
      <w:tr>
        <w:tc>
          <w:tcPr>
            <w:tcW w:type="dxa" w:w="2268"/>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Objective</w:t>
            </w:r>
          </w:p>
        </w:tc>
        <w:tc>
          <w:tcPr>
            <w:tcW w:type="dxa" w:w="6917"/>
            <w:tcMar>
              <w:top w:w="90" w:type="dxa"/>
              <w:start w:w="110" w:type="dxa"/>
              <w:bottom w:w="90" w:type="dxa"/>
              <w:end w:w="110" w:type="dxa"/>
            </w:tcMar>
            <w:vAlign w:val="center"/>
            <w:shd w:fill="F4F7FA"/>
          </w:tcPr>
          <w:p>
            <w:pPr>
              <w:jc w:val="left"/>
            </w:pPr>
            <w:r>
              <w:rPr>
                <w:rFonts w:ascii="DejaVu Serif" w:hAnsi="DejaVu Serif" w:eastAsia="DejaVu Serif"/>
                <w:b w:val="0"/>
                <w:i w:val="0"/>
                <w:sz w:val="16"/>
              </w:rPr>
              <w:t>domain, population, outcome, horizon, estimand-status</w:t>
            </w:r>
          </w:p>
        </w:tc>
      </w:tr>
      <w:tr>
        <w:tc>
          <w:tcPr>
            <w:tcW w:type="dxa" w:w="2268"/>
            <w:tcMar>
              <w:top w:w="90" w:type="dxa"/>
              <w:start w:w="110" w:type="dxa"/>
              <w:bottom w:w="90" w:type="dxa"/>
              <w:end w:w="110" w:type="dxa"/>
            </w:tcMar>
            <w:vAlign w:val="center"/>
          </w:tcPr>
          <w:p>
            <w:pPr>
              <w:jc w:val="center"/>
            </w:pPr>
            <w:r>
              <w:rPr>
                <w:rFonts w:ascii="DejaVu Serif" w:hAnsi="DejaVu Serif" w:eastAsia="DejaVu Serif"/>
                <w:b w:val="0"/>
                <w:i w:val="0"/>
                <w:sz w:val="16"/>
              </w:rPr>
              <w:t>Data</w:t>
            </w:r>
          </w:p>
        </w:tc>
        <w:tc>
          <w:tcPr>
            <w:tcW w:type="dxa" w:w="6917"/>
            <w:tcMar>
              <w:top w:w="90" w:type="dxa"/>
              <w:start w:w="110" w:type="dxa"/>
              <w:bottom w:w="90" w:type="dxa"/>
              <w:end w:w="110" w:type="dxa"/>
            </w:tcMar>
            <w:vAlign w:val="center"/>
          </w:tcPr>
          <w:p>
            <w:pPr>
              <w:jc w:val="left"/>
            </w:pPr>
            <w:r>
              <w:rPr>
                <w:rFonts w:ascii="DejaVu Serif" w:hAnsi="DejaVu Serif" w:eastAsia="DejaVu Serif"/>
                <w:b w:val="0"/>
                <w:i w:val="0"/>
                <w:sz w:val="16"/>
              </w:rPr>
              <w:t>unit, cluster, source, inclusion, hashes, privacy</w:t>
            </w:r>
          </w:p>
        </w:tc>
      </w:tr>
      <w:tr>
        <w:tc>
          <w:tcPr>
            <w:tcW w:type="dxa" w:w="2268"/>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Split</w:t>
            </w:r>
          </w:p>
        </w:tc>
        <w:tc>
          <w:tcPr>
            <w:tcW w:type="dxa" w:w="6917"/>
            <w:tcMar>
              <w:top w:w="90" w:type="dxa"/>
              <w:start w:w="110" w:type="dxa"/>
              <w:bottom w:w="90" w:type="dxa"/>
              <w:end w:w="110" w:type="dxa"/>
            </w:tcMar>
            <w:vAlign w:val="center"/>
            <w:shd w:fill="F4F7FA"/>
          </w:tcPr>
          <w:p>
            <w:pPr>
              <w:jc w:val="left"/>
            </w:pPr>
            <w:r>
              <w:rPr>
                <w:rFonts w:ascii="DejaVu Serif" w:hAnsi="DejaVu Serif" w:eastAsia="DejaVu Serif"/>
                <w:b w:val="0"/>
                <w:i w:val="0"/>
                <w:sz w:val="16"/>
              </w:rPr>
              <w:t>train, cal, test, ext, provenance-disjointness</w:t>
            </w:r>
          </w:p>
        </w:tc>
      </w:tr>
      <w:tr>
        <w:tc>
          <w:tcPr>
            <w:tcW w:type="dxa" w:w="2268"/>
            <w:tcMar>
              <w:top w:w="90" w:type="dxa"/>
              <w:start w:w="110" w:type="dxa"/>
              <w:bottom w:w="90" w:type="dxa"/>
              <w:end w:w="110" w:type="dxa"/>
            </w:tcMar>
            <w:vAlign w:val="center"/>
          </w:tcPr>
          <w:p>
            <w:pPr>
              <w:jc w:val="center"/>
            </w:pPr>
            <w:r>
              <w:rPr>
                <w:rFonts w:ascii="DejaVu Serif" w:hAnsi="DejaVu Serif" w:eastAsia="DejaVu Serif"/>
                <w:b w:val="0"/>
                <w:i w:val="0"/>
                <w:sz w:val="16"/>
              </w:rPr>
              <w:t>Method</w:t>
            </w:r>
          </w:p>
        </w:tc>
        <w:tc>
          <w:tcPr>
            <w:tcW w:type="dxa" w:w="6917"/>
            <w:tcMar>
              <w:top w:w="90" w:type="dxa"/>
              <w:start w:w="110" w:type="dxa"/>
              <w:bottom w:w="90" w:type="dxa"/>
              <w:end w:w="110" w:type="dxa"/>
            </w:tcMar>
            <w:vAlign w:val="center"/>
          </w:tcPr>
          <w:p>
            <w:pPr>
              <w:jc w:val="left"/>
            </w:pPr>
            <w:r>
              <w:rPr>
                <w:rFonts w:ascii="DejaVu Serif" w:hAnsi="DejaVu Serif" w:eastAsia="DejaVu Serif"/>
                <w:b w:val="0"/>
                <w:i w:val="0"/>
                <w:sz w:val="16"/>
              </w:rPr>
              <w:t>adapter, config, schema, code, environment, seed</w:t>
            </w:r>
          </w:p>
        </w:tc>
      </w:tr>
      <w:tr>
        <w:tc>
          <w:tcPr>
            <w:tcW w:type="dxa" w:w="2268"/>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Forecast</w:t>
            </w:r>
          </w:p>
        </w:tc>
        <w:tc>
          <w:tcPr>
            <w:tcW w:type="dxa" w:w="6917"/>
            <w:tcMar>
              <w:top w:w="90" w:type="dxa"/>
              <w:start w:w="110" w:type="dxa"/>
              <w:bottom w:w="90" w:type="dxa"/>
              <w:end w:w="110" w:type="dxa"/>
            </w:tcMar>
            <w:vAlign w:val="center"/>
            <w:shd w:fill="F4F7FA"/>
          </w:tcPr>
          <w:p>
            <w:pPr>
              <w:jc w:val="left"/>
            </w:pPr>
            <w:r>
              <w:rPr>
                <w:rFonts w:ascii="DejaVu Serif" w:hAnsi="DejaVu Serif" w:eastAsia="DejaVu Serif"/>
                <w:b w:val="0"/>
                <w:i w:val="0"/>
                <w:sz w:val="16"/>
              </w:rPr>
              <w:t>score, corridor, PN.2 branches, abstention</w:t>
            </w:r>
          </w:p>
        </w:tc>
      </w:tr>
      <w:tr>
        <w:tc>
          <w:tcPr>
            <w:tcW w:type="dxa" w:w="2268"/>
            <w:tcMar>
              <w:top w:w="90" w:type="dxa"/>
              <w:start w:w="110" w:type="dxa"/>
              <w:bottom w:w="90" w:type="dxa"/>
              <w:end w:w="110" w:type="dxa"/>
            </w:tcMar>
            <w:vAlign w:val="center"/>
          </w:tcPr>
          <w:p>
            <w:pPr>
              <w:jc w:val="center"/>
            </w:pPr>
            <w:r>
              <w:rPr>
                <w:rFonts w:ascii="DejaVu Serif" w:hAnsi="DejaVu Serif" w:eastAsia="DejaVu Serif"/>
                <w:b w:val="0"/>
                <w:i w:val="0"/>
                <w:sz w:val="16"/>
              </w:rPr>
              <w:t>Comparison</w:t>
            </w:r>
          </w:p>
        </w:tc>
        <w:tc>
          <w:tcPr>
            <w:tcW w:type="dxa" w:w="6917"/>
            <w:tcMar>
              <w:top w:w="90" w:type="dxa"/>
              <w:start w:w="110" w:type="dxa"/>
              <w:bottom w:w="90" w:type="dxa"/>
              <w:end w:w="110" w:type="dxa"/>
            </w:tcMar>
            <w:vAlign w:val="center"/>
          </w:tcPr>
          <w:p>
            <w:pPr>
              <w:jc w:val="left"/>
            </w:pPr>
            <w:r>
              <w:rPr>
                <w:rFonts w:ascii="DejaVu Serif" w:hAnsi="DejaVu Serif" w:eastAsia="DejaVu Serif"/>
                <w:b w:val="0"/>
                <w:i w:val="0"/>
                <w:sz w:val="16"/>
              </w:rPr>
              <w:t>loss, matched-null, gain, primary statistic</w:t>
            </w:r>
          </w:p>
        </w:tc>
      </w:tr>
      <w:tr>
        <w:tc>
          <w:tcPr>
            <w:tcW w:type="dxa" w:w="2268"/>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Errors</w:t>
            </w:r>
          </w:p>
        </w:tc>
        <w:tc>
          <w:tcPr>
            <w:tcW w:type="dxa" w:w="6917"/>
            <w:tcMar>
              <w:top w:w="90" w:type="dxa"/>
              <w:start w:w="110" w:type="dxa"/>
              <w:bottom w:w="90" w:type="dxa"/>
              <w:end w:w="110" w:type="dxa"/>
            </w:tcMar>
            <w:vAlign w:val="center"/>
            <w:shd w:fill="F4F7FA"/>
          </w:tcPr>
          <w:p>
            <w:pPr>
              <w:jc w:val="left"/>
            </w:pPr>
            <w:r>
              <w:rPr>
                <w:rFonts w:ascii="DejaVu Serif" w:hAnsi="DejaVu Serif" w:eastAsia="DejaVu Serif"/>
                <w:b w:val="0"/>
                <w:i w:val="0"/>
                <w:sz w:val="16"/>
              </w:rPr>
              <w:t>alpha, beta, delta_min, multiplicity, stopping</w:t>
            </w:r>
          </w:p>
        </w:tc>
      </w:tr>
      <w:tr>
        <w:tc>
          <w:tcPr>
            <w:tcW w:type="dxa" w:w="2268"/>
            <w:tcMar>
              <w:top w:w="90" w:type="dxa"/>
              <w:start w:w="110" w:type="dxa"/>
              <w:bottom w:w="90" w:type="dxa"/>
              <w:end w:w="110" w:type="dxa"/>
            </w:tcMar>
            <w:vAlign w:val="center"/>
          </w:tcPr>
          <w:p>
            <w:pPr>
              <w:jc w:val="center"/>
            </w:pPr>
            <w:r>
              <w:rPr>
                <w:rFonts w:ascii="DejaVu Serif" w:hAnsi="DejaVu Serif" w:eastAsia="DejaVu Serif"/>
                <w:b w:val="0"/>
                <w:i w:val="0"/>
                <w:sz w:val="16"/>
              </w:rPr>
              <w:t>Decision</w:t>
            </w:r>
          </w:p>
        </w:tc>
        <w:tc>
          <w:tcPr>
            <w:tcW w:type="dxa" w:w="6917"/>
            <w:tcMar>
              <w:top w:w="90" w:type="dxa"/>
              <w:start w:w="110" w:type="dxa"/>
              <w:bottom w:w="90" w:type="dxa"/>
              <w:end w:w="110" w:type="dxa"/>
            </w:tcMar>
            <w:vAlign w:val="center"/>
          </w:tcPr>
          <w:p>
            <w:pPr>
              <w:jc w:val="left"/>
            </w:pPr>
            <w:r>
              <w:rPr>
                <w:rFonts w:ascii="DejaVu Serif" w:hAnsi="DejaVu Serif" w:eastAsia="DejaVu Serif"/>
                <w:b w:val="0"/>
                <w:i w:val="0"/>
                <w:sz w:val="16"/>
              </w:rPr>
              <w:t>PASS, FAIL, ABSTAIN, BLOCK, publication rule</w:t>
            </w:r>
          </w:p>
        </w:tc>
      </w:tr>
    </w:tbl>
    <w:p>
      <w:pPr>
        <w:spacing w:after="40"/>
      </w:pPr>
    </w:p>
    <w:p>
      <w:pPr>
        <w:spacing w:after="80" w:line="269" w:lineRule="auto"/>
        <w:jc w:val="both"/>
      </w:pPr>
      <w:r>
        <w:rPr>
          <w:rFonts w:ascii="DejaVu Serif" w:hAnsi="DejaVu Serif" w:eastAsia="DejaVu Serif"/>
          <w:b w:val="0"/>
          <w:i w:val="0"/>
        </w:rPr>
        <w:t>No field is left to analytical discretion after unblinding. Uncertainty is represented as a finite list of options with a planning-only selection rule.</w:t>
      </w:r>
    </w:p>
    <w:p>
      <w:pPr>
        <w:pStyle w:val="Heading2"/>
        <w:keepNext/>
      </w:pPr>
      <w:r>
        <w:t>46.3. Execution Algorithm</w:t>
      </w:r>
    </w:p>
    <w:tbl>
      <w:tblPr>
        <w:tblStyle w:val="TableGrid"/>
        <w:tblW w:type="auto" w:w="0"/>
        <w:jc w:val="center"/>
        <w:tblLook w:firstColumn="1" w:firstRow="1" w:lastColumn="0" w:lastRow="0" w:noHBand="0" w:noVBand="1" w:val="04A0"/>
      </w:tblPr>
      <w:tblGrid>
        <w:gridCol w:w="5035"/>
        <w:gridCol w:w="5035"/>
      </w:tblGrid>
      <w:tr>
        <w:trPr>
          <w:tblHeader w:val="true"/>
        </w:trPr>
        <w:tc>
          <w:tcPr>
            <w:tcW w:type="dxa" w:w="113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Step</w:t>
            </w:r>
          </w:p>
        </w:tc>
        <w:tc>
          <w:tcPr>
            <w:tcW w:type="dxa" w:w="8050"/>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Operation</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7"/>
              </w:rPr>
              <w:t>1</w:t>
            </w:r>
          </w:p>
        </w:tc>
        <w:tc>
          <w:tcPr>
            <w:tcW w:type="dxa" w:w="8050"/>
            <w:tcMar>
              <w:top w:w="90" w:type="dxa"/>
              <w:start w:w="110" w:type="dxa"/>
              <w:bottom w:w="90" w:type="dxa"/>
              <w:end w:w="110" w:type="dxa"/>
            </w:tcMar>
            <w:vAlign w:val="center"/>
          </w:tcPr>
          <w:p>
            <w:pPr>
              <w:jc w:val="left"/>
            </w:pPr>
            <w:r>
              <w:rPr>
                <w:rFonts w:ascii="DejaVu Serif" w:hAnsi="DejaVu Serif" w:eastAsia="DejaVu Serif"/>
                <w:b w:val="0"/>
                <w:i w:val="0"/>
                <w:sz w:val="17"/>
              </w:rPr>
              <w:t>Verify timestamp and frozen hashes.</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2</w:t>
            </w:r>
          </w:p>
        </w:tc>
        <w:tc>
          <w:tcPr>
            <w:tcW w:type="dxa" w:w="8050"/>
            <w:tcMar>
              <w:top w:w="90" w:type="dxa"/>
              <w:start w:w="110" w:type="dxa"/>
              <w:bottom w:w="90" w:type="dxa"/>
              <w:end w:w="110" w:type="dxa"/>
            </w:tcMar>
            <w:vAlign w:val="center"/>
            <w:shd w:fill="F4F7FA"/>
          </w:tcPr>
          <w:p>
            <w:pPr>
              <w:jc w:val="left"/>
            </w:pPr>
            <w:r>
              <w:rPr>
                <w:rFonts w:ascii="DejaVu Serif" w:hAnsi="DejaVu Serif" w:eastAsia="DejaVu Serif"/>
                <w:b w:val="0"/>
                <w:i w:val="0"/>
                <w:sz w:val="17"/>
              </w:rPr>
              <w:t>Obtain external bytes and compute source_hash.</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7"/>
              </w:rPr>
              <w:t>3</w:t>
            </w:r>
          </w:p>
        </w:tc>
        <w:tc>
          <w:tcPr>
            <w:tcW w:type="dxa" w:w="8050"/>
            <w:tcMar>
              <w:top w:w="90" w:type="dxa"/>
              <w:start w:w="110" w:type="dxa"/>
              <w:bottom w:w="90" w:type="dxa"/>
              <w:end w:w="110" w:type="dxa"/>
            </w:tcMar>
            <w:vAlign w:val="center"/>
          </w:tcPr>
          <w:p>
            <w:pPr>
              <w:jc w:val="left"/>
            </w:pPr>
            <w:r>
              <w:rPr>
                <w:rFonts w:ascii="DejaVu Serif" w:hAnsi="DejaVu Serif" w:eastAsia="DejaVu Serif"/>
                <w:b w:val="0"/>
                <w:i w:val="0"/>
                <w:sz w:val="17"/>
              </w:rPr>
              <w:t>Apply inclusion and group split without viewing outcomes.</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4</w:t>
            </w:r>
          </w:p>
        </w:tc>
        <w:tc>
          <w:tcPr>
            <w:tcW w:type="dxa" w:w="8050"/>
            <w:tcMar>
              <w:top w:w="90" w:type="dxa"/>
              <w:start w:w="110" w:type="dxa"/>
              <w:bottom w:w="90" w:type="dxa"/>
              <w:end w:w="110" w:type="dxa"/>
            </w:tcMar>
            <w:vAlign w:val="center"/>
            <w:shd w:fill="F4F7FA"/>
          </w:tcPr>
          <w:p>
            <w:pPr>
              <w:jc w:val="left"/>
            </w:pPr>
            <w:r>
              <w:rPr>
                <w:rFonts w:ascii="DejaVu Serif" w:hAnsi="DejaVu Serif" w:eastAsia="DejaVu Serif"/>
                <w:b w:val="0"/>
                <w:i w:val="0"/>
                <w:sz w:val="17"/>
              </w:rPr>
              <w:t>Run the adapter in blocker-safe mode.</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7"/>
              </w:rPr>
              <w:t>5</w:t>
            </w:r>
          </w:p>
        </w:tc>
        <w:tc>
          <w:tcPr>
            <w:tcW w:type="dxa" w:w="8050"/>
            <w:tcMar>
              <w:top w:w="90" w:type="dxa"/>
              <w:start w:w="110" w:type="dxa"/>
              <w:bottom w:w="90" w:type="dxa"/>
              <w:end w:w="110" w:type="dxa"/>
            </w:tcMar>
            <w:vAlign w:val="center"/>
          </w:tcPr>
          <w:p>
            <w:pPr>
              <w:jc w:val="left"/>
            </w:pPr>
            <w:r>
              <w:rPr>
                <w:rFonts w:ascii="DejaVu Serif" w:hAnsi="DejaVu Serif" w:eastAsia="DejaVu Serif"/>
                <w:b w:val="0"/>
                <w:i w:val="0"/>
                <w:sz w:val="17"/>
              </w:rPr>
              <w:t>Construct the registered corridor and matched null.</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6</w:t>
            </w:r>
          </w:p>
        </w:tc>
        <w:tc>
          <w:tcPr>
            <w:tcW w:type="dxa" w:w="8050"/>
            <w:tcMar>
              <w:top w:w="90" w:type="dxa"/>
              <w:start w:w="110" w:type="dxa"/>
              <w:bottom w:w="90" w:type="dxa"/>
              <w:end w:w="110" w:type="dxa"/>
            </w:tcMar>
            <w:vAlign w:val="center"/>
            <w:shd w:fill="F4F7FA"/>
          </w:tcPr>
          <w:p>
            <w:pPr>
              <w:jc w:val="left"/>
            </w:pPr>
            <w:r>
              <w:rPr>
                <w:rFonts w:ascii="DejaVu Serif" w:hAnsi="DejaVu Serif" w:eastAsia="DejaVu Serif"/>
                <w:b w:val="0"/>
                <w:i w:val="0"/>
                <w:sz w:val="17"/>
              </w:rPr>
              <w:t>Compute group scores and primary gain.</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7"/>
              </w:rPr>
              <w:t>7</w:t>
            </w:r>
          </w:p>
        </w:tc>
        <w:tc>
          <w:tcPr>
            <w:tcW w:type="dxa" w:w="8050"/>
            <w:tcMar>
              <w:top w:w="90" w:type="dxa"/>
              <w:start w:w="110" w:type="dxa"/>
              <w:bottom w:w="90" w:type="dxa"/>
              <w:end w:w="110" w:type="dxa"/>
            </w:tcMar>
            <w:vAlign w:val="center"/>
          </w:tcPr>
          <w:p>
            <w:pPr>
              <w:jc w:val="left"/>
            </w:pPr>
            <w:r>
              <w:rPr>
                <w:rFonts w:ascii="DejaVu Serif" w:hAnsi="DejaVu Serif" w:eastAsia="DejaVu Serif"/>
                <w:b w:val="0"/>
                <w:i w:val="0"/>
                <w:sz w:val="17"/>
              </w:rPr>
              <w:t>Apply the fixed-horizon or e-process rule.</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8</w:t>
            </w:r>
          </w:p>
        </w:tc>
        <w:tc>
          <w:tcPr>
            <w:tcW w:type="dxa" w:w="8050"/>
            <w:tcMar>
              <w:top w:w="90" w:type="dxa"/>
              <w:start w:w="110" w:type="dxa"/>
              <w:bottom w:w="90" w:type="dxa"/>
              <w:end w:w="110" w:type="dxa"/>
            </w:tcMar>
            <w:vAlign w:val="center"/>
            <w:shd w:fill="F4F7FA"/>
          </w:tcPr>
          <w:p>
            <w:pPr>
              <w:jc w:val="left"/>
            </w:pPr>
            <w:r>
              <w:rPr>
                <w:rFonts w:ascii="DejaVu Serif" w:hAnsi="DejaVu Serif" w:eastAsia="DejaVu Serif"/>
                <w:b w:val="0"/>
                <w:i w:val="0"/>
                <w:sz w:val="17"/>
              </w:rPr>
              <w:t>Apply multiplicity control.</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7"/>
              </w:rPr>
              <w:t>9</w:t>
            </w:r>
          </w:p>
        </w:tc>
        <w:tc>
          <w:tcPr>
            <w:tcW w:type="dxa" w:w="8050"/>
            <w:tcMar>
              <w:top w:w="90" w:type="dxa"/>
              <w:start w:w="110" w:type="dxa"/>
              <w:bottom w:w="90" w:type="dxa"/>
              <w:end w:w="110" w:type="dxa"/>
            </w:tcMar>
            <w:vAlign w:val="center"/>
          </w:tcPr>
          <w:p>
            <w:pPr>
              <w:jc w:val="left"/>
            </w:pPr>
            <w:r>
              <w:rPr>
                <w:rFonts w:ascii="DejaVu Serif" w:hAnsi="DejaVu Serif" w:eastAsia="DejaVu Serif"/>
                <w:b w:val="0"/>
                <w:i w:val="0"/>
                <w:sz w:val="17"/>
              </w:rPr>
              <w:t>Issue the decision and immutable certificate.</w:t>
            </w:r>
          </w:p>
        </w:tc>
      </w:tr>
    </w:tbl>
    <w:p>
      <w:pPr>
        <w:spacing w:after="40"/>
      </w:pPr>
    </w:p>
    <w:p>
      <w:pPr>
        <w:spacing w:after="80" w:line="269" w:lineRule="auto"/>
        <w:jc w:val="both"/>
      </w:pPr>
      <w:r>
        <w:rPr>
          <w:rFonts w:ascii="DejaVu Serif" w:hAnsi="DejaVu Serif" w:eastAsia="DejaVu Serif"/>
          <w:b w:val="0"/>
          <w:i w:val="0"/>
        </w:rPr>
        <w:t>If any mandatory step returns Block, downstream numerical outputs are not computed or are marked diagnostic-only.</w:t>
      </w:r>
    </w:p>
    <w:p>
      <w:pPr>
        <w:pStyle w:val="Heading2"/>
        <w:keepNext/>
      </w:pPr>
      <w:r>
        <w:t>46.4. Decision Rule</w:t>
      </w:r>
    </w:p>
    <w:p>
      <w:pPr>
        <w:spacing w:before="80" w:after="100"/>
        <w:jc w:val="center"/>
      </w:pPr>
      <w:r>
        <w:rPr>
          <w:rFonts w:ascii="DejaVu Serif" w:hAnsi="DejaVu Serif" w:eastAsia="DejaVu Serif"/>
          <w:b w:val="0"/>
          <w:i w:val="0"/>
          <w:sz w:val="21"/>
        </w:rPr>
        <w:t>Decision in {PASS, FAIL, ABSTAIN, BLOCK}</w:t>
      </w:r>
      <w:r>
        <w:rPr>
          <w:rFonts w:ascii="DejaVu Serif" w:hAnsi="DejaVu Serif" w:eastAsia="DejaVu Serif"/>
          <w:b w:val="0"/>
          <w:i/>
          <w:color w:val="6B7280"/>
          <w:sz w:val="17"/>
        </w:rPr>
        <w:t xml:space="preserve">    [RU p. 202]</w:t>
      </w:r>
    </w:p>
    <w:p>
      <w:pPr>
        <w:spacing w:after="80" w:line="269" w:lineRule="auto"/>
        <w:jc w:val="both"/>
      </w:pPr>
      <w:r>
        <w:rPr>
          <w:rFonts w:ascii="DejaVu Serif" w:hAnsi="DejaVu Serif" w:eastAsia="DejaVu Serif"/>
          <w:b w:val="0"/>
          <w:i w:val="0"/>
        </w:rPr>
        <w:t>PASS requires: no Block; independent domain selection; registered n or e-threshold reached; primary null rejected after multiplicity; gain in the required direction; coverage and support gates passed; and CGI&lt;1. FAIL is a valid completed test whose primary criterion is not met. ABSTAIN is an object-level forecast decision counted in loss. BLOCK is a design violation.</w:t>
      </w:r>
    </w:p>
    <w:tbl>
      <w:tblPr>
        <w:tblStyle w:val="TableGrid"/>
        <w:tblW w:type="auto" w:w="0"/>
        <w:jc w:val="center"/>
        <w:tblLook w:firstColumn="1" w:firstRow="1" w:lastColumn="0" w:lastRow="0" w:noHBand="0" w:noVBand="1" w:val="04A0"/>
      </w:tblPr>
      <w:tblGrid>
        <w:gridCol w:w="10070"/>
      </w:tblGrid>
      <w:tr>
        <w:tc>
          <w:tcPr>
            <w:tcW w:type="dxa" w:w="10070"/>
            <w:shd w:fill="F9EAEA"/>
            <w:tcMar>
              <w:top w:w="120" w:type="dxa"/>
              <w:start w:w="140" w:type="dxa"/>
              <w:bottom w:w="120" w:type="dxa"/>
              <w:end w:w="140" w:type="dxa"/>
            </w:tcMar>
          </w:tcPr>
          <w:p>
            <w:r>
              <w:rPr>
                <w:rFonts w:ascii="DejaVu Sans" w:hAnsi="DejaVu Sans" w:eastAsia="DejaVu Sans"/>
                <w:b/>
                <w:i w:val="0"/>
                <w:color w:val="9E2A2B"/>
                <w:sz w:val="18"/>
              </w:rPr>
              <w:t xml:space="preserve">Conclusion boundary. </w:t>
            </w:r>
            <w:r>
              <w:rPr>
                <w:rFonts w:ascii="DejaVu Serif" w:hAnsi="DejaVu Serif" w:eastAsia="DejaVu Serif"/>
                <w:b w:val="0"/>
                <w:i w:val="0"/>
                <w:sz w:val="18"/>
              </w:rPr>
              <w:t>PASS supports the registered operational hypothesis only for the declared population and horizon. It is not a universal physical theorem of PN.2 and does not prove metaphysical truth.</w:t>
            </w:r>
          </w:p>
        </w:tc>
      </w:tr>
    </w:tbl>
    <w:p>
      <w:pPr>
        <w:spacing w:after="40"/>
      </w:pPr>
    </w:p>
    <w:p>
      <w:pPr>
        <w:pStyle w:val="Heading2"/>
        <w:keepNext/>
      </w:pPr>
      <w:r>
        <w:t>46.5. Negative Results and Versioning</w:t>
      </w:r>
    </w:p>
    <w:p>
      <w:pPr>
        <w:spacing w:after="80" w:line="269" w:lineRule="auto"/>
        <w:jc w:val="both"/>
      </w:pPr>
      <w:r>
        <w:rPr>
          <w:rFonts w:ascii="DejaVu Serif" w:hAnsi="DejaVu Serif" w:eastAsia="DejaVu Serif"/>
          <w:b w:val="0"/>
          <w:i w:val="0"/>
        </w:rPr>
        <w:t>FAIL and BLOCK are published with the same provenance trace as PASS. Excluding a run after observing its result is forbidden. Any modification after FAIL creates EXT-RUN-001 or a later version with a new protocol and a new ext corpus; EXT-RUN-000 remains historical.</w:t>
      </w:r>
    </w:p>
    <w:p>
      <w:pPr>
        <w:pStyle w:val="Heading2"/>
        <w:keepNext/>
      </w:pPr>
      <w:r>
        <w:t>46.6. Causal Branch</w:t>
      </w:r>
    </w:p>
    <w:p>
      <w:pPr>
        <w:spacing w:after="80" w:line="269" w:lineRule="auto"/>
        <w:jc w:val="both"/>
      </w:pPr>
      <w:r>
        <w:rPr>
          <w:rFonts w:ascii="DejaVu Serif" w:hAnsi="DejaVu Serif" w:eastAsia="DejaVu Serif"/>
          <w:b w:val="0"/>
          <w:i w:val="0"/>
        </w:rPr>
        <w:t>By default EXT-RUN-000 is predictive. A causal claim additionally requires every CAUSAL-BRIDGE-CERT field: estimand, intervention, graph, L, positivity, consistency, and sensitivity. Missing causal fields do not block an honest predictive test, but they block causal language.</w:t>
      </w:r>
    </w:p>
    <w:p>
      <w:pPr>
        <w:pStyle w:val="Heading2"/>
        <w:keepNext/>
      </w:pPr>
      <w:r>
        <w:t>46.7. Artifact-1 Link</w:t>
      </w:r>
    </w:p>
    <w:p>
      <w:pPr>
        <w:spacing w:before="80" w:after="100"/>
        <w:jc w:val="center"/>
      </w:pPr>
      <w:r>
        <w:rPr>
          <w:rFonts w:ascii="DejaVu Serif" w:hAnsi="DejaVu Serif" w:eastAsia="DejaVu Serif"/>
          <w:b w:val="0"/>
          <w:i w:val="0"/>
          <w:sz w:val="21"/>
        </w:rPr>
        <w:t>external_validation_id -&gt; new linked object; existing lambda, delta_truth, CGI, status, and next-step remain unchanged</w:t>
      </w:r>
      <w:r>
        <w:rPr>
          <w:rFonts w:ascii="DejaVu Serif" w:hAnsi="DejaVu Serif" w:eastAsia="DejaVu Serif"/>
          <w:b w:val="0"/>
          <w:i/>
          <w:color w:val="6B7280"/>
          <w:sz w:val="17"/>
        </w:rPr>
        <w:t xml:space="preserve">    [RU p. 202]</w:t>
      </w:r>
    </w:p>
    <w:p>
      <w:pPr>
        <w:pStyle w:val="Heading2"/>
        <w:keepNext/>
      </w:pPr>
      <w:r>
        <w:t>46.8. Final Status Ledger</w:t>
      </w:r>
    </w:p>
    <w:tbl>
      <w:tblPr>
        <w:tblStyle w:val="TableGrid"/>
        <w:tblW w:type="auto" w:w="0"/>
        <w:jc w:val="center"/>
        <w:tblLook w:firstColumn="1" w:firstRow="1" w:lastColumn="0" w:lastRow="0" w:noHBand="0" w:noVBand="1" w:val="04A0"/>
      </w:tblPr>
      <w:tblGrid>
        <w:gridCol w:w="2517"/>
        <w:gridCol w:w="2517"/>
        <w:gridCol w:w="2517"/>
        <w:gridCol w:w="2517"/>
      </w:tblGrid>
      <w:tr>
        <w:trPr>
          <w:tblHeader w:val="true"/>
        </w:trPr>
        <w:tc>
          <w:tcPr>
            <w:tcW w:type="dxa" w:w="209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Object</w:t>
            </w:r>
          </w:p>
        </w:tc>
        <w:tc>
          <w:tcPr>
            <w:tcW w:type="dxa" w:w="243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Status</w:t>
            </w:r>
          </w:p>
        </w:tc>
        <w:tc>
          <w:tcPr>
            <w:tcW w:type="dxa" w:w="255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Established</w:t>
            </w:r>
          </w:p>
        </w:tc>
        <w:tc>
          <w:tcPr>
            <w:tcW w:type="dxa" w:w="226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Next input</w:t>
            </w:r>
          </w:p>
        </w:tc>
      </w:tr>
      <w:tr>
        <w:tc>
          <w:tcPr>
            <w:tcW w:type="dxa" w:w="2098"/>
            <w:tcMar>
              <w:top w:w="90" w:type="dxa"/>
              <w:start w:w="110" w:type="dxa"/>
              <w:bottom w:w="90" w:type="dxa"/>
              <w:end w:w="110" w:type="dxa"/>
            </w:tcMar>
            <w:vAlign w:val="center"/>
          </w:tcPr>
          <w:p>
            <w:pPr>
              <w:jc w:val="center"/>
            </w:pPr>
            <w:r>
              <w:rPr>
                <w:rFonts w:ascii="DejaVu Serif" w:hAnsi="DejaVu Serif" w:eastAsia="DejaVu Serif"/>
                <w:b w:val="0"/>
                <w:i w:val="0"/>
                <w:sz w:val="15"/>
              </w:rPr>
              <w:t>Blocker-safe E2E</w:t>
            </w:r>
          </w:p>
        </w:tc>
        <w:tc>
          <w:tcPr>
            <w:tcW w:type="dxa" w:w="2438"/>
            <w:tcMar>
              <w:top w:w="90" w:type="dxa"/>
              <w:start w:w="110" w:type="dxa"/>
              <w:bottom w:w="90" w:type="dxa"/>
              <w:end w:w="110" w:type="dxa"/>
            </w:tcMar>
            <w:vAlign w:val="center"/>
          </w:tcPr>
          <w:p>
            <w:pPr>
              <w:jc w:val="left"/>
            </w:pPr>
            <w:r>
              <w:rPr>
                <w:rFonts w:ascii="DejaVu Serif" w:hAnsi="DejaVu Serif" w:eastAsia="DejaVu Serif"/>
                <w:b w:val="0"/>
                <w:i w:val="0"/>
                <w:sz w:val="15"/>
              </w:rPr>
              <w:t>formalized</w:t>
            </w:r>
          </w:p>
        </w:tc>
        <w:tc>
          <w:tcPr>
            <w:tcW w:type="dxa" w:w="2551"/>
            <w:tcMar>
              <w:top w:w="90" w:type="dxa"/>
              <w:start w:w="110" w:type="dxa"/>
              <w:bottom w:w="90" w:type="dxa"/>
              <w:end w:w="110" w:type="dxa"/>
            </w:tcMar>
            <w:vAlign w:val="center"/>
          </w:tcPr>
          <w:p>
            <w:pPr>
              <w:jc w:val="left"/>
            </w:pPr>
            <w:r>
              <w:rPr>
                <w:rFonts w:ascii="DejaVu Serif" w:hAnsi="DejaVu Serif" w:eastAsia="DejaVu Serif"/>
                <w:b w:val="0"/>
                <w:i w:val="0"/>
                <w:sz w:val="15"/>
              </w:rPr>
              <w:t>absorption of Block</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5"/>
              </w:rPr>
              <w:t>domain run</w:t>
            </w:r>
          </w:p>
        </w:tc>
      </w:tr>
      <w:tr>
        <w:tc>
          <w:tcPr>
            <w:tcW w:type="dxa" w:w="2098"/>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Weighted calibration</w:t>
            </w:r>
          </w:p>
        </w:tc>
        <w:tc>
          <w:tcPr>
            <w:tcW w:type="dxa" w:w="2438"/>
            <w:tcMar>
              <w:top w:w="90" w:type="dxa"/>
              <w:start w:w="110" w:type="dxa"/>
              <w:bottom w:w="90" w:type="dxa"/>
              <w:end w:w="110" w:type="dxa"/>
            </w:tcMar>
            <w:vAlign w:val="center"/>
            <w:shd w:fill="F4F7FA"/>
          </w:tcPr>
          <w:p>
            <w:pPr>
              <w:jc w:val="left"/>
            </w:pPr>
            <w:r>
              <w:rPr>
                <w:rFonts w:ascii="DejaVu Serif" w:hAnsi="DejaVu Serif" w:eastAsia="DejaVu Serif"/>
                <w:b w:val="0"/>
                <w:i w:val="0"/>
                <w:sz w:val="15"/>
              </w:rPr>
              <w:t>conditional theorem</w:t>
            </w:r>
          </w:p>
        </w:tc>
        <w:tc>
          <w:tcPr>
            <w:tcW w:type="dxa" w:w="2551"/>
            <w:tcMar>
              <w:top w:w="90" w:type="dxa"/>
              <w:start w:w="110" w:type="dxa"/>
              <w:bottom w:w="90" w:type="dxa"/>
              <w:end w:w="110" w:type="dxa"/>
            </w:tcMar>
            <w:vAlign w:val="center"/>
            <w:shd w:fill="F4F7FA"/>
          </w:tcPr>
          <w:p>
            <w:pPr>
              <w:jc w:val="left"/>
            </w:pPr>
            <w:r>
              <w:rPr>
                <w:rFonts w:ascii="DejaVu Serif" w:hAnsi="DejaVu Serif" w:eastAsia="DejaVu Serif"/>
                <w:b w:val="0"/>
                <w:i w:val="0"/>
                <w:sz w:val="15"/>
              </w:rPr>
              <w:t>coverage under bridge</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5"/>
              </w:rPr>
              <w:t>target weights</w:t>
            </w:r>
          </w:p>
        </w:tc>
      </w:tr>
      <w:tr>
        <w:tc>
          <w:tcPr>
            <w:tcW w:type="dxa" w:w="2098"/>
            <w:tcMar>
              <w:top w:w="90" w:type="dxa"/>
              <w:start w:w="110" w:type="dxa"/>
              <w:bottom w:w="90" w:type="dxa"/>
              <w:end w:w="110" w:type="dxa"/>
            </w:tcMar>
            <w:vAlign w:val="center"/>
          </w:tcPr>
          <w:p>
            <w:pPr>
              <w:jc w:val="center"/>
            </w:pPr>
            <w:r>
              <w:rPr>
                <w:rFonts w:ascii="DejaVu Serif" w:hAnsi="DejaVu Serif" w:eastAsia="DejaVu Serif"/>
                <w:b w:val="0"/>
                <w:i w:val="0"/>
                <w:sz w:val="15"/>
              </w:rPr>
              <w:t>E-process</w:t>
            </w:r>
          </w:p>
        </w:tc>
        <w:tc>
          <w:tcPr>
            <w:tcW w:type="dxa" w:w="2438"/>
            <w:tcMar>
              <w:top w:w="90" w:type="dxa"/>
              <w:start w:w="110" w:type="dxa"/>
              <w:bottom w:w="90" w:type="dxa"/>
              <w:end w:w="110" w:type="dxa"/>
            </w:tcMar>
            <w:vAlign w:val="center"/>
          </w:tcPr>
          <w:p>
            <w:pPr>
              <w:jc w:val="left"/>
            </w:pPr>
            <w:r>
              <w:rPr>
                <w:rFonts w:ascii="DejaVu Serif" w:hAnsi="DejaVu Serif" w:eastAsia="DejaVu Serif"/>
                <w:b w:val="0"/>
                <w:i w:val="0"/>
                <w:sz w:val="15"/>
              </w:rPr>
              <w:t>conditional theorem</w:t>
            </w:r>
          </w:p>
        </w:tc>
        <w:tc>
          <w:tcPr>
            <w:tcW w:type="dxa" w:w="2551"/>
            <w:tcMar>
              <w:top w:w="90" w:type="dxa"/>
              <w:start w:w="110" w:type="dxa"/>
              <w:bottom w:w="90" w:type="dxa"/>
              <w:end w:w="110" w:type="dxa"/>
            </w:tcMar>
            <w:vAlign w:val="center"/>
          </w:tcPr>
          <w:p>
            <w:pPr>
              <w:jc w:val="left"/>
            </w:pPr>
            <w:r>
              <w:rPr>
                <w:rFonts w:ascii="DejaVu Serif" w:hAnsi="DejaVu Serif" w:eastAsia="DejaVu Serif"/>
                <w:b w:val="0"/>
                <w:i w:val="0"/>
                <w:sz w:val="15"/>
              </w:rPr>
              <w:t>anytime level</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5"/>
              </w:rPr>
              <w:t>null stream</w:t>
            </w:r>
          </w:p>
        </w:tc>
      </w:tr>
      <w:tr>
        <w:tc>
          <w:tcPr>
            <w:tcW w:type="dxa" w:w="2098"/>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PN.2 aggregation</w:t>
            </w:r>
          </w:p>
        </w:tc>
        <w:tc>
          <w:tcPr>
            <w:tcW w:type="dxa" w:w="2438"/>
            <w:tcMar>
              <w:top w:w="90" w:type="dxa"/>
              <w:start w:w="110" w:type="dxa"/>
              <w:bottom w:w="90" w:type="dxa"/>
              <w:end w:w="110" w:type="dxa"/>
            </w:tcMar>
            <w:vAlign w:val="center"/>
            <w:shd w:fill="F4F7FA"/>
          </w:tcPr>
          <w:p>
            <w:pPr>
              <w:jc w:val="left"/>
            </w:pPr>
            <w:r>
              <w:rPr>
                <w:rFonts w:ascii="DejaVu Serif" w:hAnsi="DejaVu Serif" w:eastAsia="DejaVu Serif"/>
                <w:b w:val="0"/>
                <w:i w:val="0"/>
                <w:sz w:val="15"/>
              </w:rPr>
              <w:t>regret theorem</w:t>
            </w:r>
          </w:p>
        </w:tc>
        <w:tc>
          <w:tcPr>
            <w:tcW w:type="dxa" w:w="2551"/>
            <w:tcMar>
              <w:top w:w="90" w:type="dxa"/>
              <w:start w:w="110" w:type="dxa"/>
              <w:bottom w:w="90" w:type="dxa"/>
              <w:end w:w="110" w:type="dxa"/>
            </w:tcMar>
            <w:vAlign w:val="center"/>
            <w:shd w:fill="F4F7FA"/>
          </w:tcPr>
          <w:p>
            <w:pPr>
              <w:jc w:val="left"/>
            </w:pPr>
            <w:r>
              <w:rPr>
                <w:rFonts w:ascii="DejaVu Serif" w:hAnsi="DejaVu Serif" w:eastAsia="DejaVu Serif"/>
                <w:b w:val="0"/>
                <w:i w:val="0"/>
                <w:sz w:val="15"/>
              </w:rPr>
              <w:t>Hedge bound</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5"/>
              </w:rPr>
              <w:t>registered experts</w:t>
            </w:r>
          </w:p>
        </w:tc>
      </w:tr>
      <w:tr>
        <w:tc>
          <w:tcPr>
            <w:tcW w:type="dxa" w:w="2098"/>
            <w:tcMar>
              <w:top w:w="90" w:type="dxa"/>
              <w:start w:w="110" w:type="dxa"/>
              <w:bottom w:w="90" w:type="dxa"/>
              <w:end w:w="110" w:type="dxa"/>
            </w:tcMar>
            <w:vAlign w:val="center"/>
          </w:tcPr>
          <w:p>
            <w:pPr>
              <w:jc w:val="center"/>
            </w:pPr>
            <w:r>
              <w:rPr>
                <w:rFonts w:ascii="DejaVu Serif" w:hAnsi="DejaVu Serif" w:eastAsia="DejaVu Serif"/>
                <w:b w:val="0"/>
                <w:i w:val="0"/>
                <w:sz w:val="15"/>
              </w:rPr>
              <w:t>Domain selection</w:t>
            </w:r>
          </w:p>
        </w:tc>
        <w:tc>
          <w:tcPr>
            <w:tcW w:type="dxa" w:w="2438"/>
            <w:tcMar>
              <w:top w:w="90" w:type="dxa"/>
              <w:start w:w="110" w:type="dxa"/>
              <w:bottom w:w="90" w:type="dxa"/>
              <w:end w:w="110" w:type="dxa"/>
            </w:tcMar>
            <w:vAlign w:val="center"/>
          </w:tcPr>
          <w:p>
            <w:pPr>
              <w:jc w:val="left"/>
            </w:pPr>
            <w:r>
              <w:rPr>
                <w:rFonts w:ascii="DejaVu Serif" w:hAnsi="DejaVu Serif" w:eastAsia="DejaVu Serif"/>
                <w:b w:val="0"/>
                <w:i w:val="0"/>
                <w:sz w:val="15"/>
              </w:rPr>
              <w:t>proved</w:t>
            </w:r>
          </w:p>
        </w:tc>
        <w:tc>
          <w:tcPr>
            <w:tcW w:type="dxa" w:w="2551"/>
            <w:tcMar>
              <w:top w:w="90" w:type="dxa"/>
              <w:start w:w="110" w:type="dxa"/>
              <w:bottom w:w="90" w:type="dxa"/>
              <w:end w:w="110" w:type="dxa"/>
            </w:tcMar>
            <w:vAlign w:val="center"/>
          </w:tcPr>
          <w:p>
            <w:pPr>
              <w:jc w:val="left"/>
            </w:pPr>
            <w:r>
              <w:rPr>
                <w:rFonts w:ascii="DejaVu Serif" w:hAnsi="DejaVu Serif" w:eastAsia="DejaVu Serif"/>
                <w:b w:val="0"/>
                <w:i w:val="0"/>
                <w:sz w:val="15"/>
              </w:rPr>
              <w:t>validity under I0</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5"/>
              </w:rPr>
              <w:t>frozen S</w:t>
            </w:r>
          </w:p>
        </w:tc>
      </w:tr>
      <w:tr>
        <w:tc>
          <w:tcPr>
            <w:tcW w:type="dxa" w:w="2098"/>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Power</w:t>
            </w:r>
          </w:p>
        </w:tc>
        <w:tc>
          <w:tcPr>
            <w:tcW w:type="dxa" w:w="2438"/>
            <w:tcMar>
              <w:top w:w="90" w:type="dxa"/>
              <w:start w:w="110" w:type="dxa"/>
              <w:bottom w:w="90" w:type="dxa"/>
              <w:end w:w="110" w:type="dxa"/>
            </w:tcMar>
            <w:vAlign w:val="center"/>
            <w:shd w:fill="F4F7FA"/>
          </w:tcPr>
          <w:p>
            <w:pPr>
              <w:jc w:val="left"/>
            </w:pPr>
            <w:r>
              <w:rPr>
                <w:rFonts w:ascii="DejaVu Serif" w:hAnsi="DejaVu Serif" w:eastAsia="DejaVu Serif"/>
                <w:b w:val="0"/>
                <w:i w:val="0"/>
                <w:sz w:val="15"/>
              </w:rPr>
              <w:t>conservative plan</w:t>
            </w:r>
          </w:p>
        </w:tc>
        <w:tc>
          <w:tcPr>
            <w:tcW w:type="dxa" w:w="2551"/>
            <w:tcMar>
              <w:top w:w="90" w:type="dxa"/>
              <w:start w:w="110" w:type="dxa"/>
              <w:bottom w:w="90" w:type="dxa"/>
              <w:end w:w="110" w:type="dxa"/>
            </w:tcMar>
            <w:vAlign w:val="center"/>
            <w:shd w:fill="F4F7FA"/>
          </w:tcPr>
          <w:p>
            <w:pPr>
              <w:jc w:val="left"/>
            </w:pPr>
            <w:r>
              <w:rPr>
                <w:rFonts w:ascii="DejaVu Serif" w:hAnsi="DejaVu Serif" w:eastAsia="DejaVu Serif"/>
                <w:b w:val="0"/>
                <w:i w:val="0"/>
                <w:sz w:val="15"/>
              </w:rPr>
              <w:t>Hoeffding bound</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5"/>
              </w:rPr>
              <w:t>Delta_min, clusters</w:t>
            </w:r>
          </w:p>
        </w:tc>
      </w:tr>
      <w:tr>
        <w:tc>
          <w:tcPr>
            <w:tcW w:type="dxa" w:w="2098"/>
            <w:tcMar>
              <w:top w:w="90" w:type="dxa"/>
              <w:start w:w="110" w:type="dxa"/>
              <w:bottom w:w="90" w:type="dxa"/>
              <w:end w:w="110" w:type="dxa"/>
            </w:tcMar>
            <w:vAlign w:val="center"/>
          </w:tcPr>
          <w:p>
            <w:pPr>
              <w:jc w:val="center"/>
            </w:pPr>
            <w:r>
              <w:rPr>
                <w:rFonts w:ascii="DejaVu Serif" w:hAnsi="DejaVu Serif" w:eastAsia="DejaVu Serif"/>
                <w:b w:val="0"/>
                <w:i w:val="0"/>
                <w:sz w:val="15"/>
              </w:rPr>
              <w:t>Group calibration</w:t>
            </w:r>
          </w:p>
        </w:tc>
        <w:tc>
          <w:tcPr>
            <w:tcW w:type="dxa" w:w="2438"/>
            <w:tcMar>
              <w:top w:w="90" w:type="dxa"/>
              <w:start w:w="110" w:type="dxa"/>
              <w:bottom w:w="90" w:type="dxa"/>
              <w:end w:w="110" w:type="dxa"/>
            </w:tcMar>
            <w:vAlign w:val="center"/>
          </w:tcPr>
          <w:p>
            <w:pPr>
              <w:jc w:val="left"/>
            </w:pPr>
            <w:r>
              <w:rPr>
                <w:rFonts w:ascii="DejaVu Serif" w:hAnsi="DejaVu Serif" w:eastAsia="DejaVu Serif"/>
                <w:b w:val="0"/>
                <w:i w:val="0"/>
                <w:sz w:val="15"/>
              </w:rPr>
              <w:t>proved</w:t>
            </w:r>
          </w:p>
        </w:tc>
        <w:tc>
          <w:tcPr>
            <w:tcW w:type="dxa" w:w="2551"/>
            <w:tcMar>
              <w:top w:w="90" w:type="dxa"/>
              <w:start w:w="110" w:type="dxa"/>
              <w:bottom w:w="90" w:type="dxa"/>
              <w:end w:w="110" w:type="dxa"/>
            </w:tcMar>
            <w:vAlign w:val="center"/>
          </w:tcPr>
          <w:p>
            <w:pPr>
              <w:jc w:val="left"/>
            </w:pPr>
            <w:r>
              <w:rPr>
                <w:rFonts w:ascii="DejaVu Serif" w:hAnsi="DejaVu Serif" w:eastAsia="DejaVu Serif"/>
                <w:b w:val="0"/>
                <w:i w:val="0"/>
                <w:sz w:val="15"/>
              </w:rPr>
              <w:t>group-level rank</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5"/>
              </w:rPr>
              <w:t>exchangeable groups</w:t>
            </w:r>
          </w:p>
        </w:tc>
      </w:tr>
      <w:tr>
        <w:tc>
          <w:tcPr>
            <w:tcW w:type="dxa" w:w="2098"/>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Causal bridge</w:t>
            </w:r>
          </w:p>
        </w:tc>
        <w:tc>
          <w:tcPr>
            <w:tcW w:type="dxa" w:w="2438"/>
            <w:tcMar>
              <w:top w:w="90" w:type="dxa"/>
              <w:start w:w="110" w:type="dxa"/>
              <w:bottom w:w="90" w:type="dxa"/>
              <w:end w:w="110" w:type="dxa"/>
            </w:tcMar>
            <w:vAlign w:val="center"/>
            <w:shd w:fill="F4F7FA"/>
          </w:tcPr>
          <w:p>
            <w:pPr>
              <w:jc w:val="left"/>
            </w:pPr>
            <w:r>
              <w:rPr>
                <w:rFonts w:ascii="DejaVu Serif" w:hAnsi="DejaVu Serif" w:eastAsia="DejaVu Serif"/>
                <w:b w:val="0"/>
                <w:i w:val="0"/>
                <w:sz w:val="15"/>
              </w:rPr>
              <w:t>conditional</w:t>
            </w:r>
          </w:p>
        </w:tc>
        <w:tc>
          <w:tcPr>
            <w:tcW w:type="dxa" w:w="2551"/>
            <w:tcMar>
              <w:top w:w="90" w:type="dxa"/>
              <w:start w:w="110" w:type="dxa"/>
              <w:bottom w:w="90" w:type="dxa"/>
              <w:end w:w="110" w:type="dxa"/>
            </w:tcMar>
            <w:vAlign w:val="center"/>
            <w:shd w:fill="F4F7FA"/>
          </w:tcPr>
          <w:p>
            <w:pPr>
              <w:jc w:val="left"/>
            </w:pPr>
            <w:r>
              <w:rPr>
                <w:rFonts w:ascii="DejaVu Serif" w:hAnsi="DejaVu Serif" w:eastAsia="DejaVu Serif"/>
                <w:b w:val="0"/>
                <w:i w:val="0"/>
                <w:sz w:val="15"/>
              </w:rPr>
              <w:t>g-formula assumptions</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5"/>
              </w:rPr>
              <w:t>graph and L</w:t>
            </w:r>
          </w:p>
        </w:tc>
      </w:tr>
      <w:tr>
        <w:tc>
          <w:tcPr>
            <w:tcW w:type="dxa" w:w="2098"/>
            <w:tcMar>
              <w:top w:w="90" w:type="dxa"/>
              <w:start w:w="110" w:type="dxa"/>
              <w:bottom w:w="90" w:type="dxa"/>
              <w:end w:w="110" w:type="dxa"/>
            </w:tcMar>
            <w:vAlign w:val="center"/>
          </w:tcPr>
          <w:p>
            <w:pPr>
              <w:jc w:val="center"/>
            </w:pPr>
            <w:r>
              <w:rPr>
                <w:rFonts w:ascii="DejaVu Serif" w:hAnsi="DejaVu Serif" w:eastAsia="DejaVu Serif"/>
                <w:b w:val="0"/>
                <w:i w:val="0"/>
                <w:sz w:val="15"/>
              </w:rPr>
              <w:t>EXT-RUN-000</w:t>
            </w:r>
          </w:p>
        </w:tc>
        <w:tc>
          <w:tcPr>
            <w:tcW w:type="dxa" w:w="2438"/>
            <w:tcMar>
              <w:top w:w="90" w:type="dxa"/>
              <w:start w:w="110" w:type="dxa"/>
              <w:bottom w:w="90" w:type="dxa"/>
              <w:end w:w="110" w:type="dxa"/>
            </w:tcMar>
            <w:vAlign w:val="center"/>
          </w:tcPr>
          <w:p>
            <w:pPr>
              <w:jc w:val="left"/>
            </w:pPr>
            <w:r>
              <w:rPr>
                <w:rFonts w:ascii="DejaVu Serif" w:hAnsi="DejaVu Serif" w:eastAsia="DejaVu Serif"/>
                <w:b w:val="0"/>
                <w:i w:val="0"/>
                <w:sz w:val="15"/>
              </w:rPr>
              <w:t>protocol-ready-not-executed</w:t>
            </w:r>
          </w:p>
        </w:tc>
        <w:tc>
          <w:tcPr>
            <w:tcW w:type="dxa" w:w="2551"/>
            <w:tcMar>
              <w:top w:w="90" w:type="dxa"/>
              <w:start w:w="110" w:type="dxa"/>
              <w:bottom w:w="90" w:type="dxa"/>
              <w:end w:w="110" w:type="dxa"/>
            </w:tcMar>
            <w:vAlign w:val="center"/>
          </w:tcPr>
          <w:p>
            <w:pPr>
              <w:jc w:val="left"/>
            </w:pPr>
            <w:r>
              <w:rPr>
                <w:rFonts w:ascii="DejaVu Serif" w:hAnsi="DejaVu Serif" w:eastAsia="DejaVu Serif"/>
                <w:b w:val="0"/>
                <w:i w:val="0"/>
                <w:sz w:val="15"/>
              </w:rPr>
              <w:t>complete card</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5"/>
              </w:rPr>
              <w:t>independent corpus</w:t>
            </w:r>
          </w:p>
        </w:tc>
      </w:tr>
      <w:tr>
        <w:tc>
          <w:tcPr>
            <w:tcW w:type="dxa" w:w="2098"/>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Artifact-1</w:t>
            </w:r>
          </w:p>
        </w:tc>
        <w:tc>
          <w:tcPr>
            <w:tcW w:type="dxa" w:w="2438"/>
            <w:tcMar>
              <w:top w:w="90" w:type="dxa"/>
              <w:start w:w="110" w:type="dxa"/>
              <w:bottom w:w="90" w:type="dxa"/>
              <w:end w:w="110" w:type="dxa"/>
            </w:tcMar>
            <w:vAlign w:val="center"/>
            <w:shd w:fill="F4F7FA"/>
          </w:tcPr>
          <w:p>
            <w:pPr>
              <w:jc w:val="left"/>
            </w:pPr>
            <w:r>
              <w:rPr>
                <w:rFonts w:ascii="DejaVu Serif" w:hAnsi="DejaVu Serif" w:eastAsia="DejaVu Serif"/>
                <w:b w:val="0"/>
                <w:i w:val="0"/>
                <w:sz w:val="15"/>
              </w:rPr>
              <w:t>frozen</w:t>
            </w:r>
          </w:p>
        </w:tc>
        <w:tc>
          <w:tcPr>
            <w:tcW w:type="dxa" w:w="2551"/>
            <w:tcMar>
              <w:top w:w="90" w:type="dxa"/>
              <w:start w:w="110" w:type="dxa"/>
              <w:bottom w:w="90" w:type="dxa"/>
              <w:end w:w="110" w:type="dxa"/>
            </w:tcMar>
            <w:vAlign w:val="center"/>
            <w:shd w:fill="F4F7FA"/>
          </w:tcPr>
          <w:p>
            <w:pPr>
              <w:jc w:val="left"/>
            </w:pPr>
            <w:r>
              <w:rPr>
                <w:rFonts w:ascii="DejaVu Serif" w:hAnsi="DejaVu Serif" w:eastAsia="DejaVu Serif"/>
                <w:b w:val="0"/>
                <w:i w:val="0"/>
                <w:sz w:val="15"/>
              </w:rPr>
              <w:t>signature-ready-not-truth-layer</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5"/>
              </w:rPr>
              <w:t>publication-gate review</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A completed protocol is readiness to meet a result that need not agree with the theory. The possibility of an honest FAIL is what gives a future PASS content.</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EXT-VALID-CERT-v196i9. </w:t>
            </w:r>
            <w:r>
              <w:rPr>
                <w:rFonts w:ascii="DejaVu Serif" w:hAnsi="DejaVu Serif" w:eastAsia="DejaVu Serif"/>
                <w:b w:val="0"/>
                <w:i w:val="0"/>
                <w:sz w:val="18"/>
              </w:rPr>
              <w:t>selection=pre-outcome; power=alpha-beta-delta_min-frozen; clusters=group-level; prediction-not-causation; causal-bridge=conditional; EXT-RUN-000=protocol-ready-not-executed; negative-results=publish; Artifact-1=frozen; CGI&lt;1=necessary-not-sufficient; KMA=metadata-only; truth_layer_promotion=0; next=obtain-independent-corpus-and-freeze-source-hash.</w:t>
            </w:r>
          </w:p>
        </w:tc>
      </w:tr>
    </w:tbl>
    <w:p>
      <w:pPr>
        <w:spacing w:after="40"/>
      </w:pPr>
    </w:p>
    <w:p>
      <w:pPr>
        <w:pStyle w:val="Heading2"/>
        <w:keepNext/>
      </w:pPr>
      <w:r>
        <w:t>46.9. Completion Boundary</w:t>
      </w:r>
    </w:p>
    <w:p>
      <w:pPr>
        <w:spacing w:after="80" w:line="269" w:lineRule="auto"/>
        <w:jc w:val="both"/>
      </w:pPr>
      <w:r>
        <w:rPr>
          <w:rFonts w:ascii="DejaVu Serif" w:hAnsi="DejaVu Serif" w:eastAsia="DejaVu Serif"/>
          <w:b w:val="0"/>
          <w:i w:val="0"/>
        </w:rPr>
        <w:t>The validation layer distinguishes selection before and after outcomes, fixed and sequential horizons, rows and independent groups, prediction and intervention, negative results and protocol violations. The next scientific input is a genuinely independent corpus. Until it exists, the external certificate remains prepared but unexecuted.</w:t>
      </w:r>
    </w:p>
    <w:p>
      <w:r>
        <w:br w:type="page"/>
      </w:r>
    </w:p>
    <w:p>
      <w:pPr>
        <w:pStyle w:val="Heading1"/>
        <w:keepNext/>
      </w:pPr>
      <w:r>
        <w:t>T1-EN-CLOSURE-v0.8</w:t>
      </w:r>
    </w:p>
    <w:p>
      <w:pPr>
        <w:jc w:val="center"/>
      </w:pPr>
      <w:r>
        <w:rPr>
          <w:rFonts w:ascii="DejaVu Sans" w:hAnsi="DejaVu Sans" w:eastAsia="DejaVu Sans"/>
          <w:b/>
          <w:i w:val="0"/>
          <w:color w:val="9C6B1B"/>
          <w:sz w:val="24"/>
        </w:rPr>
        <w:t>CONTROLLED ENGLISH TRANSLATION OF CHAPTERS 47-52</w:t>
      </w:r>
    </w:p>
    <w:p>
      <w:pPr>
        <w:spacing w:after="80" w:line="269" w:lineRule="auto"/>
        <w:jc w:val="both"/>
      </w:pPr>
      <w:r>
        <w:rPr>
          <w:rFonts w:ascii="DejaVu Serif" w:hAnsi="DejaVu Serif" w:eastAsia="DejaVu Serif"/>
          <w:b w:val="0"/>
          <w:i w:val="0"/>
        </w:rPr>
        <w:t>This checkpoint closes the chapter layer of the frozen Russian Volume I. It translates the mathematical deepening from the typed evidence object to the main conditional forecast theorem and the internal Delta-Theta obstruction complex. Appendices A-G remain the subject of v0.9.</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Derivative contract. </w:t>
            </w:r>
            <w:r>
              <w:rPr>
                <w:rFonts w:ascii="DejaVu Serif" w:hAnsi="DejaVu Serif" w:eastAsia="DejaVu Serif"/>
                <w:b w:val="0"/>
                <w:i w:val="0"/>
                <w:sz w:val="18"/>
              </w:rPr>
              <w:t>Authority(T1-RU v197) &gt; Authority(T1-EN). Formula IDs, theorem status, domain restrictions, counterexamples, and negative results are preserved. Formula IDs F055-F073 belong to Appendix C and remain reserved until T1-EN-APP-v0.9.</w:t>
            </w:r>
          </w:p>
        </w:tc>
      </w:tr>
    </w:tbl>
    <w:p>
      <w:pPr>
        <w:spacing w:after="40"/>
      </w:pPr>
    </w:p>
    <w:p>
      <w:pPr>
        <w:pStyle w:val="Heading2"/>
        <w:keepNext/>
      </w:pPr>
      <w:r>
        <w:t>Controlled Change Set</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1757"/>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ID</w:t>
            </w:r>
          </w:p>
        </w:tc>
        <w:tc>
          <w:tcPr>
            <w:tcW w:type="dxa" w:w="6180"/>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Change</w:t>
            </w:r>
          </w:p>
        </w:tc>
        <w:tc>
          <w:tcPr>
            <w:tcW w:type="dxa" w:w="181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Status</w:t>
            </w:r>
          </w:p>
        </w:tc>
      </w:tr>
      <w:tr>
        <w:tc>
          <w:tcPr>
            <w:tcW w:type="dxa" w:w="1757"/>
            <w:tcMar>
              <w:top w:w="90" w:type="dxa"/>
              <w:start w:w="110" w:type="dxa"/>
              <w:bottom w:w="90" w:type="dxa"/>
              <w:end w:w="110" w:type="dxa"/>
            </w:tcMar>
            <w:vAlign w:val="center"/>
          </w:tcPr>
          <w:p>
            <w:pPr>
              <w:jc w:val="center"/>
            </w:pPr>
            <w:r>
              <w:rPr>
                <w:rFonts w:ascii="DejaVu Serif" w:hAnsi="DejaVu Serif" w:eastAsia="DejaVu Serif"/>
                <w:b w:val="0"/>
                <w:i w:val="0"/>
                <w:sz w:val="16"/>
              </w:rPr>
              <w:t>T1-EN-CS-056</w:t>
            </w:r>
          </w:p>
        </w:tc>
        <w:tc>
          <w:tcPr>
            <w:tcW w:type="dxa" w:w="6180"/>
            <w:tcMar>
              <w:top w:w="90" w:type="dxa"/>
              <w:start w:w="110" w:type="dxa"/>
              <w:bottom w:w="90" w:type="dxa"/>
              <w:end w:w="110" w:type="dxa"/>
            </w:tcMar>
            <w:vAlign w:val="center"/>
          </w:tcPr>
          <w:p>
            <w:pPr>
              <w:jc w:val="left"/>
            </w:pPr>
            <w:r>
              <w:rPr>
                <w:rFonts w:ascii="DejaVu Serif" w:hAnsi="DejaVu Serif" w:eastAsia="DejaVu Serif"/>
                <w:b w:val="0"/>
                <w:i w:val="0"/>
                <w:sz w:val="16"/>
              </w:rPr>
              <w:t>Translated typed Obs, Evidence, Reper, PackCert, and blocker-safe composition.</w:t>
            </w:r>
          </w:p>
        </w:tc>
        <w:tc>
          <w:tcPr>
            <w:tcW w:type="dxa" w:w="1814"/>
            <w:tcMar>
              <w:top w:w="90" w:type="dxa"/>
              <w:start w:w="110" w:type="dxa"/>
              <w:bottom w:w="90" w:type="dxa"/>
              <w:end w:w="110" w:type="dxa"/>
            </w:tcMar>
            <w:vAlign w:val="center"/>
          </w:tcPr>
          <w:p>
            <w:pPr>
              <w:jc w:val="left"/>
            </w:pPr>
            <w:r>
              <w:rPr>
                <w:rFonts w:ascii="DejaVu Serif" w:hAnsi="DejaVu Serif" w:eastAsia="DejaVu Serif"/>
                <w:b w:val="0"/>
                <w:i w:val="0"/>
                <w:sz w:val="16"/>
              </w:rPr>
              <w:t>THM-PARITY</w:t>
            </w:r>
          </w:p>
        </w:tc>
      </w:tr>
      <w:tr>
        <w:tc>
          <w:tcPr>
            <w:tcW w:type="dxa" w:w="1757"/>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T1-EN-CS-057</w:t>
            </w:r>
          </w:p>
        </w:tc>
        <w:tc>
          <w:tcPr>
            <w:tcW w:type="dxa" w:w="6180"/>
            <w:tcMar>
              <w:top w:w="90" w:type="dxa"/>
              <w:start w:w="110" w:type="dxa"/>
              <w:bottom w:w="90" w:type="dxa"/>
              <w:end w:w="110" w:type="dxa"/>
            </w:tcMar>
            <w:vAlign w:val="center"/>
            <w:shd w:fill="F4F7FA"/>
          </w:tcPr>
          <w:p>
            <w:pPr>
              <w:jc w:val="left"/>
            </w:pPr>
            <w:r>
              <w:rPr>
                <w:rFonts w:ascii="DejaVu Serif" w:hAnsi="DejaVu Serif" w:eastAsia="DejaVu Serif"/>
                <w:b w:val="0"/>
                <w:i w:val="0"/>
                <w:sz w:val="16"/>
              </w:rPr>
              <w:t>Translated PGL2-invariant cross-ratio, harmonic conjugate, set-valued forecast, and stability.</w:t>
            </w:r>
          </w:p>
        </w:tc>
        <w:tc>
          <w:tcPr>
            <w:tcW w:type="dxa" w:w="1814"/>
            <w:tcMar>
              <w:top w:w="90" w:type="dxa"/>
              <w:start w:w="110" w:type="dxa"/>
              <w:bottom w:w="90" w:type="dxa"/>
              <w:end w:w="110" w:type="dxa"/>
            </w:tcMar>
            <w:vAlign w:val="center"/>
            <w:shd w:fill="F4F7FA"/>
          </w:tcPr>
          <w:p>
            <w:pPr>
              <w:jc w:val="left"/>
            </w:pPr>
            <w:r>
              <w:rPr>
                <w:rFonts w:ascii="DejaVu Serif" w:hAnsi="DejaVu Serif" w:eastAsia="DejaVu Serif"/>
                <w:b w:val="0"/>
                <w:i w:val="0"/>
                <w:sz w:val="16"/>
              </w:rPr>
              <w:t>THM-PARITY</w:t>
            </w:r>
          </w:p>
        </w:tc>
      </w:tr>
      <w:tr>
        <w:tc>
          <w:tcPr>
            <w:tcW w:type="dxa" w:w="1757"/>
            <w:tcMar>
              <w:top w:w="90" w:type="dxa"/>
              <w:start w:w="110" w:type="dxa"/>
              <w:bottom w:w="90" w:type="dxa"/>
              <w:end w:w="110" w:type="dxa"/>
            </w:tcMar>
            <w:vAlign w:val="center"/>
          </w:tcPr>
          <w:p>
            <w:pPr>
              <w:jc w:val="center"/>
            </w:pPr>
            <w:r>
              <w:rPr>
                <w:rFonts w:ascii="DejaVu Serif" w:hAnsi="DejaVu Serif" w:eastAsia="DejaVu Serif"/>
                <w:b w:val="0"/>
                <w:i w:val="0"/>
                <w:sz w:val="16"/>
              </w:rPr>
              <w:t>T1-EN-CS-058</w:t>
            </w:r>
          </w:p>
        </w:tc>
        <w:tc>
          <w:tcPr>
            <w:tcW w:type="dxa" w:w="6180"/>
            <w:tcMar>
              <w:top w:w="90" w:type="dxa"/>
              <w:start w:w="110" w:type="dxa"/>
              <w:bottom w:w="90" w:type="dxa"/>
              <w:end w:w="110" w:type="dxa"/>
            </w:tcMar>
            <w:vAlign w:val="center"/>
          </w:tcPr>
          <w:p>
            <w:pPr>
              <w:jc w:val="left"/>
            </w:pPr>
            <w:r>
              <w:rPr>
                <w:rFonts w:ascii="DejaVu Serif" w:hAnsi="DejaVu Serif" w:eastAsia="DejaVu Serif"/>
                <w:b w:val="0"/>
                <w:i w:val="0"/>
                <w:sz w:val="16"/>
              </w:rPr>
              <w:t>Translated five-limit lattice, time-information gate, and conditional PN.2 minimax bound.</w:t>
            </w:r>
          </w:p>
        </w:tc>
        <w:tc>
          <w:tcPr>
            <w:tcW w:type="dxa" w:w="1814"/>
            <w:tcMar>
              <w:top w:w="90" w:type="dxa"/>
              <w:start w:w="110" w:type="dxa"/>
              <w:bottom w:w="90" w:type="dxa"/>
              <w:end w:w="110" w:type="dxa"/>
            </w:tcMar>
            <w:vAlign w:val="center"/>
          </w:tcPr>
          <w:p>
            <w:pPr>
              <w:jc w:val="left"/>
            </w:pPr>
            <w:r>
              <w:rPr>
                <w:rFonts w:ascii="DejaVu Serif" w:hAnsi="DejaVu Serif" w:eastAsia="DejaVu Serif"/>
                <w:b w:val="0"/>
                <w:i w:val="0"/>
                <w:sz w:val="16"/>
              </w:rPr>
              <w:t>THM/COND</w:t>
            </w:r>
          </w:p>
        </w:tc>
      </w:tr>
      <w:tr>
        <w:tc>
          <w:tcPr>
            <w:tcW w:type="dxa" w:w="1757"/>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T1-EN-CS-059</w:t>
            </w:r>
          </w:p>
        </w:tc>
        <w:tc>
          <w:tcPr>
            <w:tcW w:type="dxa" w:w="6180"/>
            <w:tcMar>
              <w:top w:w="90" w:type="dxa"/>
              <w:start w:w="110" w:type="dxa"/>
              <w:bottom w:w="90" w:type="dxa"/>
              <w:end w:w="110" w:type="dxa"/>
            </w:tcMar>
            <w:vAlign w:val="center"/>
            <w:shd w:fill="F4F7FA"/>
          </w:tcPr>
          <w:p>
            <w:pPr>
              <w:jc w:val="left"/>
            </w:pPr>
            <w:r>
              <w:rPr>
                <w:rFonts w:ascii="DejaVu Serif" w:hAnsi="DejaVu Serif" w:eastAsia="DejaVu Serif"/>
                <w:b w:val="0"/>
                <w:i w:val="0"/>
                <w:sz w:val="16"/>
              </w:rPr>
              <w:t>Translated extended mismatch metric and stable set-valued rebuilding.</w:t>
            </w:r>
          </w:p>
        </w:tc>
        <w:tc>
          <w:tcPr>
            <w:tcW w:type="dxa" w:w="1814"/>
            <w:tcMar>
              <w:top w:w="90" w:type="dxa"/>
              <w:start w:w="110" w:type="dxa"/>
              <w:bottom w:w="90" w:type="dxa"/>
              <w:end w:w="110" w:type="dxa"/>
            </w:tcMar>
            <w:vAlign w:val="center"/>
            <w:shd w:fill="F4F7FA"/>
          </w:tcPr>
          <w:p>
            <w:pPr>
              <w:jc w:val="left"/>
            </w:pPr>
            <w:r>
              <w:rPr>
                <w:rFonts w:ascii="DejaVu Serif" w:hAnsi="DejaVu Serif" w:eastAsia="DejaVu Serif"/>
                <w:b w:val="0"/>
                <w:i w:val="0"/>
                <w:sz w:val="16"/>
              </w:rPr>
              <w:t>THM/COND</w:t>
            </w:r>
          </w:p>
        </w:tc>
      </w:tr>
      <w:tr>
        <w:tc>
          <w:tcPr>
            <w:tcW w:type="dxa" w:w="1757"/>
            <w:tcMar>
              <w:top w:w="90" w:type="dxa"/>
              <w:start w:w="110" w:type="dxa"/>
              <w:bottom w:w="90" w:type="dxa"/>
              <w:end w:w="110" w:type="dxa"/>
            </w:tcMar>
            <w:vAlign w:val="center"/>
          </w:tcPr>
          <w:p>
            <w:pPr>
              <w:jc w:val="center"/>
            </w:pPr>
            <w:r>
              <w:rPr>
                <w:rFonts w:ascii="DejaVu Serif" w:hAnsi="DejaVu Serif" w:eastAsia="DejaVu Serif"/>
                <w:b w:val="0"/>
                <w:i w:val="0"/>
                <w:sz w:val="16"/>
              </w:rPr>
              <w:t>T1-EN-CS-060</w:t>
            </w:r>
          </w:p>
        </w:tc>
        <w:tc>
          <w:tcPr>
            <w:tcW w:type="dxa" w:w="6180"/>
            <w:tcMar>
              <w:top w:w="90" w:type="dxa"/>
              <w:start w:w="110" w:type="dxa"/>
              <w:bottom w:w="90" w:type="dxa"/>
              <w:end w:w="110" w:type="dxa"/>
            </w:tcMar>
            <w:vAlign w:val="center"/>
          </w:tcPr>
          <w:p>
            <w:pPr>
              <w:jc w:val="left"/>
            </w:pPr>
            <w:r>
              <w:rPr>
                <w:rFonts w:ascii="DejaVu Serif" w:hAnsi="DejaVu Serif" w:eastAsia="DejaVu Serif"/>
                <w:b w:val="0"/>
                <w:i w:val="0"/>
                <w:sz w:val="16"/>
              </w:rPr>
              <w:t>Translated typed RBD graph, substochastic kernel, contraction, and interval envelope.</w:t>
            </w:r>
          </w:p>
        </w:tc>
        <w:tc>
          <w:tcPr>
            <w:tcW w:type="dxa" w:w="1814"/>
            <w:tcMar>
              <w:top w:w="90" w:type="dxa"/>
              <w:start w:w="110" w:type="dxa"/>
              <w:bottom w:w="90" w:type="dxa"/>
              <w:end w:w="110" w:type="dxa"/>
            </w:tcMar>
            <w:vAlign w:val="center"/>
          </w:tcPr>
          <w:p>
            <w:pPr>
              <w:jc w:val="left"/>
            </w:pPr>
            <w:r>
              <w:rPr>
                <w:rFonts w:ascii="DejaVu Serif" w:hAnsi="DejaVu Serif" w:eastAsia="DejaVu Serif"/>
                <w:b w:val="0"/>
                <w:i w:val="0"/>
                <w:sz w:val="16"/>
              </w:rPr>
              <w:t>THM-PARITY</w:t>
            </w:r>
          </w:p>
        </w:tc>
      </w:tr>
      <w:tr>
        <w:tc>
          <w:tcPr>
            <w:tcW w:type="dxa" w:w="1757"/>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T1-EN-CS-061</w:t>
            </w:r>
          </w:p>
        </w:tc>
        <w:tc>
          <w:tcPr>
            <w:tcW w:type="dxa" w:w="6180"/>
            <w:tcMar>
              <w:top w:w="90" w:type="dxa"/>
              <w:start w:w="110" w:type="dxa"/>
              <w:bottom w:w="90" w:type="dxa"/>
              <w:end w:w="110" w:type="dxa"/>
            </w:tcMar>
            <w:vAlign w:val="center"/>
            <w:shd w:fill="F4F7FA"/>
          </w:tcPr>
          <w:p>
            <w:pPr>
              <w:jc w:val="left"/>
            </w:pPr>
            <w:r>
              <w:rPr>
                <w:rFonts w:ascii="DejaVu Serif" w:hAnsi="DejaVu Serif" w:eastAsia="DejaVu Serif"/>
                <w:b w:val="0"/>
                <w:i w:val="0"/>
                <w:sz w:val="16"/>
              </w:rPr>
              <w:t>Translated the main conditional theorem with A1-A14, B1-B8, and no-promotion firewall.</w:t>
            </w:r>
          </w:p>
        </w:tc>
        <w:tc>
          <w:tcPr>
            <w:tcW w:type="dxa" w:w="1814"/>
            <w:tcMar>
              <w:top w:w="90" w:type="dxa"/>
              <w:start w:w="110" w:type="dxa"/>
              <w:bottom w:w="90" w:type="dxa"/>
              <w:end w:w="110" w:type="dxa"/>
            </w:tcMar>
            <w:vAlign w:val="center"/>
            <w:shd w:fill="F4F7FA"/>
          </w:tcPr>
          <w:p>
            <w:pPr>
              <w:jc w:val="left"/>
            </w:pPr>
            <w:r>
              <w:rPr>
                <w:rFonts w:ascii="DejaVu Serif" w:hAnsi="DejaVu Serif" w:eastAsia="DejaVu Serif"/>
                <w:b w:val="0"/>
                <w:i w:val="0"/>
                <w:sz w:val="16"/>
              </w:rPr>
              <w:t>COND-PARITY</w:t>
            </w:r>
          </w:p>
        </w:tc>
      </w:tr>
      <w:tr>
        <w:tc>
          <w:tcPr>
            <w:tcW w:type="dxa" w:w="1757"/>
            <w:tcMar>
              <w:top w:w="90" w:type="dxa"/>
              <w:start w:w="110" w:type="dxa"/>
              <w:bottom w:w="90" w:type="dxa"/>
              <w:end w:w="110" w:type="dxa"/>
            </w:tcMar>
            <w:vAlign w:val="center"/>
          </w:tcPr>
          <w:p>
            <w:pPr>
              <w:jc w:val="center"/>
            </w:pPr>
            <w:r>
              <w:rPr>
                <w:rFonts w:ascii="DejaVu Serif" w:hAnsi="DejaVu Serif" w:eastAsia="DejaVu Serif"/>
                <w:b w:val="0"/>
                <w:i w:val="0"/>
                <w:sz w:val="16"/>
              </w:rPr>
              <w:t>T1-EN-CS-062</w:t>
            </w:r>
          </w:p>
        </w:tc>
        <w:tc>
          <w:tcPr>
            <w:tcW w:type="dxa" w:w="6180"/>
            <w:tcMar>
              <w:top w:w="90" w:type="dxa"/>
              <w:start w:w="110" w:type="dxa"/>
              <w:bottom w:w="90" w:type="dxa"/>
              <w:end w:w="110" w:type="dxa"/>
            </w:tcMar>
            <w:vAlign w:val="center"/>
          </w:tcPr>
          <w:p>
            <w:pPr>
              <w:jc w:val="left"/>
            </w:pPr>
            <w:r>
              <w:rPr>
                <w:rFonts w:ascii="DejaVu Serif" w:hAnsi="DejaVu Serif" w:eastAsia="DejaVu Serif"/>
                <w:b w:val="0"/>
                <w:i w:val="0"/>
                <w:sz w:val="16"/>
              </w:rPr>
              <w:t>Translated the minimal obstruction complex and the conditional external E-bridge.</w:t>
            </w:r>
          </w:p>
        </w:tc>
        <w:tc>
          <w:tcPr>
            <w:tcW w:type="dxa" w:w="1814"/>
            <w:tcMar>
              <w:top w:w="90" w:type="dxa"/>
              <w:start w:w="110" w:type="dxa"/>
              <w:bottom w:w="90" w:type="dxa"/>
              <w:end w:w="110" w:type="dxa"/>
            </w:tcMar>
            <w:vAlign w:val="center"/>
          </w:tcPr>
          <w:p>
            <w:pPr>
              <w:jc w:val="left"/>
            </w:pPr>
            <w:r>
              <w:rPr>
                <w:rFonts w:ascii="DejaVu Serif" w:hAnsi="DejaVu Serif" w:eastAsia="DejaVu Serif"/>
                <w:b w:val="0"/>
                <w:i w:val="0"/>
                <w:sz w:val="16"/>
              </w:rPr>
              <w:t>THM/OPEN</w:t>
            </w:r>
          </w:p>
        </w:tc>
      </w:tr>
      <w:tr>
        <w:tc>
          <w:tcPr>
            <w:tcW w:type="dxa" w:w="1757"/>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T1-EN-CS-063</w:t>
            </w:r>
          </w:p>
        </w:tc>
        <w:tc>
          <w:tcPr>
            <w:tcW w:type="dxa" w:w="6180"/>
            <w:tcMar>
              <w:top w:w="90" w:type="dxa"/>
              <w:start w:w="110" w:type="dxa"/>
              <w:bottom w:w="90" w:type="dxa"/>
              <w:end w:w="110" w:type="dxa"/>
            </w:tcMar>
            <w:vAlign w:val="center"/>
            <w:shd w:fill="F4F7FA"/>
          </w:tcPr>
          <w:p>
            <w:pPr>
              <w:jc w:val="left"/>
            </w:pPr>
            <w:r>
              <w:rPr>
                <w:rFonts w:ascii="DejaVu Serif" w:hAnsi="DejaVu Serif" w:eastAsia="DejaVu Serif"/>
                <w:b w:val="0"/>
                <w:i w:val="0"/>
                <w:sz w:val="16"/>
              </w:rPr>
              <w:t>Added seven explanatory diagrams and cumulative closure registers.</w:t>
            </w:r>
          </w:p>
        </w:tc>
        <w:tc>
          <w:tcPr>
            <w:tcW w:type="dxa" w:w="1814"/>
            <w:tcMar>
              <w:top w:w="90" w:type="dxa"/>
              <w:start w:w="110" w:type="dxa"/>
              <w:bottom w:w="90" w:type="dxa"/>
              <w:end w:w="110" w:type="dxa"/>
            </w:tcMar>
            <w:vAlign w:val="center"/>
            <w:shd w:fill="F4F7FA"/>
          </w:tcPr>
          <w:p>
            <w:pPr>
              <w:jc w:val="left"/>
            </w:pPr>
            <w:r>
              <w:rPr>
                <w:rFonts w:ascii="DejaVu Serif" w:hAnsi="DejaVu Serif" w:eastAsia="DejaVu Serif"/>
                <w:b w:val="0"/>
                <w:i w:val="0"/>
                <w:sz w:val="16"/>
              </w:rPr>
              <w:t>DOC-QA</w:t>
            </w:r>
          </w:p>
        </w:tc>
      </w:tr>
    </w:tbl>
    <w:p>
      <w:pPr>
        <w:spacing w:after="40"/>
      </w:pPr>
    </w:p>
    <w:p>
      <w:pPr>
        <w:pStyle w:val="Heading1"/>
        <w:keepNext/>
      </w:pPr>
      <w:r>
        <w:t>Part XI. Typed Closure of the Predictive Method</w:t>
      </w:r>
    </w:p>
    <w:p>
      <w:pPr>
        <w:spacing w:after="80" w:line="269" w:lineRule="auto"/>
        <w:jc w:val="both"/>
      </w:pPr>
      <w:r>
        <w:rPr>
          <w:rFonts w:ascii="DejaVu Serif" w:hAnsi="DejaVu Serif" w:eastAsia="DejaVu Serif"/>
          <w:b w:val="0"/>
          <w:i w:val="0"/>
        </w:rPr>
        <w:t>The final six chapters convert the preceding logic, validation, and database layers into a single typed mathematical architecture. The endpoint is not an unconditional prediction oracle. It is a partial, set-valued, proof-carrying method that returns ABSTAIN or BLOCK whenever an obligatory bridge is missing.</w:t>
      </w:r>
    </w:p>
    <w:p>
      <w:pPr>
        <w:pStyle w:val="Heading1"/>
        <w:keepNext/>
      </w:pPr>
      <w:bookmarkStart w:id="1046" w:name="T1_CH_47"/>
      <w:r>
        <w:t>Chapter 47. Typed Space of Packets and Repers</w:t>
      </w:r>
      <w:bookmarkEnd w:id="1046"/>
    </w:p>
    <w:p>
      <w:pPr>
        <w:spacing w:after="80" w:line="269" w:lineRule="auto"/>
        <w:jc w:val="both"/>
      </w:pPr>
      <w:r>
        <w:rPr>
          <w:rFonts w:ascii="DejaVu Serif" w:hAnsi="DejaVu Serif" w:eastAsia="DejaVu Serif"/>
          <w:b w:val="0"/>
          <w:i w:val="0"/>
        </w:rPr>
        <w:t>Russian source locator: pp. 205-206</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What is the smallest object that may enter a certified forecast?</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An observation becomes evidence only after type, source, units, domain, provenance, hash, adapter, loss, null, and gate are attached.</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PackCert morphisms preserve type, provenance, domain admissibility, and status monotonicity.</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Internal NAPG products may be nonassociative; the traceable computational composition remains associative.</w:t>
            </w:r>
          </w:p>
        </w:tc>
      </w:tr>
    </w:tbl>
    <w:p>
      <w:pPr>
        <w:spacing w:after="40"/>
      </w:pPr>
    </w:p>
    <w:p>
      <w:pPr>
        <w:keepNext/>
        <w:jc w:val="center"/>
      </w:pPr>
      <w:r>
        <w:drawing>
          <wp:inline xmlns:a="http://schemas.openxmlformats.org/drawingml/2006/main" xmlns:pic="http://schemas.openxmlformats.org/drawingml/2006/picture">
            <wp:extent cx="5623560" cy="2510902"/>
            <wp:docPr id="50" name="Picture 50"/>
            <wp:cNvGraphicFramePr>
              <a:graphicFrameLocks noChangeAspect="1"/>
            </wp:cNvGraphicFramePr>
            <a:graphic>
              <a:graphicData uri="http://schemas.openxmlformats.org/drawingml/2006/picture">
                <pic:pic>
                  <pic:nvPicPr>
                    <pic:cNvPr id="0" name="fig47_packcert.png"/>
                    <pic:cNvPicPr/>
                  </pic:nvPicPr>
                  <pic:blipFill>
                    <a:blip r:embed="rId62"/>
                    <a:stretch>
                      <a:fillRect/>
                    </a:stretch>
                  </pic:blipFill>
                  <pic:spPr>
                    <a:xfrm>
                      <a:off x="0" y="0"/>
                      <a:ext cx="5623560" cy="2510902"/>
                    </a:xfrm>
                    <a:prstGeom prst="rect"/>
                  </pic:spPr>
                </pic:pic>
              </a:graphicData>
            </a:graphic>
          </wp:inline>
        </w:drawing>
      </w:r>
    </w:p>
    <w:p>
      <w:pPr>
        <w:pStyle w:val="Caption"/>
        <w:spacing w:before="40" w:after="160"/>
        <w:jc w:val="center"/>
      </w:pPr>
      <w:bookmarkStart w:id="1107" w:name="T1_FIG_049"/>
      <w:r>
        <w:t>Figure 47.1. Typed composition and the absorbing BLOCK state.</w:t>
      </w:r>
      <w:bookmarkEnd w:id="1107"/>
    </w:p>
    <w:p>
      <w:pPr>
        <w:pStyle w:val="Heading2"/>
        <w:keepNext/>
      </w:pPr>
      <w:r>
        <w:t>47.1. Event and Evidence Carriers</w:t>
      </w:r>
    </w:p>
    <w:p>
      <w:pPr>
        <w:spacing w:before="80" w:after="100"/>
        <w:jc w:val="center"/>
      </w:pPr>
      <w:r>
        <w:rPr>
          <w:rFonts w:ascii="DejaVu Serif" w:hAnsi="DejaVu Serif" w:eastAsia="DejaVu Serif"/>
          <w:b w:val="0"/>
          <w:i w:val="0"/>
          <w:sz w:val="21"/>
        </w:rPr>
        <w:t>F001  Obs := (event,state,time,source,unit,cluster,Dom,status)</w:t>
      </w:r>
      <w:r>
        <w:rPr>
          <w:rFonts w:ascii="DejaVu Serif" w:hAnsi="DejaVu Serif" w:eastAsia="DejaVu Serif"/>
          <w:b w:val="0"/>
          <w:i/>
          <w:color w:val="6B7280"/>
          <w:sz w:val="17"/>
        </w:rPr>
        <w:t xml:space="preserve">    [RU p. 205]</w:t>
      </w:r>
    </w:p>
    <w:p>
      <w:pPr>
        <w:spacing w:before="80" w:after="100"/>
        <w:jc w:val="center"/>
      </w:pPr>
      <w:r>
        <w:rPr>
          <w:rFonts w:ascii="DejaVu Serif" w:hAnsi="DejaVu Serif" w:eastAsia="DejaVu Serif"/>
          <w:b w:val="0"/>
          <w:i w:val="0"/>
          <w:sz w:val="21"/>
        </w:rPr>
        <w:t>F002  Evidence := Obs x {provenance,hash,adapter,loss,null,gate}</w:t>
      </w:r>
      <w:r>
        <w:rPr>
          <w:rFonts w:ascii="DejaVu Serif" w:hAnsi="DejaVu Serif" w:eastAsia="DejaVu Serif"/>
          <w:b w:val="0"/>
          <w:i/>
          <w:color w:val="6B7280"/>
          <w:sz w:val="17"/>
        </w:rPr>
        <w:t xml:space="preserve">    [RU p. 205]</w:t>
      </w:r>
    </w:p>
    <w:p>
      <w:pPr>
        <w:spacing w:before="80" w:after="100"/>
        <w:jc w:val="center"/>
      </w:pPr>
      <w:r>
        <w:rPr>
          <w:rFonts w:ascii="DejaVu Serif" w:hAnsi="DejaVu Serif" w:eastAsia="DejaVu Serif"/>
          <w:b w:val="0"/>
          <w:i w:val="0"/>
          <w:sz w:val="21"/>
        </w:rPr>
        <w:t>F003  D subset Obs; Dom(T) subset X; D != Dom(T)</w:t>
      </w:r>
      <w:r>
        <w:rPr>
          <w:rFonts w:ascii="DejaVu Serif" w:hAnsi="DejaVu Serif" w:eastAsia="DejaVu Serif"/>
          <w:b w:val="0"/>
          <w:i/>
          <w:color w:val="6B7280"/>
          <w:sz w:val="17"/>
        </w:rPr>
        <w:t xml:space="preserve">    [RU p. 205]</w:t>
      </w:r>
    </w:p>
    <w:p>
      <w:pPr>
        <w:spacing w:after="80" w:line="269" w:lineRule="auto"/>
        <w:jc w:val="both"/>
      </w:pPr>
      <w:r>
        <w:rPr>
          <w:rFonts w:ascii="DejaVu Serif" w:hAnsi="DejaVu Serif" w:eastAsia="DejaVu Serif"/>
          <w:b w:val="0"/>
          <w:i w:val="0"/>
        </w:rPr>
        <w:t>D denotes actually presented data and foundations; Dom denotes the mathematical domain of an operator. Lexical similarity never authorizes their identification.</w:t>
      </w:r>
    </w:p>
    <w:p>
      <w:pPr>
        <w:pStyle w:val="Heading2"/>
        <w:keepNext/>
      </w:pPr>
      <w:r>
        <w:t>47.2. Reper as a Typed Quadruple</w:t>
      </w:r>
    </w:p>
    <w:p>
      <w:pPr>
        <w:spacing w:before="80" w:after="100"/>
        <w:jc w:val="center"/>
      </w:pPr>
      <w:r>
        <w:rPr>
          <w:rFonts w:ascii="DejaVu Serif" w:hAnsi="DejaVu Serif" w:eastAsia="DejaVu Serif"/>
          <w:b w:val="0"/>
          <w:i w:val="0"/>
          <w:sz w:val="21"/>
        </w:rPr>
        <w:t>F004  Rep_i = (R_i,I_i,U_i;D_i)</w:t>
      </w:r>
      <w:r>
        <w:rPr>
          <w:rFonts w:ascii="DejaVu Serif" w:hAnsi="DejaVu Serif" w:eastAsia="DejaVu Serif"/>
          <w:b w:val="0"/>
          <w:i/>
          <w:color w:val="6B7280"/>
          <w:sz w:val="17"/>
        </w:rPr>
        <w:t xml:space="preserve">    [RU p. 205]</w:t>
      </w:r>
    </w:p>
    <w:p>
      <w:pPr>
        <w:spacing w:before="80" w:after="100"/>
        <w:jc w:val="center"/>
      </w:pPr>
      <w:r>
        <w:rPr>
          <w:rFonts w:ascii="DejaVu Serif" w:hAnsi="DejaVu Serif" w:eastAsia="DejaVu Serif"/>
          <w:b w:val="0"/>
          <w:i w:val="0"/>
          <w:sz w:val="21"/>
        </w:rPr>
        <w:t>F005  ValidRep(Rep) iff typed and distinct-denominators and provenance and Dom-gate</w:t>
      </w:r>
      <w:r>
        <w:rPr>
          <w:rFonts w:ascii="DejaVu Serif" w:hAnsi="DejaVu Serif" w:eastAsia="DejaVu Serif"/>
          <w:b w:val="0"/>
          <w:i/>
          <w:color w:val="6B7280"/>
          <w:sz w:val="17"/>
        </w:rPr>
        <w:t xml:space="preserve">    [RU p. 205]</w:t>
      </w:r>
    </w:p>
    <w:p>
      <w:pPr>
        <w:spacing w:after="80" w:line="269" w:lineRule="auto"/>
        <w:jc w:val="both"/>
      </w:pPr>
      <w:r>
        <w:rPr>
          <w:rFonts w:ascii="DejaVu Serif" w:hAnsi="DejaVu Serif" w:eastAsia="DejaVu Serif"/>
          <w:b w:val="0"/>
          <w:i w:val="0"/>
        </w:rPr>
        <w:t>If U=D0 or I=R in the chosen affine chart, the cross-ratio is not evaluated. The status is Block(denominator-zero), unless a declared projective chart explicitly represents the point at infinity.</w:t>
      </w:r>
    </w:p>
    <w:p>
      <w:pPr>
        <w:pStyle w:val="Heading2"/>
        <w:keepNext/>
      </w:pPr>
      <w:r>
        <w:t>47.3. Category PackCert</w:t>
      </w:r>
    </w:p>
    <w:p>
      <w:pPr>
        <w:spacing w:before="80" w:after="100"/>
        <w:jc w:val="center"/>
      </w:pPr>
      <w:r>
        <w:rPr>
          <w:rFonts w:ascii="DejaVu Serif" w:hAnsi="DejaVu Serif" w:eastAsia="DejaVu Serif"/>
          <w:b w:val="0"/>
          <w:i w:val="0"/>
          <w:sz w:val="21"/>
        </w:rPr>
        <w:t>F006  f:P-&gt;Q; type(Q)=f_t(type(P)); prov(Q) contains f_p(prov(P))</w:t>
      </w:r>
      <w:r>
        <w:rPr>
          <w:rFonts w:ascii="DejaVu Serif" w:hAnsi="DejaVu Serif" w:eastAsia="DejaVu Serif"/>
          <w:b w:val="0"/>
          <w:i/>
          <w:color w:val="6B7280"/>
          <w:sz w:val="17"/>
        </w:rPr>
        <w:t xml:space="preserve">    [RU p. 205]</w:t>
      </w:r>
    </w:p>
    <w:p>
      <w:pPr>
        <w:spacing w:before="80" w:after="100"/>
        <w:jc w:val="center"/>
      </w:pPr>
      <w:r>
        <w:rPr>
          <w:rFonts w:ascii="DejaVu Serif" w:hAnsi="DejaVu Serif" w:eastAsia="DejaVu Serif"/>
          <w:b w:val="0"/>
          <w:i w:val="0"/>
          <w:sz w:val="21"/>
        </w:rPr>
        <w:t>F007  status(P)=Block =&gt; status(f(P))=Block</w:t>
      </w:r>
      <w:r>
        <w:rPr>
          <w:rFonts w:ascii="DejaVu Serif" w:hAnsi="DejaVu Serif" w:eastAsia="DejaVu Serif"/>
          <w:b w:val="0"/>
          <w:i/>
          <w:color w:val="6B7280"/>
          <w:sz w:val="17"/>
        </w:rPr>
        <w:t xml:space="preserve">    [RU p. 205]</w:t>
      </w:r>
    </w:p>
    <w:p>
      <w:pPr>
        <w:spacing w:before="100" w:after="60"/>
      </w:pPr>
      <w:r>
        <w:rPr>
          <w:rFonts w:ascii="DejaVu Serif" w:hAnsi="DejaVu Serif" w:eastAsia="DejaVu Serif"/>
          <w:b/>
          <w:i w:val="0"/>
          <w:color w:val="173B63"/>
        </w:rPr>
        <w:t xml:space="preserve">Theorem 47.1 - Soundness of typed composition [THM]. </w:t>
      </w:r>
      <w:r>
        <w:rPr>
          <w:rFonts w:ascii="DejaVu Serif" w:hAnsi="DejaVu Serif" w:eastAsia="DejaVu Serif"/>
          <w:b w:val="0"/>
          <w:i w:val="0"/>
        </w:rPr>
        <w:t>If f:P-&gt;Q and g:Q-&gt;R are admissible PackCert morphisms, then g o f:P-&gt;R is admissible and cannot raise status without a new certificate.</w:t>
      </w:r>
    </w:p>
    <w:p>
      <w:pPr>
        <w:ind w:left="283" w:right="113"/>
        <w:jc w:val="both"/>
      </w:pPr>
      <w:r>
        <w:rPr>
          <w:rFonts w:ascii="DejaVu Serif" w:hAnsi="DejaVu Serif" w:eastAsia="DejaVu Serif"/>
          <w:b/>
          <w:i/>
        </w:rPr>
        <w:t xml:space="preserve">Proof. </w:t>
      </w:r>
      <w:r>
        <w:rPr>
          <w:rFonts w:ascii="DejaVu Serif" w:hAnsi="DejaVu Serif" w:eastAsia="DejaVu Serif"/>
          <w:b w:val="0"/>
          <w:i/>
        </w:rPr>
        <w:t>The output type of f matches the input type of g. Provenance is transported through both arrows. BLOCK absorption is transitive. Every nonblocked transition still presents its own gate certificate; therefore composition is closed and status-monotone.</w:t>
      </w:r>
    </w:p>
    <w:p>
      <w:pPr>
        <w:pStyle w:val="Heading2"/>
        <w:keepNext/>
      </w:pPr>
      <w:r>
        <w:t>47.4. Categorical Composition versus NAPG</w:t>
      </w:r>
    </w:p>
    <w:p>
      <w:pPr>
        <w:spacing w:before="80" w:after="100"/>
        <w:jc w:val="center"/>
      </w:pPr>
      <w:r>
        <w:rPr>
          <w:rFonts w:ascii="DejaVu Serif" w:hAnsi="DejaVu Serif" w:eastAsia="DejaVu Serif"/>
          <w:b w:val="0"/>
          <w:i w:val="0"/>
          <w:sz w:val="21"/>
        </w:rPr>
        <w:t>F008  A(R1,R2,R3) := (R1 star R2) star R3 - R1 star (R2 star R3)</w:t>
      </w:r>
      <w:r>
        <w:rPr>
          <w:rFonts w:ascii="DejaVu Serif" w:hAnsi="DejaVu Serif" w:eastAsia="DejaVu Serif"/>
          <w:b w:val="0"/>
          <w:i/>
          <w:color w:val="6B7280"/>
          <w:sz w:val="17"/>
        </w:rPr>
        <w:t xml:space="preserve">    [RU p. 206]</w:t>
      </w:r>
    </w:p>
    <w:p>
      <w:pPr>
        <w:spacing w:before="80" w:after="100"/>
        <w:jc w:val="center"/>
      </w:pPr>
      <w:r>
        <w:rPr>
          <w:rFonts w:ascii="DejaVu Serif" w:hAnsi="DejaVu Serif" w:eastAsia="DejaVu Serif"/>
          <w:b w:val="0"/>
          <w:i w:val="0"/>
          <w:sz w:val="21"/>
        </w:rPr>
        <w:t>F009  A != 0 =&gt; bracket in metadata and branch-id in certificate</w:t>
      </w:r>
      <w:r>
        <w:rPr>
          <w:rFonts w:ascii="DejaVu Serif" w:hAnsi="DejaVu Serif" w:eastAsia="DejaVu Serif"/>
          <w:b w:val="0"/>
          <w:i/>
          <w:color w:val="6B7280"/>
          <w:sz w:val="17"/>
        </w:rPr>
        <w:t xml:space="preserve">    [RU p. 206]</w:t>
      </w:r>
    </w:p>
    <w:p>
      <w:pPr>
        <w:spacing w:after="80" w:line="269" w:lineRule="auto"/>
        <w:jc w:val="both"/>
      </w:pPr>
      <w:r>
        <w:rPr>
          <w:rFonts w:ascii="DejaVu Serif" w:hAnsi="DejaVu Serif" w:eastAsia="DejaVu Serif"/>
          <w:b w:val="0"/>
          <w:i w:val="0"/>
        </w:rPr>
        <w:t>The internal products R star R, odot, and Hodge-star describe packet geometry and may be nonassociative. They do not replace categorical composition of traceable transformations. Bracketing is data.</w:t>
      </w:r>
    </w:p>
    <w:p>
      <w:pPr>
        <w:spacing w:before="100" w:after="60"/>
      </w:pPr>
      <w:r>
        <w:rPr>
          <w:rFonts w:ascii="DejaVu Serif" w:hAnsi="DejaVu Serif" w:eastAsia="DejaVu Serif"/>
          <w:b/>
          <w:i w:val="0"/>
          <w:color w:val="173B63"/>
        </w:rPr>
        <w:t xml:space="preserve">Theorem 47.2 - No false completion [THM]. </w:t>
      </w:r>
      <w:r>
        <w:rPr>
          <w:rFonts w:ascii="DejaVu Serif" w:hAnsi="DejaVu Serif" w:eastAsia="DejaVu Serif"/>
          <w:b w:val="0"/>
          <w:i w:val="0"/>
        </w:rPr>
        <w:t>For every finite PackCert chain whose arrows absorb BLOCK, the presence of BLOCK at any intermediate stage excludes a final PASS.</w:t>
      </w:r>
    </w:p>
    <w:p>
      <w:pPr>
        <w:ind w:left="283" w:right="113"/>
        <w:jc w:val="both"/>
      </w:pPr>
      <w:r>
        <w:rPr>
          <w:rFonts w:ascii="DejaVu Serif" w:hAnsi="DejaVu Serif" w:eastAsia="DejaVu Serif"/>
          <w:b/>
          <w:i/>
        </w:rPr>
        <w:t xml:space="preserve">Proof. </w:t>
      </w:r>
      <w:r>
        <w:rPr>
          <w:rFonts w:ascii="DejaVu Serif" w:hAnsi="DejaVu Serif" w:eastAsia="DejaVu Serif"/>
          <w:b w:val="0"/>
          <w:i/>
        </w:rPr>
        <w:t>Induct on chain length. The one-arrow case is the absorption rule. If the first k arrows end in BLOCK, the next arrow preserves BLOCK; hence PASS is impossible after any finite number of arrows.</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A type is not clerical decoration. It preserves distinctions without which an object ceases to be that object. BLOCK records the place where the world has not granted permission to continue.</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PACK-TYPE-CERT v196i14. </w:t>
            </w:r>
            <w:r>
              <w:rPr>
                <w:rFonts w:ascii="DejaVu Serif" w:hAnsi="DejaVu Serif" w:eastAsia="DejaVu Serif"/>
                <w:b w:val="0"/>
                <w:i w:val="0"/>
                <w:sz w:val="18"/>
              </w:rPr>
              <w:t>D-not-equal-Dom; Rep=(R,I,U,D0); category=PackCert; morphisms=typed-provenance-preserving; Block=absorbing; NAPG products remain separate; bracket=explicit; status-inflation=forbidden.</w:t>
            </w:r>
          </w:p>
        </w:tc>
      </w:tr>
    </w:tbl>
    <w:p>
      <w:pPr>
        <w:spacing w:after="40"/>
      </w:pPr>
    </w:p>
    <w:p>
      <w:pPr>
        <w:pStyle w:val="Heading1"/>
        <w:keepNext/>
      </w:pPr>
      <w:bookmarkStart w:id="1047" w:name="T1_CH_48"/>
      <w:r>
        <w:t>Chapter 48. Projective-Harmonic Forecast Operator</w:t>
      </w:r>
      <w:bookmarkEnd w:id="1047"/>
    </w:p>
    <w:p>
      <w:pPr>
        <w:spacing w:after="80" w:line="269" w:lineRule="auto"/>
        <w:jc w:val="both"/>
      </w:pPr>
      <w:r>
        <w:rPr>
          <w:rFonts w:ascii="DejaVu Serif" w:hAnsi="DejaVu Serif" w:eastAsia="DejaVu Serif"/>
          <w:b w:val="0"/>
          <w:i w:val="0"/>
        </w:rPr>
        <w:t>Russian source locator: pp. 207-208</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How can a forecast be formulated when absolute scale is unreliable but four-point relations are stable?</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The cross-ratio supplies a projective invariant; the harmonic value lambda=-1 is a strict internal consistency gate.</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The forecast is a union of registered admissible branches, with separate ABSTAIN and BLOCK outcomes.</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Projective invariance does not repair a wrong adapter, missing provenance, or an absent fourth point D0.</w:t>
            </w:r>
          </w:p>
        </w:tc>
      </w:tr>
    </w:tbl>
    <w:p>
      <w:pPr>
        <w:spacing w:after="40"/>
      </w:pPr>
    </w:p>
    <w:p>
      <w:pPr>
        <w:keepNext/>
        <w:jc w:val="center"/>
      </w:pPr>
      <w:r>
        <w:drawing>
          <wp:inline xmlns:a="http://schemas.openxmlformats.org/drawingml/2006/main" xmlns:pic="http://schemas.openxmlformats.org/drawingml/2006/picture">
            <wp:extent cx="5623560" cy="2510902"/>
            <wp:docPr id="51" name="Picture 51"/>
            <wp:cNvGraphicFramePr>
              <a:graphicFrameLocks noChangeAspect="1"/>
            </wp:cNvGraphicFramePr>
            <a:graphic>
              <a:graphicData uri="http://schemas.openxmlformats.org/drawingml/2006/picture">
                <pic:pic>
                  <pic:nvPicPr>
                    <pic:cNvPr id="0" name="fig48_projective.png"/>
                    <pic:cNvPicPr/>
                  </pic:nvPicPr>
                  <pic:blipFill>
                    <a:blip r:embed="rId63"/>
                    <a:stretch>
                      <a:fillRect/>
                    </a:stretch>
                  </pic:blipFill>
                  <pic:spPr>
                    <a:xfrm>
                      <a:off x="0" y="0"/>
                      <a:ext cx="5623560" cy="2510902"/>
                    </a:xfrm>
                    <a:prstGeom prst="rect"/>
                  </pic:spPr>
                </pic:pic>
              </a:graphicData>
            </a:graphic>
          </wp:inline>
        </w:drawing>
      </w:r>
    </w:p>
    <w:p>
      <w:pPr>
        <w:pStyle w:val="Caption"/>
        <w:spacing w:before="40" w:after="160"/>
        <w:jc w:val="center"/>
      </w:pPr>
      <w:bookmarkStart w:id="1108" w:name="T1_FIG_050"/>
      <w:r>
        <w:t>Figure 48.1. Projective invariant, harmonic gate, admissible branches, and conclusion states.</w:t>
      </w:r>
      <w:bookmarkEnd w:id="1108"/>
    </w:p>
    <w:p>
      <w:pPr>
        <w:pStyle w:val="Heading2"/>
        <w:keepNext/>
      </w:pPr>
      <w:r>
        <w:t>48.1. One-Dimensional Projective Model</w:t>
      </w:r>
    </w:p>
    <w:p>
      <w:pPr>
        <w:spacing w:before="80" w:after="100"/>
        <w:jc w:val="center"/>
      </w:pPr>
      <w:r>
        <w:rPr>
          <w:rFonts w:ascii="DejaVu Serif" w:hAnsi="DejaVu Serif" w:eastAsia="DejaVu Serif"/>
          <w:b w:val="0"/>
          <w:i w:val="0"/>
          <w:sz w:val="21"/>
        </w:rPr>
        <w:t>F010  lambda(R,I;U,D0)=((U-R)(I-D0))/((U-D0)(I-R))</w:t>
      </w:r>
      <w:r>
        <w:rPr>
          <w:rFonts w:ascii="DejaVu Serif" w:hAnsi="DejaVu Serif" w:eastAsia="DejaVu Serif"/>
          <w:b w:val="0"/>
          <w:i/>
          <w:color w:val="6B7280"/>
          <w:sz w:val="17"/>
        </w:rPr>
        <w:t xml:space="preserve">    [RU p. 207]</w:t>
      </w:r>
    </w:p>
    <w:p>
      <w:pPr>
        <w:spacing w:before="80" w:after="100"/>
        <w:jc w:val="center"/>
      </w:pPr>
      <w:r>
        <w:rPr>
          <w:rFonts w:ascii="DejaVu Serif" w:hAnsi="DejaVu Serif" w:eastAsia="DejaVu Serif"/>
          <w:b w:val="0"/>
          <w:i w:val="0"/>
          <w:sz w:val="21"/>
        </w:rPr>
        <w:t>F011  delta_truth(Rep)=|lambda(Rep)+1|</w:t>
      </w:r>
      <w:r>
        <w:rPr>
          <w:rFonts w:ascii="DejaVu Serif" w:hAnsi="DejaVu Serif" w:eastAsia="DejaVu Serif"/>
          <w:b w:val="0"/>
          <w:i/>
          <w:color w:val="6B7280"/>
          <w:sz w:val="17"/>
        </w:rPr>
        <w:t xml:space="preserve">    [RU p. 207]</w:t>
      </w:r>
    </w:p>
    <w:p>
      <w:pPr>
        <w:spacing w:before="80" w:after="100"/>
        <w:jc w:val="center"/>
      </w:pPr>
      <w:r>
        <w:rPr>
          <w:rFonts w:ascii="DejaVu Serif" w:hAnsi="DejaVu Serif" w:eastAsia="DejaVu Serif"/>
          <w:b w:val="0"/>
          <w:i w:val="0"/>
          <w:sz w:val="21"/>
        </w:rPr>
        <w:t>F012  lambda(R,I;U,D0)=([U,R][I,D0])/([U,D0][I,R])</w:t>
      </w:r>
      <w:r>
        <w:rPr>
          <w:rFonts w:ascii="DejaVu Serif" w:hAnsi="DejaVu Serif" w:eastAsia="DejaVu Serif"/>
          <w:b w:val="0"/>
          <w:i/>
          <w:color w:val="6B7280"/>
          <w:sz w:val="17"/>
        </w:rPr>
        <w:t xml:space="preserve">    [RU p. 207]</w:t>
      </w:r>
    </w:p>
    <w:p>
      <w:pPr>
        <w:pStyle w:val="Heading2"/>
        <w:keepNext/>
      </w:pPr>
      <w:r>
        <w:t>48.2. Projective Invariance</w:t>
      </w:r>
    </w:p>
    <w:p>
      <w:pPr>
        <w:spacing w:before="100" w:after="60"/>
      </w:pPr>
      <w:r>
        <w:rPr>
          <w:rFonts w:ascii="DejaVu Serif" w:hAnsi="DejaVu Serif" w:eastAsia="DejaVu Serif"/>
          <w:b/>
          <w:i w:val="0"/>
          <w:color w:val="173B63"/>
        </w:rPr>
        <w:t xml:space="preserve">Theorem 48.1 - PGL2(K) invariance [THM]. </w:t>
      </w:r>
      <w:r>
        <w:rPr>
          <w:rFonts w:ascii="DejaVu Serif" w:hAnsi="DejaVu Serif" w:eastAsia="DejaVu Serif"/>
          <w:b w:val="0"/>
          <w:i w:val="0"/>
        </w:rPr>
        <w:t>For every projective transformation g represented by a nonsingular matrix G, lambda(gR,gI;gU,gD0)=lambda(R,I;U,D0) whenever both sides are defined.</w:t>
      </w:r>
    </w:p>
    <w:p>
      <w:pPr>
        <w:ind w:left="283" w:right="113"/>
        <w:jc w:val="both"/>
      </w:pPr>
      <w:r>
        <w:rPr>
          <w:rFonts w:ascii="DejaVu Serif" w:hAnsi="DejaVu Serif" w:eastAsia="DejaVu Serif"/>
          <w:b/>
          <w:i/>
        </w:rPr>
        <w:t xml:space="preserve">Proof. </w:t>
      </w:r>
      <w:r>
        <w:rPr>
          <w:rFonts w:ascii="DejaVu Serif" w:hAnsi="DejaVu Serif" w:eastAsia="DejaVu Serif"/>
          <w:b w:val="0"/>
          <w:i/>
        </w:rPr>
        <w:t>For homogeneous vectors, [Gx,Gy]=det(G)[x,y]. Two determinant factors occur in both numerator and denominator and cancel. Rescaling any point representative also cancels pairwise.</w:t>
      </w:r>
    </w:p>
    <w:p>
      <w:pPr>
        <w:spacing w:before="80" w:after="100"/>
        <w:jc w:val="center"/>
      </w:pPr>
      <w:r>
        <w:rPr>
          <w:rFonts w:ascii="DejaVu Serif" w:hAnsi="DejaVu Serif" w:eastAsia="DejaVu Serif"/>
          <w:b w:val="0"/>
          <w:i w:val="0"/>
          <w:sz w:val="21"/>
        </w:rPr>
        <w:t>F013  lambda o g = lambda; g in PGL_2(K)</w:t>
      </w:r>
      <w:r>
        <w:rPr>
          <w:rFonts w:ascii="DejaVu Serif" w:hAnsi="DejaVu Serif" w:eastAsia="DejaVu Serif"/>
          <w:b w:val="0"/>
          <w:i/>
          <w:color w:val="6B7280"/>
          <w:sz w:val="17"/>
        </w:rPr>
        <w:t xml:space="preserve">    [RU p. 207]</w:t>
      </w:r>
    </w:p>
    <w:p>
      <w:pPr>
        <w:pStyle w:val="Heading2"/>
        <w:keepNext/>
      </w:pPr>
      <w:r>
        <w:t>48.3. Harmonic Conjugate</w:t>
      </w:r>
    </w:p>
    <w:p>
      <w:pPr>
        <w:spacing w:before="80" w:after="100"/>
        <w:jc w:val="center"/>
      </w:pPr>
      <w:r>
        <w:rPr>
          <w:rFonts w:ascii="DejaVu Serif" w:hAnsi="DejaVu Serif" w:eastAsia="DejaVu Serif"/>
          <w:b w:val="0"/>
          <w:i w:val="0"/>
          <w:sz w:val="21"/>
        </w:rPr>
        <w:t>F014  D_h = [U(I+R)-2RI]/[2U-R-I]</w:t>
      </w:r>
      <w:r>
        <w:rPr>
          <w:rFonts w:ascii="DejaVu Serif" w:hAnsi="DejaVu Serif" w:eastAsia="DejaVu Serif"/>
          <w:b w:val="0"/>
          <w:i/>
          <w:color w:val="6B7280"/>
          <w:sz w:val="17"/>
        </w:rPr>
        <w:t xml:space="preserve">    [RU p. 207]</w:t>
      </w:r>
    </w:p>
    <w:p>
      <w:pPr>
        <w:spacing w:after="80" w:line="269" w:lineRule="auto"/>
        <w:jc w:val="both"/>
      </w:pPr>
      <w:r>
        <w:rPr>
          <w:rFonts w:ascii="DejaVu Serif" w:hAnsi="DejaVu Serif" w:eastAsia="DejaVu Serif"/>
          <w:b w:val="0"/>
          <w:i w:val="0"/>
        </w:rPr>
        <w:t>The affine formula applies when 2U-R-I is nonzero. A zero denominator means that the harmonic conjugate is the point at infinity of the chosen chart; the correct action is to change charts, not to invent a finite value.</w:t>
      </w:r>
    </w:p>
    <w:p>
      <w:pPr>
        <w:spacing w:before="80" w:after="100"/>
        <w:jc w:val="center"/>
      </w:pPr>
      <w:r>
        <w:rPr>
          <w:rFonts w:ascii="DejaVu Serif" w:hAnsi="DejaVu Serif" w:eastAsia="DejaVu Serif"/>
          <w:b w:val="0"/>
          <w:i w:val="0"/>
          <w:sz w:val="21"/>
        </w:rPr>
        <w:t>F015  lambda(0,1;3,3/2)=-1</w:t>
      </w:r>
      <w:r>
        <w:rPr>
          <w:rFonts w:ascii="DejaVu Serif" w:hAnsi="DejaVu Serif" w:eastAsia="DejaVu Serif"/>
          <w:b w:val="0"/>
          <w:i/>
          <w:color w:val="6B7280"/>
          <w:sz w:val="17"/>
        </w:rPr>
        <w:t xml:space="preserve">    [RU p. 207]</w:t>
      </w:r>
    </w:p>
    <w:p>
      <w:pPr>
        <w:pStyle w:val="Heading2"/>
        <w:keepNext/>
      </w:pPr>
      <w:r>
        <w:t>48.4. Set-Valued Forecast</w:t>
      </w:r>
    </w:p>
    <w:p>
      <w:pPr>
        <w:spacing w:before="80" w:after="100"/>
        <w:jc w:val="center"/>
      </w:pPr>
      <w:r>
        <w:rPr>
          <w:rFonts w:ascii="DejaVu Serif" w:hAnsi="DejaVu Serif" w:eastAsia="DejaVu Serif"/>
          <w:b w:val="0"/>
          <w:i w:val="0"/>
          <w:sz w:val="21"/>
        </w:rPr>
        <w:t>F016  C_L(x)=union {Psi_r(x): r in A_L(D), gate(r,x)=1}</w:t>
      </w:r>
      <w:r>
        <w:rPr>
          <w:rFonts w:ascii="DejaVu Serif" w:hAnsi="DejaVu Serif" w:eastAsia="DejaVu Serif"/>
          <w:b w:val="0"/>
          <w:i/>
          <w:color w:val="6B7280"/>
          <w:sz w:val="17"/>
        </w:rPr>
        <w:t xml:space="preserve">    [RU p. 207]</w:t>
      </w:r>
    </w:p>
    <w:p>
      <w:pPr>
        <w:spacing w:before="80" w:after="100"/>
        <w:jc w:val="center"/>
      </w:pPr>
      <w:r>
        <w:rPr>
          <w:rFonts w:ascii="DejaVu Serif" w:hAnsi="DejaVu Serif" w:eastAsia="DejaVu Serif"/>
          <w:b w:val="0"/>
          <w:i w:val="0"/>
          <w:sz w:val="21"/>
        </w:rPr>
        <w:t>F017  C_L(x)=empty =&gt; ABSTAIN; Block nonempty =&gt; BLOCK</w:t>
      </w:r>
      <w:r>
        <w:rPr>
          <w:rFonts w:ascii="DejaVu Serif" w:hAnsi="DejaVu Serif" w:eastAsia="DejaVu Serif"/>
          <w:b w:val="0"/>
          <w:i/>
          <w:color w:val="6B7280"/>
          <w:sz w:val="17"/>
        </w:rPr>
        <w:t xml:space="preserve">    [RU p. 207]</w:t>
      </w:r>
    </w:p>
    <w:p>
      <w:pPr>
        <w:spacing w:after="80" w:line="269" w:lineRule="auto"/>
        <w:jc w:val="both"/>
      </w:pPr>
      <w:r>
        <w:rPr>
          <w:rFonts w:ascii="DejaVu Serif" w:hAnsi="DejaVu Serif" w:eastAsia="DejaVu Serif"/>
          <w:b w:val="0"/>
          <w:i w:val="0"/>
        </w:rPr>
        <w:t>ABSTAIN means valid branches produced no admissible answer for the object and is included in predictive loss. BLOCK means an obligatory evidence condition failed and stops the run.</w:t>
      </w:r>
    </w:p>
    <w:p>
      <w:pPr>
        <w:spacing w:before="100" w:after="60"/>
      </w:pPr>
      <w:r>
        <w:rPr>
          <w:rFonts w:ascii="DejaVu Serif" w:hAnsi="DejaVu Serif" w:eastAsia="DejaVu Serif"/>
          <w:b/>
          <w:i w:val="0"/>
          <w:color w:val="173B63"/>
        </w:rPr>
        <w:t xml:space="preserve">Theorem 48.2 - Equivariance of the forecast set [THM]. </w:t>
      </w:r>
      <w:r>
        <w:rPr>
          <w:rFonts w:ascii="DejaVu Serif" w:hAnsi="DejaVu Serif" w:eastAsia="DejaVu Serif"/>
          <w:b w:val="0"/>
          <w:i w:val="0"/>
        </w:rPr>
        <w:t>If adapter, gate, and Psi are equivariant under one g in PGL2(K), then C_L(gx)=g(C_L(x)).</w:t>
      </w:r>
    </w:p>
    <w:p>
      <w:pPr>
        <w:ind w:left="283" w:right="113"/>
        <w:jc w:val="both"/>
      </w:pPr>
      <w:r>
        <w:rPr>
          <w:rFonts w:ascii="DejaVu Serif" w:hAnsi="DejaVu Serif" w:eastAsia="DejaVu Serif"/>
          <w:b/>
          <w:i/>
        </w:rPr>
        <w:t xml:space="preserve">Proof. </w:t>
      </w:r>
      <w:r>
        <w:rPr>
          <w:rFonts w:ascii="DejaVu Serif" w:hAnsi="DejaVu Serif" w:eastAsia="DejaVu Serif"/>
          <w:b w:val="0"/>
          <w:i/>
        </w:rPr>
        <w:t>Cross-ratio invariance preserves harmonic admissibility, gate equivariance preserves the admitted branch set, and Psi_gr(gx)=g Psi_r(x). The image of a union is the union of images.</w:t>
      </w:r>
    </w:p>
    <w:p>
      <w:pPr>
        <w:spacing w:before="80" w:after="100"/>
        <w:jc w:val="center"/>
      </w:pPr>
      <w:r>
        <w:rPr>
          <w:rFonts w:ascii="DejaVu Serif" w:hAnsi="DejaVu Serif" w:eastAsia="DejaVu Serif"/>
          <w:b w:val="0"/>
          <w:i w:val="0"/>
          <w:sz w:val="21"/>
        </w:rPr>
        <w:t>F018  C_L(gx)=g(C_L(x))</w:t>
      </w:r>
      <w:r>
        <w:rPr>
          <w:rFonts w:ascii="DejaVu Serif" w:hAnsi="DejaVu Serif" w:eastAsia="DejaVu Serif"/>
          <w:b w:val="0"/>
          <w:i/>
          <w:color w:val="6B7280"/>
          <w:sz w:val="17"/>
        </w:rPr>
        <w:t xml:space="preserve">    [RU p. 208]</w:t>
      </w:r>
    </w:p>
    <w:p>
      <w:pPr>
        <w:pStyle w:val="Heading2"/>
        <w:keepNext/>
      </w:pPr>
      <w:r>
        <w:t>48.5. Perturbation Stability</w:t>
      </w:r>
    </w:p>
    <w:p>
      <w:pPr>
        <w:spacing w:before="80" w:after="100"/>
        <w:jc w:val="center"/>
      </w:pPr>
      <w:r>
        <w:rPr>
          <w:rFonts w:ascii="DejaVu Serif" w:hAnsi="DejaVu Serif" w:eastAsia="DejaVu Serif"/>
          <w:b w:val="0"/>
          <w:i w:val="0"/>
          <w:sz w:val="21"/>
        </w:rPr>
        <w:t>F019  |Delta lambda| &lt;= K_epsilon (||Delta R||+||Delta I||+||Delta U||+||Delta D0||)</w:t>
      </w:r>
      <w:r>
        <w:rPr>
          <w:rFonts w:ascii="DejaVu Serif" w:hAnsi="DejaVu Serif" w:eastAsia="DejaVu Serif"/>
          <w:b w:val="0"/>
          <w:i/>
          <w:color w:val="6B7280"/>
          <w:sz w:val="17"/>
        </w:rPr>
        <w:t xml:space="preserve">    [RU p. 208]</w:t>
      </w:r>
    </w:p>
    <w:p>
      <w:pPr>
        <w:spacing w:after="80" w:line="269" w:lineRule="auto"/>
        <w:jc w:val="both"/>
      </w:pPr>
      <w:r>
        <w:rPr>
          <w:rFonts w:ascii="DejaVu Serif" w:hAnsi="DejaVu Serif" w:eastAsia="DejaVu Serif"/>
          <w:b w:val="0"/>
          <w:i w:val="0"/>
        </w:rPr>
        <w:t>On compact sets separated from both poles by epsilon, lambda is smooth and locally Lipschitz. Near a pole K_epsilon increases; a small harmonic defect with enormous sensitivity is not stable evidence.</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A projective invariant preserves relation, not the history by which points received their names. Harmony is a checkable four-position agreement, not a promise of truth.</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PROJ-HARM-CERT v196i14. </w:t>
            </w:r>
            <w:r>
              <w:rPr>
                <w:rFonts w:ascii="DejaVu Serif" w:hAnsi="DejaVu Serif" w:eastAsia="DejaVu Serif"/>
                <w:b w:val="0"/>
                <w:i w:val="0"/>
                <w:sz w:val="18"/>
              </w:rPr>
              <w:t>field-characteristic-not-2; cross-ratio=homogeneous; PGL2-invariance=proved; harmonic-conjugate=conditional-on-denominators; forecast=set-valued; empty=ABSTAIN; gate-violation=BLOCK; sensitivity=reported; truth_layer_promotion=0.</w:t>
            </w:r>
          </w:p>
        </w:tc>
      </w:tr>
    </w:tbl>
    <w:p>
      <w:pPr>
        <w:spacing w:after="40"/>
      </w:pPr>
    </w:p>
    <w:p>
      <w:pPr>
        <w:pStyle w:val="Heading1"/>
        <w:keepNext/>
      </w:pPr>
      <w:bookmarkStart w:id="1048" w:name="T1_CH_49"/>
      <w:r>
        <w:t>Chapter 49. Five Limits as an Admissibility Lattice</w:t>
      </w:r>
      <w:bookmarkEnd w:id="1048"/>
    </w:p>
    <w:p>
      <w:pPr>
        <w:spacing w:after="80" w:line="269" w:lineRule="auto"/>
        <w:jc w:val="both"/>
      </w:pPr>
      <w:r>
        <w:rPr>
          <w:rFonts w:ascii="DejaVu Serif" w:hAnsi="DejaVu Serif" w:eastAsia="DejaVu Serif"/>
          <w:b w:val="0"/>
          <w:i w:val="0"/>
        </w:rPr>
        <w:t>Russian source locator: pp. 209-210</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What does a limit mean in the predictive method?</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It is a gate that excludes inadmissible Repers and actions, not a scalar objective that must be maximized.</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Political, ecological, spatial, temporal, and ontological predicates form an ordered vector of restrictions.</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Tightening a component may only shrink the admissible set; an unregistered post-hoc relaxation is not allowed.</w:t>
            </w:r>
          </w:p>
        </w:tc>
      </w:tr>
    </w:tbl>
    <w:p>
      <w:pPr>
        <w:spacing w:after="40"/>
      </w:pPr>
    </w:p>
    <w:p>
      <w:pPr>
        <w:keepNext/>
        <w:jc w:val="center"/>
      </w:pPr>
      <w:r>
        <w:drawing>
          <wp:inline xmlns:a="http://schemas.openxmlformats.org/drawingml/2006/main" xmlns:pic="http://schemas.openxmlformats.org/drawingml/2006/picture">
            <wp:extent cx="5623560" cy="2510902"/>
            <wp:docPr id="52" name="Picture 52"/>
            <wp:cNvGraphicFramePr>
              <a:graphicFrameLocks noChangeAspect="1"/>
            </wp:cNvGraphicFramePr>
            <a:graphic>
              <a:graphicData uri="http://schemas.openxmlformats.org/drawingml/2006/picture">
                <pic:pic>
                  <pic:nvPicPr>
                    <pic:cNvPr id="0" name="fig49_limits.png"/>
                    <pic:cNvPicPr/>
                  </pic:nvPicPr>
                  <pic:blipFill>
                    <a:blip r:embed="rId64"/>
                    <a:stretch>
                      <a:fillRect/>
                    </a:stretch>
                  </pic:blipFill>
                  <pic:spPr>
                    <a:xfrm>
                      <a:off x="0" y="0"/>
                      <a:ext cx="5623560" cy="2510902"/>
                    </a:xfrm>
                    <a:prstGeom prst="rect"/>
                  </pic:spPr>
                </pic:pic>
              </a:graphicData>
            </a:graphic>
          </wp:inline>
        </w:drawing>
      </w:r>
    </w:p>
    <w:p>
      <w:pPr>
        <w:pStyle w:val="Caption"/>
        <w:spacing w:before="40" w:after="160"/>
        <w:jc w:val="center"/>
      </w:pPr>
      <w:bookmarkStart w:id="1109" w:name="T1_FIG_051"/>
      <w:r>
        <w:t>Figure 49.1. Five registered limits, meet, join, and monotone forecast sets.</w:t>
      </w:r>
      <w:bookmarkEnd w:id="1109"/>
    </w:p>
    <w:p>
      <w:pPr>
        <w:pStyle w:val="Heading2"/>
        <w:keepNext/>
      </w:pPr>
      <w:r>
        <w:t>49.1. Limit Vector and Strictness Order</w:t>
      </w:r>
    </w:p>
    <w:p>
      <w:pPr>
        <w:spacing w:before="80" w:after="100"/>
        <w:jc w:val="center"/>
      </w:pPr>
      <w:r>
        <w:rPr>
          <w:rFonts w:ascii="DejaVu Serif" w:hAnsi="DejaVu Serif" w:eastAsia="DejaVu Serif"/>
          <w:b w:val="0"/>
          <w:i w:val="0"/>
          <w:sz w:val="21"/>
        </w:rPr>
        <w:t>F020  L=(L_pol,L_eco,L_space,L_time,L_onto)</w:t>
      </w:r>
      <w:r>
        <w:rPr>
          <w:rFonts w:ascii="DejaVu Serif" w:hAnsi="DejaVu Serif" w:eastAsia="DejaVu Serif"/>
          <w:b w:val="0"/>
          <w:i/>
          <w:color w:val="6B7280"/>
          <w:sz w:val="17"/>
        </w:rPr>
        <w:t xml:space="preserve">    [RU p. 209]</w:t>
      </w:r>
    </w:p>
    <w:p>
      <w:pPr>
        <w:spacing w:before="80" w:after="100"/>
        <w:jc w:val="center"/>
      </w:pPr>
      <w:r>
        <w:rPr>
          <w:rFonts w:ascii="DejaVu Serif" w:hAnsi="DejaVu Serif" w:eastAsia="DejaVu Serif"/>
          <w:b w:val="0"/>
          <w:i w:val="0"/>
          <w:sz w:val="21"/>
        </w:rPr>
        <w:t>F021  gate_L(r)=meet_{j=1}^5 l_j(r); l_j in {0,1,Block}</w:t>
      </w:r>
      <w:r>
        <w:rPr>
          <w:rFonts w:ascii="DejaVu Serif" w:hAnsi="DejaVu Serif" w:eastAsia="DejaVu Serif"/>
          <w:b w:val="0"/>
          <w:i/>
          <w:color w:val="6B7280"/>
          <w:sz w:val="17"/>
        </w:rPr>
        <w:t xml:space="preserve">    [RU p. 209]</w:t>
      </w:r>
    </w:p>
    <w:p>
      <w:pPr>
        <w:spacing w:before="80" w:after="100"/>
        <w:jc w:val="center"/>
      </w:pPr>
      <w:r>
        <w:rPr>
          <w:rFonts w:ascii="DejaVu Serif" w:hAnsi="DejaVu Serif" w:eastAsia="DejaVu Serif"/>
          <w:b w:val="0"/>
          <w:i w:val="0"/>
          <w:sz w:val="21"/>
        </w:rPr>
        <w:t>F022  L' &gt;= L iff A_L'(D) subset A_L(D)</w:t>
      </w:r>
      <w:r>
        <w:rPr>
          <w:rFonts w:ascii="DejaVu Serif" w:hAnsi="DejaVu Serif" w:eastAsia="DejaVu Serif"/>
          <w:b w:val="0"/>
          <w:i/>
          <w:color w:val="6B7280"/>
          <w:sz w:val="17"/>
        </w:rPr>
        <w:t xml:space="preserve">    [RU p. 209]</w:t>
      </w:r>
    </w:p>
    <w:p>
      <w:pPr>
        <w:spacing w:before="100" w:after="60"/>
      </w:pPr>
      <w:r>
        <w:rPr>
          <w:rFonts w:ascii="DejaVu Serif" w:hAnsi="DejaVu Serif" w:eastAsia="DejaVu Serif"/>
          <w:b/>
          <w:i w:val="0"/>
          <w:color w:val="173B63"/>
        </w:rPr>
        <w:t xml:space="preserve">Theorem 49.1 - Monotonicity [THM]. </w:t>
      </w:r>
      <w:r>
        <w:rPr>
          <w:rFonts w:ascii="DejaVu Serif" w:hAnsi="DejaVu Serif" w:eastAsia="DejaVu Serif"/>
          <w:b w:val="0"/>
          <w:i w:val="0"/>
        </w:rPr>
        <w:t>If L-prime is no weaker than L, then A_Lprime(D) is a subset of A_L(D), and C_Lprime(x) is a subset of C_L(x).</w:t>
      </w:r>
    </w:p>
    <w:p>
      <w:pPr>
        <w:ind w:left="283" w:right="113"/>
        <w:jc w:val="both"/>
      </w:pPr>
      <w:r>
        <w:rPr>
          <w:rFonts w:ascii="DejaVu Serif" w:hAnsi="DejaVu Serif" w:eastAsia="DejaVu Serif"/>
          <w:b/>
          <w:i/>
        </w:rPr>
        <w:t xml:space="preserve">Proof. </w:t>
      </w:r>
      <w:r>
        <w:rPr>
          <w:rFonts w:ascii="DejaVu Serif" w:hAnsi="DejaVu Serif" w:eastAsia="DejaVu Serif"/>
          <w:b w:val="0"/>
          <w:i/>
        </w:rPr>
        <w:t>The first inclusion defines the order. The union defining the forecast under L-prime ranges over a subset of the branches available under L and cannot add elements.</w:t>
      </w:r>
    </w:p>
    <w:p>
      <w:pPr>
        <w:spacing w:before="80" w:after="100"/>
        <w:jc w:val="center"/>
      </w:pPr>
      <w:r>
        <w:rPr>
          <w:rFonts w:ascii="DejaVu Serif" w:hAnsi="DejaVu Serif" w:eastAsia="DejaVu Serif"/>
          <w:b w:val="0"/>
          <w:i w:val="0"/>
          <w:sz w:val="21"/>
        </w:rPr>
        <w:t>F023  L' &gt;= L =&gt; A_L' subset A_L and C_L' subset C_L</w:t>
      </w:r>
      <w:r>
        <w:rPr>
          <w:rFonts w:ascii="DejaVu Serif" w:hAnsi="DejaVu Serif" w:eastAsia="DejaVu Serif"/>
          <w:b w:val="0"/>
          <w:i/>
          <w:color w:val="6B7280"/>
          <w:sz w:val="17"/>
        </w:rPr>
        <w:t xml:space="preserve">    [RU p. 209]</w:t>
      </w:r>
    </w:p>
    <w:p>
      <w:pPr>
        <w:pStyle w:val="Heading2"/>
        <w:keepNext/>
      </w:pPr>
      <w:r>
        <w:t>49.2. Meet and Join</w:t>
      </w:r>
    </w:p>
    <w:p>
      <w:pPr>
        <w:spacing w:before="80" w:after="100"/>
        <w:jc w:val="center"/>
      </w:pPr>
      <w:r>
        <w:rPr>
          <w:rFonts w:ascii="DejaVu Serif" w:hAnsi="DejaVu Serif" w:eastAsia="DejaVu Serif"/>
          <w:b w:val="0"/>
          <w:i w:val="0"/>
          <w:sz w:val="21"/>
        </w:rPr>
        <w:t>F024  A_(L meet M)=A_L intersection A_M</w:t>
      </w:r>
      <w:r>
        <w:rPr>
          <w:rFonts w:ascii="DejaVu Serif" w:hAnsi="DejaVu Serif" w:eastAsia="DejaVu Serif"/>
          <w:b w:val="0"/>
          <w:i/>
          <w:color w:val="6B7280"/>
          <w:sz w:val="17"/>
        </w:rPr>
        <w:t xml:space="preserve">    [RU p. 209]</w:t>
      </w:r>
    </w:p>
    <w:p>
      <w:pPr>
        <w:spacing w:before="80" w:after="100"/>
        <w:jc w:val="center"/>
      </w:pPr>
      <w:r>
        <w:rPr>
          <w:rFonts w:ascii="DejaVu Serif" w:hAnsi="DejaVu Serif" w:eastAsia="DejaVu Serif"/>
          <w:b w:val="0"/>
          <w:i w:val="0"/>
          <w:sz w:val="21"/>
        </w:rPr>
        <w:t>F025  A_(L join M)=closure(A_L union A_M)</w:t>
      </w:r>
      <w:r>
        <w:rPr>
          <w:rFonts w:ascii="DejaVu Serif" w:hAnsi="DejaVu Serif" w:eastAsia="DejaVu Serif"/>
          <w:b w:val="0"/>
          <w:i/>
          <w:color w:val="6B7280"/>
          <w:sz w:val="17"/>
        </w:rPr>
        <w:t xml:space="preserve">    [RU p. 209]</w:t>
      </w:r>
    </w:p>
    <w:p>
      <w:pPr>
        <w:spacing w:before="100" w:after="60"/>
      </w:pPr>
      <w:r>
        <w:rPr>
          <w:rFonts w:ascii="DejaVu Serif" w:hAnsi="DejaVu Serif" w:eastAsia="DejaVu Serif"/>
          <w:b/>
          <w:i w:val="0"/>
          <w:color w:val="173B63"/>
        </w:rPr>
        <w:t xml:space="preserve">Proposition 49.2 - Lattice laws [THM]. </w:t>
      </w:r>
      <w:r>
        <w:rPr>
          <w:rFonts w:ascii="DejaVu Serif" w:hAnsi="DejaVu Serif" w:eastAsia="DejaVu Serif"/>
          <w:b w:val="0"/>
          <w:i w:val="0"/>
        </w:rPr>
        <w:t>For a fixed universe of typed Repers and a type-preserving closure operator, meet and join are idempotent and commutative and satisfy absorption.</w:t>
      </w:r>
    </w:p>
    <w:p>
      <w:pPr>
        <w:ind w:left="283" w:right="113"/>
        <w:jc w:val="both"/>
      </w:pPr>
      <w:r>
        <w:rPr>
          <w:rFonts w:ascii="DejaVu Serif" w:hAnsi="DejaVu Serif" w:eastAsia="DejaVu Serif"/>
          <w:b/>
          <w:i/>
        </w:rPr>
        <w:t xml:space="preserve">Proof. </w:t>
      </w:r>
      <w:r>
        <w:rPr>
          <w:rFonts w:ascii="DejaVu Serif" w:hAnsi="DejaVu Serif" w:eastAsia="DejaVu Serif"/>
          <w:b w:val="0"/>
          <w:i/>
        </w:rPr>
        <w:t>The result follows from intersection and closed union. A join used for publication must be preregistered; otherwise it becomes a post-hoc escape route.</w:t>
      </w:r>
    </w:p>
    <w:p>
      <w:pPr>
        <w:pStyle w:val="Heading2"/>
        <w:keepNext/>
      </w:pPr>
      <w:r>
        <w:t>49.3. Temporal Horizon and Information</w:t>
      </w:r>
    </w:p>
    <w:p>
      <w:pPr>
        <w:spacing w:before="80" w:after="100"/>
        <w:jc w:val="center"/>
      </w:pPr>
      <w:r>
        <w:rPr>
          <w:rFonts w:ascii="DejaVu Serif" w:hAnsi="DejaVu Serif" w:eastAsia="DejaVu Serif"/>
          <w:b w:val="0"/>
          <w:i w:val="0"/>
          <w:sz w:val="21"/>
        </w:rPr>
        <w:t>F026  Forecast_t(h) is measurable with respect to F_t</w:t>
      </w:r>
      <w:r>
        <w:rPr>
          <w:rFonts w:ascii="DejaVu Serif" w:hAnsi="DejaVu Serif" w:eastAsia="DejaVu Serif"/>
          <w:b w:val="0"/>
          <w:i/>
          <w:color w:val="6B7280"/>
          <w:sz w:val="17"/>
        </w:rPr>
        <w:t xml:space="preserve">    [RU p. 209]</w:t>
      </w:r>
    </w:p>
    <w:p>
      <w:pPr>
        <w:spacing w:before="80" w:after="100"/>
        <w:jc w:val="center"/>
      </w:pPr>
      <w:r>
        <w:rPr>
          <w:rFonts w:ascii="DejaVu Serif" w:hAnsi="DejaVu Serif" w:eastAsia="DejaVu Serif"/>
          <w:b w:val="0"/>
          <w:i w:val="0"/>
          <w:sz w:val="21"/>
        </w:rPr>
        <w:t>F027  feature-time(x_k)&lt;=t; outcome-time=t+h</w:t>
      </w:r>
      <w:r>
        <w:rPr>
          <w:rFonts w:ascii="DejaVu Serif" w:hAnsi="DejaVu Serif" w:eastAsia="DejaVu Serif"/>
          <w:b w:val="0"/>
          <w:i/>
          <w:color w:val="6B7280"/>
          <w:sz w:val="17"/>
        </w:rPr>
        <w:t xml:space="preserve">    [RU p. 209]</w:t>
      </w:r>
    </w:p>
    <w:p>
      <w:pPr>
        <w:spacing w:after="80" w:line="269" w:lineRule="auto"/>
        <w:jc w:val="both"/>
      </w:pPr>
      <w:r>
        <w:rPr>
          <w:rFonts w:ascii="DejaVu Serif" w:hAnsi="DejaVu Serif" w:eastAsia="DejaVu Serif"/>
          <w:b w:val="0"/>
          <w:i w:val="0"/>
        </w:rPr>
        <w:t>Horizon is stored with its unit and synchronization rule. A conversion between time scales is a separate morphism with uncertainty. Features appearing after t are unavailable even when they occur in the same table.</w:t>
      </w:r>
    </w:p>
    <w:p>
      <w:pPr>
        <w:pStyle w:val="Heading2"/>
        <w:keepNext/>
      </w:pPr>
      <w:r>
        <w:t>49.4. PN.2 as a Limit on One Estimator</w:t>
      </w:r>
    </w:p>
    <w:p>
      <w:pPr>
        <w:spacing w:before="80" w:after="100"/>
        <w:jc w:val="center"/>
      </w:pPr>
      <w:r>
        <w:rPr>
          <w:rFonts w:ascii="DejaVu Serif" w:hAnsi="DejaVu Serif" w:eastAsia="DejaVu Serif"/>
          <w:b w:val="0"/>
          <w:i w:val="0"/>
          <w:sz w:val="21"/>
        </w:rPr>
        <w:t>F028  inf_T sup_(theta in Theta) E_theta[L(T(X),theta)] &gt;= c_PN2 &gt; 0</w:t>
      </w:r>
      <w:r>
        <w:rPr>
          <w:rFonts w:ascii="DejaVu Serif" w:hAnsi="DejaVu Serif" w:eastAsia="DejaVu Serif"/>
          <w:b w:val="0"/>
          <w:i/>
          <w:color w:val="6B7280"/>
          <w:sz w:val="17"/>
        </w:rPr>
        <w:t xml:space="preserve">    [RU p. 210]</w:t>
      </w:r>
    </w:p>
    <w:p>
      <w:pPr>
        <w:spacing w:after="80" w:line="269" w:lineRule="auto"/>
        <w:jc w:val="both"/>
      </w:pPr>
      <w:r>
        <w:rPr>
          <w:rFonts w:ascii="DejaVu Serif" w:hAnsi="DejaVu Serif" w:eastAsia="DejaVu Serif"/>
          <w:b w:val="0"/>
          <w:i w:val="0"/>
        </w:rPr>
        <w:t>The constant depends on the model class, loss, and degree of observational indistinguishability. It is not a universal physical constant.</w:t>
      </w:r>
    </w:p>
    <w:p>
      <w:pPr>
        <w:spacing w:before="100" w:after="60"/>
      </w:pPr>
      <w:r>
        <w:rPr>
          <w:rFonts w:ascii="DejaVu Serif" w:hAnsi="DejaVu Serif" w:eastAsia="DejaVu Serif"/>
          <w:b/>
          <w:i w:val="0"/>
          <w:color w:val="173B63"/>
        </w:rPr>
        <w:t xml:space="preserve">Theorem 49.3 - Two-point lower bound [THM]. </w:t>
      </w:r>
      <w:r>
        <w:rPr>
          <w:rFonts w:ascii="DejaVu Serif" w:hAnsi="DejaVu Serif" w:eastAsia="DejaVu Serif"/>
          <w:b w:val="0"/>
          <w:i w:val="0"/>
        </w:rPr>
        <w:t>Let theta0 and theta1 require distinct actions, let TV(P0,P1)&lt;=tau&lt;1, and let every wrong action cost at least c. Then every estimator T satisfies max(R0(T),R1(T)) &gt;= c(1-TV(P0,P1))/2.</w:t>
      </w:r>
    </w:p>
    <w:p>
      <w:pPr>
        <w:ind w:left="283" w:right="113"/>
        <w:jc w:val="both"/>
      </w:pPr>
      <w:r>
        <w:rPr>
          <w:rFonts w:ascii="DejaVu Serif" w:hAnsi="DejaVu Serif" w:eastAsia="DejaVu Serif"/>
          <w:b/>
          <w:i/>
        </w:rPr>
        <w:t xml:space="preserve">Proof. </w:t>
      </w:r>
      <w:r>
        <w:rPr>
          <w:rFonts w:ascii="DejaVu Serif" w:hAnsi="DejaVu Serif" w:eastAsia="DejaVu Serif"/>
          <w:b w:val="0"/>
          <w:i/>
        </w:rPr>
        <w:t>The sum of the two testing error probabilities is at least 1-TV(P0,P1). One error is at least half that sum; multiplying by the minimum error cost yields the bound.</w:t>
      </w:r>
    </w:p>
    <w:p>
      <w:pPr>
        <w:spacing w:before="80" w:after="100"/>
        <w:jc w:val="center"/>
      </w:pPr>
      <w:r>
        <w:rPr>
          <w:rFonts w:ascii="DejaVu Serif" w:hAnsi="DejaVu Serif" w:eastAsia="DejaVu Serif"/>
          <w:b w:val="0"/>
          <w:i w:val="0"/>
          <w:sz w:val="21"/>
        </w:rPr>
        <w:t>F029  max(R0(T),R1(T)) &gt;= c(1-TV(P0,P1))/2</w:t>
      </w:r>
      <w:r>
        <w:rPr>
          <w:rFonts w:ascii="DejaVu Serif" w:hAnsi="DejaVu Serif" w:eastAsia="DejaVu Serif"/>
          <w:b w:val="0"/>
          <w:i/>
          <w:color w:val="6B7280"/>
          <w:sz w:val="17"/>
        </w:rPr>
        <w:t xml:space="preserve">    [RU p. 210]</w:t>
      </w:r>
    </w:p>
    <w:p>
      <w:pPr>
        <w:pStyle w:val="Heading2"/>
        <w:keepNext/>
      </w:pPr>
      <w:r>
        <w:t>49.5. Five-Limit Certificate</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153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Limit</w:t>
            </w:r>
          </w:p>
        </w:tc>
        <w:tc>
          <w:tcPr>
            <w:tcW w:type="dxa" w:w="4535"/>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Checked field</w:t>
            </w:r>
          </w:p>
        </w:tc>
        <w:tc>
          <w:tcPr>
            <w:tcW w:type="dxa" w:w="311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7"/>
              </w:rPr>
              <w:t>Missing-field status</w:t>
            </w:r>
          </w:p>
        </w:tc>
      </w:tr>
      <w:tr>
        <w:tc>
          <w:tcPr>
            <w:tcW w:type="dxa" w:w="1531"/>
            <w:tcMar>
              <w:top w:w="90" w:type="dxa"/>
              <w:start w:w="110" w:type="dxa"/>
              <w:bottom w:w="90" w:type="dxa"/>
              <w:end w:w="110" w:type="dxa"/>
            </w:tcMar>
            <w:vAlign w:val="center"/>
          </w:tcPr>
          <w:p>
            <w:pPr>
              <w:jc w:val="center"/>
            </w:pPr>
            <w:r>
              <w:rPr>
                <w:rFonts w:ascii="DejaVu Serif" w:hAnsi="DejaVu Serif" w:eastAsia="DejaVu Serif"/>
                <w:b w:val="0"/>
                <w:i w:val="0"/>
                <w:sz w:val="17"/>
              </w:rPr>
              <w:t>L_pol</w:t>
            </w:r>
          </w:p>
        </w:tc>
        <w:tc>
          <w:tcPr>
            <w:tcW w:type="dxa" w:w="4535"/>
            <w:tcMar>
              <w:top w:w="90" w:type="dxa"/>
              <w:start w:w="110" w:type="dxa"/>
              <w:bottom w:w="90" w:type="dxa"/>
              <w:end w:w="110" w:type="dxa"/>
            </w:tcMar>
            <w:vAlign w:val="center"/>
          </w:tcPr>
          <w:p>
            <w:pPr>
              <w:jc w:val="left"/>
            </w:pPr>
            <w:r>
              <w:rPr>
                <w:rFonts w:ascii="DejaVu Serif" w:hAnsi="DejaVu Serif" w:eastAsia="DejaVu Serif"/>
                <w:b w:val="0"/>
                <w:i w:val="0"/>
                <w:sz w:val="17"/>
              </w:rPr>
              <w:t>authority and publication regime</w:t>
            </w:r>
          </w:p>
        </w:tc>
        <w:tc>
          <w:tcPr>
            <w:tcW w:type="dxa" w:w="3118"/>
            <w:tcMar>
              <w:top w:w="90" w:type="dxa"/>
              <w:start w:w="110" w:type="dxa"/>
              <w:bottom w:w="90" w:type="dxa"/>
              <w:end w:w="110" w:type="dxa"/>
            </w:tcMar>
            <w:vAlign w:val="center"/>
          </w:tcPr>
          <w:p>
            <w:pPr>
              <w:jc w:val="left"/>
            </w:pPr>
            <w:r>
              <w:rPr>
                <w:rFonts w:ascii="DejaVu Serif" w:hAnsi="DejaVu Serif" w:eastAsia="DejaVu Serif"/>
                <w:b w:val="0"/>
                <w:i w:val="0"/>
                <w:sz w:val="17"/>
              </w:rPr>
              <w:t>Block-authority</w:t>
            </w:r>
          </w:p>
        </w:tc>
      </w:tr>
      <w:tr>
        <w:tc>
          <w:tcPr>
            <w:tcW w:type="dxa" w:w="1531"/>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L_eco</w:t>
            </w:r>
          </w:p>
        </w:tc>
        <w:tc>
          <w:tcPr>
            <w:tcW w:type="dxa" w:w="4535"/>
            <w:tcMar>
              <w:top w:w="90" w:type="dxa"/>
              <w:start w:w="110" w:type="dxa"/>
              <w:bottom w:w="90" w:type="dxa"/>
              <w:end w:w="110" w:type="dxa"/>
            </w:tcMar>
            <w:vAlign w:val="center"/>
            <w:shd w:fill="F4F7FA"/>
          </w:tcPr>
          <w:p>
            <w:pPr>
              <w:jc w:val="left"/>
            </w:pPr>
            <w:r>
              <w:rPr>
                <w:rFonts w:ascii="DejaVu Serif" w:hAnsi="DejaVu Serif" w:eastAsia="DejaVu Serif"/>
                <w:b w:val="0"/>
                <w:i w:val="0"/>
                <w:sz w:val="17"/>
              </w:rPr>
              <w:t>impact budget and units</w:t>
            </w:r>
          </w:p>
        </w:tc>
        <w:tc>
          <w:tcPr>
            <w:tcW w:type="dxa" w:w="3118"/>
            <w:tcMar>
              <w:top w:w="90" w:type="dxa"/>
              <w:start w:w="110" w:type="dxa"/>
              <w:bottom w:w="90" w:type="dxa"/>
              <w:end w:w="110" w:type="dxa"/>
            </w:tcMar>
            <w:vAlign w:val="center"/>
            <w:shd w:fill="F4F7FA"/>
          </w:tcPr>
          <w:p>
            <w:pPr>
              <w:jc w:val="left"/>
            </w:pPr>
            <w:r>
              <w:rPr>
                <w:rFonts w:ascii="DejaVu Serif" w:hAnsi="DejaVu Serif" w:eastAsia="DejaVu Serif"/>
                <w:b w:val="0"/>
                <w:i w:val="0"/>
                <w:sz w:val="17"/>
              </w:rPr>
              <w:t>Block-impact</w:t>
            </w:r>
          </w:p>
        </w:tc>
      </w:tr>
      <w:tr>
        <w:tc>
          <w:tcPr>
            <w:tcW w:type="dxa" w:w="1531"/>
            <w:tcMar>
              <w:top w:w="90" w:type="dxa"/>
              <w:start w:w="110" w:type="dxa"/>
              <w:bottom w:w="90" w:type="dxa"/>
              <w:end w:w="110" w:type="dxa"/>
            </w:tcMar>
            <w:vAlign w:val="center"/>
          </w:tcPr>
          <w:p>
            <w:pPr>
              <w:jc w:val="center"/>
            </w:pPr>
            <w:r>
              <w:rPr>
                <w:rFonts w:ascii="DejaVu Serif" w:hAnsi="DejaVu Serif" w:eastAsia="DejaVu Serif"/>
                <w:b w:val="0"/>
                <w:i w:val="0"/>
                <w:sz w:val="17"/>
              </w:rPr>
              <w:t>L_space</w:t>
            </w:r>
          </w:p>
        </w:tc>
        <w:tc>
          <w:tcPr>
            <w:tcW w:type="dxa" w:w="4535"/>
            <w:tcMar>
              <w:top w:w="90" w:type="dxa"/>
              <w:start w:w="110" w:type="dxa"/>
              <w:bottom w:w="90" w:type="dxa"/>
              <w:end w:w="110" w:type="dxa"/>
            </w:tcMar>
            <w:vAlign w:val="center"/>
          </w:tcPr>
          <w:p>
            <w:pPr>
              <w:jc w:val="left"/>
            </w:pPr>
            <w:r>
              <w:rPr>
                <w:rFonts w:ascii="DejaVu Serif" w:hAnsi="DejaVu Serif" w:eastAsia="DejaVu Serif"/>
                <w:b w:val="0"/>
                <w:i w:val="0"/>
                <w:sz w:val="17"/>
              </w:rPr>
              <w:t>population, support, transport</w:t>
            </w:r>
          </w:p>
        </w:tc>
        <w:tc>
          <w:tcPr>
            <w:tcW w:type="dxa" w:w="3118"/>
            <w:tcMar>
              <w:top w:w="90" w:type="dxa"/>
              <w:start w:w="110" w:type="dxa"/>
              <w:bottom w:w="90" w:type="dxa"/>
              <w:end w:w="110" w:type="dxa"/>
            </w:tcMar>
            <w:vAlign w:val="center"/>
          </w:tcPr>
          <w:p>
            <w:pPr>
              <w:jc w:val="left"/>
            </w:pPr>
            <w:r>
              <w:rPr>
                <w:rFonts w:ascii="DejaVu Serif" w:hAnsi="DejaVu Serif" w:eastAsia="DejaVu Serif"/>
                <w:b w:val="0"/>
                <w:i w:val="0"/>
                <w:sz w:val="17"/>
              </w:rPr>
              <w:t>ABSTAIN / Block-support</w:t>
            </w:r>
          </w:p>
        </w:tc>
      </w:tr>
      <w:tr>
        <w:tc>
          <w:tcPr>
            <w:tcW w:type="dxa" w:w="1531"/>
            <w:tcMar>
              <w:top w:w="90" w:type="dxa"/>
              <w:start w:w="110" w:type="dxa"/>
              <w:bottom w:w="90" w:type="dxa"/>
              <w:end w:w="110" w:type="dxa"/>
            </w:tcMar>
            <w:vAlign w:val="center"/>
            <w:shd w:fill="F4F7FA"/>
          </w:tcPr>
          <w:p>
            <w:pPr>
              <w:jc w:val="center"/>
            </w:pPr>
            <w:r>
              <w:rPr>
                <w:rFonts w:ascii="DejaVu Serif" w:hAnsi="DejaVu Serif" w:eastAsia="DejaVu Serif"/>
                <w:b w:val="0"/>
                <w:i w:val="0"/>
                <w:sz w:val="17"/>
              </w:rPr>
              <w:t>L_time</w:t>
            </w:r>
          </w:p>
        </w:tc>
        <w:tc>
          <w:tcPr>
            <w:tcW w:type="dxa" w:w="4535"/>
            <w:tcMar>
              <w:top w:w="90" w:type="dxa"/>
              <w:start w:w="110" w:type="dxa"/>
              <w:bottom w:w="90" w:type="dxa"/>
              <w:end w:w="110" w:type="dxa"/>
            </w:tcMar>
            <w:vAlign w:val="center"/>
            <w:shd w:fill="F4F7FA"/>
          </w:tcPr>
          <w:p>
            <w:pPr>
              <w:jc w:val="left"/>
            </w:pPr>
            <w:r>
              <w:rPr>
                <w:rFonts w:ascii="DejaVu Serif" w:hAnsi="DejaVu Serif" w:eastAsia="DejaVu Serif"/>
                <w:b w:val="0"/>
                <w:i w:val="0"/>
                <w:sz w:val="17"/>
              </w:rPr>
              <w:t>timestamp, horizon, leakage</w:t>
            </w:r>
          </w:p>
        </w:tc>
        <w:tc>
          <w:tcPr>
            <w:tcW w:type="dxa" w:w="3118"/>
            <w:tcMar>
              <w:top w:w="90" w:type="dxa"/>
              <w:start w:w="110" w:type="dxa"/>
              <w:bottom w:w="90" w:type="dxa"/>
              <w:end w:w="110" w:type="dxa"/>
            </w:tcMar>
            <w:vAlign w:val="center"/>
            <w:shd w:fill="F4F7FA"/>
          </w:tcPr>
          <w:p>
            <w:pPr>
              <w:jc w:val="left"/>
            </w:pPr>
            <w:r>
              <w:rPr>
                <w:rFonts w:ascii="DejaVu Serif" w:hAnsi="DejaVu Serif" w:eastAsia="DejaVu Serif"/>
                <w:b w:val="0"/>
                <w:i w:val="0"/>
                <w:sz w:val="17"/>
              </w:rPr>
              <w:t>Block-time</w:t>
            </w:r>
          </w:p>
        </w:tc>
      </w:tr>
      <w:tr>
        <w:tc>
          <w:tcPr>
            <w:tcW w:type="dxa" w:w="1531"/>
            <w:tcMar>
              <w:top w:w="90" w:type="dxa"/>
              <w:start w:w="110" w:type="dxa"/>
              <w:bottom w:w="90" w:type="dxa"/>
              <w:end w:w="110" w:type="dxa"/>
            </w:tcMar>
            <w:vAlign w:val="center"/>
          </w:tcPr>
          <w:p>
            <w:pPr>
              <w:jc w:val="center"/>
            </w:pPr>
            <w:r>
              <w:rPr>
                <w:rFonts w:ascii="DejaVu Serif" w:hAnsi="DejaVu Serif" w:eastAsia="DejaVu Serif"/>
                <w:b w:val="0"/>
                <w:i w:val="0"/>
                <w:sz w:val="17"/>
              </w:rPr>
              <w:t>L_onto</w:t>
            </w:r>
          </w:p>
        </w:tc>
        <w:tc>
          <w:tcPr>
            <w:tcW w:type="dxa" w:w="4535"/>
            <w:tcMar>
              <w:top w:w="90" w:type="dxa"/>
              <w:start w:w="110" w:type="dxa"/>
              <w:bottom w:w="90" w:type="dxa"/>
              <w:end w:w="110" w:type="dxa"/>
            </w:tcMar>
            <w:vAlign w:val="center"/>
          </w:tcPr>
          <w:p>
            <w:pPr>
              <w:jc w:val="left"/>
            </w:pPr>
            <w:r>
              <w:rPr>
                <w:rFonts w:ascii="DejaVu Serif" w:hAnsi="DejaVu Serif" w:eastAsia="DejaVu Serif"/>
                <w:b w:val="0"/>
                <w:i w:val="0"/>
                <w:sz w:val="17"/>
              </w:rPr>
              <w:t>types, estimand, D/Dom</w:t>
            </w:r>
          </w:p>
        </w:tc>
        <w:tc>
          <w:tcPr>
            <w:tcW w:type="dxa" w:w="3118"/>
            <w:tcMar>
              <w:top w:w="90" w:type="dxa"/>
              <w:start w:w="110" w:type="dxa"/>
              <w:bottom w:w="90" w:type="dxa"/>
              <w:end w:w="110" w:type="dxa"/>
            </w:tcMar>
            <w:vAlign w:val="center"/>
          </w:tcPr>
          <w:p>
            <w:pPr>
              <w:jc w:val="left"/>
            </w:pPr>
            <w:r>
              <w:rPr>
                <w:rFonts w:ascii="DejaVu Serif" w:hAnsi="DejaVu Serif" w:eastAsia="DejaVu Serif"/>
                <w:b w:val="0"/>
                <w:i w:val="0"/>
                <w:sz w:val="17"/>
              </w:rPr>
              <w:t>Block-type</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A limit does not merely prohibit. It outlines the space in which action has a meaning. A forecast without limits appears free precisely because it does not know to which world it belongs.</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FIVE-LIMIT-CERT v196i14. </w:t>
            </w:r>
            <w:r>
              <w:rPr>
                <w:rFonts w:ascii="DejaVu Serif" w:hAnsi="DejaVu Serif" w:eastAsia="DejaVu Serif"/>
                <w:b w:val="0"/>
                <w:i w:val="0"/>
                <w:sz w:val="18"/>
              </w:rPr>
              <w:t>limits={political,ecological,spatial,temporal,ontological}; order=strictness; meet=intersection; join=typed-closure; monotonicity=proved; PN2=minimax-conditional; universal-physical-status=not-claimed.</w:t>
            </w:r>
          </w:p>
        </w:tc>
      </w:tr>
    </w:tbl>
    <w:p>
      <w:pPr>
        <w:spacing w:after="40"/>
      </w:pPr>
    </w:p>
    <w:p>
      <w:pPr>
        <w:pStyle w:val="Heading1"/>
        <w:keepNext/>
      </w:pPr>
      <w:bookmarkStart w:id="1049" w:name="T1_CH_50"/>
      <w:r>
        <w:t>Chapter 50. Mismatch Metric and Stable Rebuilding</w:t>
      </w:r>
      <w:bookmarkEnd w:id="1049"/>
    </w:p>
    <w:p>
      <w:pPr>
        <w:spacing w:after="80" w:line="269" w:lineRule="auto"/>
        <w:jc w:val="both"/>
      </w:pPr>
      <w:r>
        <w:rPr>
          <w:rFonts w:ascii="DejaVu Serif" w:hAnsi="DejaVu Serif" w:eastAsia="DejaVu Serif"/>
          <w:b w:val="0"/>
          <w:i w:val="0"/>
        </w:rPr>
        <w:t>Russian source locator: pp. 211-212</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How does the method react when the current Reper no longer fits new data?</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It selects a registered nearest admissible replacement under an extended metric, loss, harmonic defect, and edit-complexity penalty.</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Compactness and lower semicontinuity provide existence; a positive gap provides uniqueness and perturbation stability.</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A post-hoc convenient structure is not a rebuild. Candidate sets, penalties, and tie rules are frozen in advance.</w:t>
            </w:r>
          </w:p>
        </w:tc>
      </w:tr>
    </w:tbl>
    <w:p>
      <w:pPr>
        <w:spacing w:after="40"/>
      </w:pPr>
    </w:p>
    <w:p>
      <w:pPr>
        <w:keepNext/>
        <w:jc w:val="center"/>
      </w:pPr>
      <w:r>
        <w:drawing>
          <wp:inline xmlns:a="http://schemas.openxmlformats.org/drawingml/2006/main" xmlns:pic="http://schemas.openxmlformats.org/drawingml/2006/picture">
            <wp:extent cx="5623560" cy="2510902"/>
            <wp:docPr id="53" name="Picture 53"/>
            <wp:cNvGraphicFramePr>
              <a:graphicFrameLocks noChangeAspect="1"/>
            </wp:cNvGraphicFramePr>
            <a:graphic>
              <a:graphicData uri="http://schemas.openxmlformats.org/drawingml/2006/picture">
                <pic:pic>
                  <pic:nvPicPr>
                    <pic:cNvPr id="0" name="fig50_rebuild.png"/>
                    <pic:cNvPicPr/>
                  </pic:nvPicPr>
                  <pic:blipFill>
                    <a:blip r:embed="rId65"/>
                    <a:stretch>
                      <a:fillRect/>
                    </a:stretch>
                  </pic:blipFill>
                  <pic:spPr>
                    <a:xfrm>
                      <a:off x="0" y="0"/>
                      <a:ext cx="5623560" cy="2510902"/>
                    </a:xfrm>
                    <a:prstGeom prst="rect"/>
                  </pic:spPr>
                </pic:pic>
              </a:graphicData>
            </a:graphic>
          </wp:inline>
        </w:drawing>
      </w:r>
    </w:p>
    <w:p>
      <w:pPr>
        <w:pStyle w:val="Caption"/>
        <w:spacing w:before="40" w:after="160"/>
        <w:jc w:val="center"/>
      </w:pPr>
      <w:bookmarkStart w:id="1110" w:name="T1_FIG_052"/>
      <w:r>
        <w:t>Figure 50.1. Registered neighbors, minimization, stability gap, and versioned history.</w:t>
      </w:r>
      <w:bookmarkEnd w:id="1110"/>
    </w:p>
    <w:p>
      <w:pPr>
        <w:pStyle w:val="Heading2"/>
        <w:keepNext/>
      </w:pPr>
      <w:r>
        <w:t>50.1. Mismatch Types</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1417"/>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Code</w:t>
            </w:r>
          </w:p>
        </w:tc>
        <w:tc>
          <w:tcPr>
            <w:tcW w:type="dxa" w:w="4535"/>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Meaning</w:t>
            </w:r>
          </w:p>
        </w:tc>
        <w:tc>
          <w:tcPr>
            <w:tcW w:type="dxa" w:w="323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Required action</w:t>
            </w:r>
          </w:p>
        </w:tc>
      </w:tr>
      <w:tr>
        <w:tc>
          <w:tcPr>
            <w:tcW w:type="dxa" w:w="1417"/>
            <w:tcMar>
              <w:top w:w="90" w:type="dxa"/>
              <w:start w:w="110" w:type="dxa"/>
              <w:bottom w:w="90" w:type="dxa"/>
              <w:end w:w="110" w:type="dxa"/>
            </w:tcMar>
            <w:vAlign w:val="center"/>
          </w:tcPr>
          <w:p>
            <w:pPr>
              <w:jc w:val="center"/>
            </w:pPr>
            <w:r>
              <w:rPr>
                <w:rFonts w:ascii="DejaVu Serif" w:hAnsi="DejaVu Serif" w:eastAsia="DejaVu Serif"/>
                <w:b w:val="0"/>
                <w:i w:val="0"/>
                <w:sz w:val="16"/>
              </w:rPr>
              <w:t>M-type</w:t>
            </w:r>
          </w:p>
        </w:tc>
        <w:tc>
          <w:tcPr>
            <w:tcW w:type="dxa" w:w="4535"/>
            <w:tcMar>
              <w:top w:w="90" w:type="dxa"/>
              <w:start w:w="110" w:type="dxa"/>
              <w:bottom w:w="90" w:type="dxa"/>
              <w:end w:w="110" w:type="dxa"/>
            </w:tcMar>
            <w:vAlign w:val="center"/>
          </w:tcPr>
          <w:p>
            <w:pPr>
              <w:jc w:val="left"/>
            </w:pPr>
            <w:r>
              <w:rPr>
                <w:rFonts w:ascii="DejaVu Serif" w:hAnsi="DejaVu Serif" w:eastAsia="DejaVu Serif"/>
                <w:b w:val="0"/>
                <w:i w:val="0"/>
                <w:sz w:val="16"/>
              </w:rPr>
              <w:t>incompatible types</w:t>
            </w:r>
          </w:p>
        </w:tc>
        <w:tc>
          <w:tcPr>
            <w:tcW w:type="dxa" w:w="3231"/>
            <w:tcMar>
              <w:top w:w="90" w:type="dxa"/>
              <w:start w:w="110" w:type="dxa"/>
              <w:bottom w:w="90" w:type="dxa"/>
              <w:end w:w="110" w:type="dxa"/>
            </w:tcMar>
            <w:vAlign w:val="center"/>
          </w:tcPr>
          <w:p>
            <w:pPr>
              <w:jc w:val="left"/>
            </w:pPr>
            <w:r>
              <w:rPr>
                <w:rFonts w:ascii="DejaVu Serif" w:hAnsi="DejaVu Serif" w:eastAsia="DejaVu Serif"/>
                <w:b w:val="0"/>
                <w:i w:val="0"/>
                <w:sz w:val="16"/>
              </w:rPr>
              <w:t>BLOCK</w:t>
            </w:r>
          </w:p>
        </w:tc>
      </w:tr>
      <w:tr>
        <w:tc>
          <w:tcPr>
            <w:tcW w:type="dxa" w:w="1417"/>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M-dom</w:t>
            </w:r>
          </w:p>
        </w:tc>
        <w:tc>
          <w:tcPr>
            <w:tcW w:type="dxa" w:w="45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outside Dom/support</w:t>
            </w:r>
          </w:p>
        </w:tc>
        <w:tc>
          <w:tcPr>
            <w:tcW w:type="dxa" w:w="3231"/>
            <w:tcMar>
              <w:top w:w="90" w:type="dxa"/>
              <w:start w:w="110" w:type="dxa"/>
              <w:bottom w:w="90" w:type="dxa"/>
              <w:end w:w="110" w:type="dxa"/>
            </w:tcMar>
            <w:vAlign w:val="center"/>
            <w:shd w:fill="F4F7FA"/>
          </w:tcPr>
          <w:p>
            <w:pPr>
              <w:jc w:val="left"/>
            </w:pPr>
            <w:r>
              <w:rPr>
                <w:rFonts w:ascii="DejaVu Serif" w:hAnsi="DejaVu Serif" w:eastAsia="DejaVu Serif"/>
                <w:b w:val="0"/>
                <w:i w:val="0"/>
                <w:sz w:val="16"/>
              </w:rPr>
              <w:t>ABSTAIN or BLOCK</w:t>
            </w:r>
          </w:p>
        </w:tc>
      </w:tr>
      <w:tr>
        <w:tc>
          <w:tcPr>
            <w:tcW w:type="dxa" w:w="1417"/>
            <w:tcMar>
              <w:top w:w="90" w:type="dxa"/>
              <w:start w:w="110" w:type="dxa"/>
              <w:bottom w:w="90" w:type="dxa"/>
              <w:end w:w="110" w:type="dxa"/>
            </w:tcMar>
            <w:vAlign w:val="center"/>
          </w:tcPr>
          <w:p>
            <w:pPr>
              <w:jc w:val="center"/>
            </w:pPr>
            <w:r>
              <w:rPr>
                <w:rFonts w:ascii="DejaVu Serif" w:hAnsi="DejaVu Serif" w:eastAsia="DejaVu Serif"/>
                <w:b w:val="0"/>
                <w:i w:val="0"/>
                <w:sz w:val="16"/>
              </w:rPr>
              <w:t>M-harm</w:t>
            </w:r>
          </w:p>
        </w:tc>
        <w:tc>
          <w:tcPr>
            <w:tcW w:type="dxa" w:w="4535"/>
            <w:tcMar>
              <w:top w:w="90" w:type="dxa"/>
              <w:start w:w="110" w:type="dxa"/>
              <w:bottom w:w="90" w:type="dxa"/>
              <w:end w:w="110" w:type="dxa"/>
            </w:tcMar>
            <w:vAlign w:val="center"/>
          </w:tcPr>
          <w:p>
            <w:pPr>
              <w:jc w:val="left"/>
            </w:pPr>
            <w:r>
              <w:rPr>
                <w:rFonts w:ascii="DejaVu Serif" w:hAnsi="DejaVu Serif" w:eastAsia="DejaVu Serif"/>
                <w:b w:val="0"/>
                <w:i w:val="0"/>
                <w:sz w:val="16"/>
              </w:rPr>
              <w:t>increased delta_truth</w:t>
            </w:r>
          </w:p>
        </w:tc>
        <w:tc>
          <w:tcPr>
            <w:tcW w:type="dxa" w:w="3231"/>
            <w:tcMar>
              <w:top w:w="90" w:type="dxa"/>
              <w:start w:w="110" w:type="dxa"/>
              <w:bottom w:w="90" w:type="dxa"/>
              <w:end w:w="110" w:type="dxa"/>
            </w:tcMar>
            <w:vAlign w:val="center"/>
          </w:tcPr>
          <w:p>
            <w:pPr>
              <w:jc w:val="left"/>
            </w:pPr>
            <w:r>
              <w:rPr>
                <w:rFonts w:ascii="DejaVu Serif" w:hAnsi="DejaVu Serif" w:eastAsia="DejaVu Serif"/>
                <w:b w:val="0"/>
                <w:i w:val="0"/>
                <w:sz w:val="16"/>
              </w:rPr>
              <w:t>diagnostic / rebuild</w:t>
            </w:r>
          </w:p>
        </w:tc>
      </w:tr>
      <w:tr>
        <w:tc>
          <w:tcPr>
            <w:tcW w:type="dxa" w:w="1417"/>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M-loss</w:t>
            </w:r>
          </w:p>
        </w:tc>
        <w:tc>
          <w:tcPr>
            <w:tcW w:type="dxa" w:w="45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worse than matched null</w:t>
            </w:r>
          </w:p>
        </w:tc>
        <w:tc>
          <w:tcPr>
            <w:tcW w:type="dxa" w:w="3231"/>
            <w:tcMar>
              <w:top w:w="90" w:type="dxa"/>
              <w:start w:w="110" w:type="dxa"/>
              <w:bottom w:w="90" w:type="dxa"/>
              <w:end w:w="110" w:type="dxa"/>
            </w:tcMar>
            <w:vAlign w:val="center"/>
            <w:shd w:fill="F4F7FA"/>
          </w:tcPr>
          <w:p>
            <w:pPr>
              <w:jc w:val="left"/>
            </w:pPr>
            <w:r>
              <w:rPr>
                <w:rFonts w:ascii="DejaVu Serif" w:hAnsi="DejaVu Serif" w:eastAsia="DejaVu Serif"/>
                <w:b w:val="0"/>
                <w:i w:val="0"/>
                <w:sz w:val="16"/>
              </w:rPr>
              <w:t>FAIL / rebuild-version</w:t>
            </w:r>
          </w:p>
        </w:tc>
      </w:tr>
      <w:tr>
        <w:tc>
          <w:tcPr>
            <w:tcW w:type="dxa" w:w="1417"/>
            <w:tcMar>
              <w:top w:w="90" w:type="dxa"/>
              <w:start w:w="110" w:type="dxa"/>
              <w:bottom w:w="90" w:type="dxa"/>
              <w:end w:w="110" w:type="dxa"/>
            </w:tcMar>
            <w:vAlign w:val="center"/>
          </w:tcPr>
          <w:p>
            <w:pPr>
              <w:jc w:val="center"/>
            </w:pPr>
            <w:r>
              <w:rPr>
                <w:rFonts w:ascii="DejaVu Serif" w:hAnsi="DejaVu Serif" w:eastAsia="DejaVu Serif"/>
                <w:b w:val="0"/>
                <w:i w:val="0"/>
                <w:sz w:val="16"/>
              </w:rPr>
              <w:t>M-prov</w:t>
            </w:r>
          </w:p>
        </w:tc>
        <w:tc>
          <w:tcPr>
            <w:tcW w:type="dxa" w:w="4535"/>
            <w:tcMar>
              <w:top w:w="90" w:type="dxa"/>
              <w:start w:w="110" w:type="dxa"/>
              <w:bottom w:w="90" w:type="dxa"/>
              <w:end w:w="110" w:type="dxa"/>
            </w:tcMar>
            <w:vAlign w:val="center"/>
          </w:tcPr>
          <w:p>
            <w:pPr>
              <w:jc w:val="left"/>
            </w:pPr>
            <w:r>
              <w:rPr>
                <w:rFonts w:ascii="DejaVu Serif" w:hAnsi="DejaVu Serif" w:eastAsia="DejaVu Serif"/>
                <w:b w:val="0"/>
                <w:i w:val="0"/>
                <w:sz w:val="16"/>
              </w:rPr>
              <w:t>broken provenance or hash</w:t>
            </w:r>
          </w:p>
        </w:tc>
        <w:tc>
          <w:tcPr>
            <w:tcW w:type="dxa" w:w="3231"/>
            <w:tcMar>
              <w:top w:w="90" w:type="dxa"/>
              <w:start w:w="110" w:type="dxa"/>
              <w:bottom w:w="90" w:type="dxa"/>
              <w:end w:w="110" w:type="dxa"/>
            </w:tcMar>
            <w:vAlign w:val="center"/>
          </w:tcPr>
          <w:p>
            <w:pPr>
              <w:jc w:val="left"/>
            </w:pPr>
            <w:r>
              <w:rPr>
                <w:rFonts w:ascii="DejaVu Serif" w:hAnsi="DejaVu Serif" w:eastAsia="DejaVu Serif"/>
                <w:b w:val="0"/>
                <w:i w:val="0"/>
                <w:sz w:val="16"/>
              </w:rPr>
              <w:t>BLOCK</w:t>
            </w:r>
          </w:p>
        </w:tc>
      </w:tr>
      <w:tr>
        <w:tc>
          <w:tcPr>
            <w:tcW w:type="dxa" w:w="1417"/>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M-shift</w:t>
            </w:r>
          </w:p>
        </w:tc>
        <w:tc>
          <w:tcPr>
            <w:tcW w:type="dxa" w:w="45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population or epoch change</w:t>
            </w:r>
          </w:p>
        </w:tc>
        <w:tc>
          <w:tcPr>
            <w:tcW w:type="dxa" w:w="3231"/>
            <w:tcMar>
              <w:top w:w="90" w:type="dxa"/>
              <w:start w:w="110" w:type="dxa"/>
              <w:bottom w:w="90" w:type="dxa"/>
              <w:end w:w="110" w:type="dxa"/>
            </w:tcMar>
            <w:vAlign w:val="center"/>
            <w:shd w:fill="F4F7FA"/>
          </w:tcPr>
          <w:p>
            <w:pPr>
              <w:jc w:val="left"/>
            </w:pPr>
            <w:r>
              <w:rPr>
                <w:rFonts w:ascii="DejaVu Serif" w:hAnsi="DejaVu Serif" w:eastAsia="DejaVu Serif"/>
                <w:b w:val="0"/>
                <w:i w:val="0"/>
                <w:sz w:val="16"/>
              </w:rPr>
              <w:t>recalibrate</w:t>
            </w:r>
          </w:p>
        </w:tc>
      </w:tr>
    </w:tbl>
    <w:p>
      <w:pPr>
        <w:spacing w:after="40"/>
      </w:pPr>
    </w:p>
    <w:p>
      <w:pPr>
        <w:pStyle w:val="Heading2"/>
        <w:keepNext/>
      </w:pPr>
      <w:r>
        <w:t>50.2. Extended Reper Metric</w:t>
      </w:r>
    </w:p>
    <w:p>
      <w:pPr>
        <w:spacing w:before="80" w:after="100"/>
        <w:jc w:val="center"/>
      </w:pPr>
      <w:r>
        <w:rPr>
          <w:rFonts w:ascii="DejaVu Serif" w:hAnsi="DejaVu Serif" w:eastAsia="DejaVu Serif"/>
          <w:b w:val="0"/>
          <w:i w:val="0"/>
          <w:sz w:val="21"/>
        </w:rPr>
        <w:t>F030  d_R(r,s)=w_phi||phi(r)-phi(s)||+w_lambda|lambda_r-lambda_s|+w_D d_D(D_r,D_s)+P(r,s)</w:t>
      </w:r>
      <w:r>
        <w:rPr>
          <w:rFonts w:ascii="DejaVu Serif" w:hAnsi="DejaVu Serif" w:eastAsia="DejaVu Serif"/>
          <w:b w:val="0"/>
          <w:i/>
          <w:color w:val="6B7280"/>
          <w:sz w:val="17"/>
        </w:rPr>
        <w:t xml:space="preserve">    [RU p. 211]</w:t>
      </w:r>
    </w:p>
    <w:p>
      <w:pPr>
        <w:spacing w:before="80" w:after="100"/>
        <w:jc w:val="center"/>
      </w:pPr>
      <w:r>
        <w:rPr>
          <w:rFonts w:ascii="DejaVu Serif" w:hAnsi="DejaVu Serif" w:eastAsia="DejaVu Serif"/>
          <w:b w:val="0"/>
          <w:i w:val="0"/>
          <w:sz w:val="21"/>
        </w:rPr>
        <w:t>F031  P(r,s)=infinity if type/provenance/bracket incompatible</w:t>
      </w:r>
      <w:r>
        <w:rPr>
          <w:rFonts w:ascii="DejaVu Serif" w:hAnsi="DejaVu Serif" w:eastAsia="DejaVu Serif"/>
          <w:b w:val="0"/>
          <w:i/>
          <w:color w:val="6B7280"/>
          <w:sz w:val="17"/>
        </w:rPr>
        <w:t xml:space="preserve">    [RU p. 211]</w:t>
      </w:r>
    </w:p>
    <w:p>
      <w:pPr>
        <w:spacing w:after="80" w:line="269" w:lineRule="auto"/>
        <w:jc w:val="both"/>
      </w:pPr>
      <w:r>
        <w:rPr>
          <w:rFonts w:ascii="DejaVu Serif" w:hAnsi="DejaVu Serif" w:eastAsia="DejaVu Serif"/>
          <w:b w:val="0"/>
          <w:i w:val="0"/>
        </w:rPr>
        <w:t>Infinity is implemented by excluding a candidate before optimization, not by inserting an arbitrary large number whose scale could change the answer.</w:t>
      </w:r>
    </w:p>
    <w:p>
      <w:pPr>
        <w:pStyle w:val="Heading2"/>
        <w:keepNext/>
      </w:pPr>
      <w:r>
        <w:t>50.3. Nearest Rebuilding Operator</w:t>
      </w:r>
    </w:p>
    <w:p>
      <w:pPr>
        <w:spacing w:before="80" w:after="100"/>
        <w:jc w:val="center"/>
      </w:pPr>
      <w:r>
        <w:rPr>
          <w:rFonts w:ascii="DejaVu Serif" w:hAnsi="DejaVu Serif" w:eastAsia="DejaVu Serif"/>
          <w:b w:val="0"/>
          <w:i w:val="0"/>
          <w:sz w:val="21"/>
        </w:rPr>
        <w:t>F032  J_z(s|r)=d_R(r,s)+alpha Loss_z(s)+beta delta_truth(s)+gamma Complexity(s&lt;-r)</w:t>
      </w:r>
      <w:r>
        <w:rPr>
          <w:rFonts w:ascii="DejaVu Serif" w:hAnsi="DejaVu Serif" w:eastAsia="DejaVu Serif"/>
          <w:b w:val="0"/>
          <w:i/>
          <w:color w:val="6B7280"/>
          <w:sz w:val="17"/>
        </w:rPr>
        <w:t xml:space="preserve">    [RU p. 211]</w:t>
      </w:r>
    </w:p>
    <w:p>
      <w:pPr>
        <w:spacing w:before="80" w:after="100"/>
        <w:jc w:val="center"/>
      </w:pPr>
      <w:r>
        <w:rPr>
          <w:rFonts w:ascii="DejaVu Serif" w:hAnsi="DejaVu Serif" w:eastAsia="DejaVu Serif"/>
          <w:b w:val="0"/>
          <w:i w:val="0"/>
          <w:sz w:val="21"/>
        </w:rPr>
        <w:t>F033  R_z(r)=argmin_{s in N(r) intersection A_L(D union z)} J_z(s|r)</w:t>
      </w:r>
      <w:r>
        <w:rPr>
          <w:rFonts w:ascii="DejaVu Serif" w:hAnsi="DejaVu Serif" w:eastAsia="DejaVu Serif"/>
          <w:b w:val="0"/>
          <w:i/>
          <w:color w:val="6B7280"/>
          <w:sz w:val="17"/>
        </w:rPr>
        <w:t xml:space="preserve">    [RU p. 211]</w:t>
      </w:r>
    </w:p>
    <w:p>
      <w:pPr>
        <w:spacing w:before="100" w:after="60"/>
      </w:pPr>
      <w:r>
        <w:rPr>
          <w:rFonts w:ascii="DejaVu Serif" w:hAnsi="DejaVu Serif" w:eastAsia="DejaVu Serif"/>
          <w:b/>
          <w:i w:val="0"/>
          <w:color w:val="173B63"/>
        </w:rPr>
        <w:t xml:space="preserve">Theorem 50.1 - Existence [THM]. </w:t>
      </w:r>
      <w:r>
        <w:rPr>
          <w:rFonts w:ascii="DejaVu Serif" w:hAnsi="DejaVu Serif" w:eastAsia="DejaVu Serif"/>
          <w:b w:val="0"/>
          <w:i w:val="0"/>
        </w:rPr>
        <w:t>If N(r) intersection A_L is nonempty and compact and J_z is lower semicontinuous, then R_z(r) is nonempty.</w:t>
      </w:r>
    </w:p>
    <w:p>
      <w:pPr>
        <w:ind w:left="283" w:right="113"/>
        <w:jc w:val="both"/>
      </w:pPr>
      <w:r>
        <w:rPr>
          <w:rFonts w:ascii="DejaVu Serif" w:hAnsi="DejaVu Serif" w:eastAsia="DejaVu Serif"/>
          <w:b/>
          <w:i/>
        </w:rPr>
        <w:t xml:space="preserve">Proof. </w:t>
      </w:r>
      <w:r>
        <w:rPr>
          <w:rFonts w:ascii="DejaVu Serif" w:hAnsi="DejaVu Serif" w:eastAsia="DejaVu Serif"/>
          <w:b w:val="0"/>
          <w:i/>
        </w:rPr>
        <w:t>A lower semicontinuous function attains its minimum on a nonempty compact set. The minimizer set is closed and therefore compact.</w:t>
      </w:r>
    </w:p>
    <w:p>
      <w:pPr>
        <w:pStyle w:val="Heading2"/>
        <w:keepNext/>
      </w:pPr>
      <w:r>
        <w:t>50.4. Uniqueness and Stability Gap</w:t>
      </w:r>
    </w:p>
    <w:p>
      <w:pPr>
        <w:spacing w:before="80" w:after="100"/>
        <w:jc w:val="center"/>
      </w:pPr>
      <w:r>
        <w:rPr>
          <w:rFonts w:ascii="DejaVu Serif" w:hAnsi="DejaVu Serif" w:eastAsia="DejaVu Serif"/>
          <w:b w:val="0"/>
          <w:i w:val="0"/>
          <w:sz w:val="21"/>
        </w:rPr>
        <w:t>F034  Gamma=J_z(s2|r)-J_z(s*|r)</w:t>
      </w:r>
      <w:r>
        <w:rPr>
          <w:rFonts w:ascii="DejaVu Serif" w:hAnsi="DejaVu Serif" w:eastAsia="DejaVu Serif"/>
          <w:b w:val="0"/>
          <w:i/>
          <w:color w:val="6B7280"/>
          <w:sz w:val="17"/>
        </w:rPr>
        <w:t xml:space="preserve">    [RU p. 211]</w:t>
      </w:r>
    </w:p>
    <w:p>
      <w:pPr>
        <w:spacing w:before="80" w:after="100"/>
        <w:jc w:val="center"/>
      </w:pPr>
      <w:r>
        <w:rPr>
          <w:rFonts w:ascii="DejaVu Serif" w:hAnsi="DejaVu Serif" w:eastAsia="DejaVu Serif"/>
          <w:b w:val="0"/>
          <w:i w:val="0"/>
          <w:sz w:val="21"/>
        </w:rPr>
        <w:t>F035  Gamma&gt;0 =&gt; R_z(r)={s*}</w:t>
      </w:r>
      <w:r>
        <w:rPr>
          <w:rFonts w:ascii="DejaVu Serif" w:hAnsi="DejaVu Serif" w:eastAsia="DejaVu Serif"/>
          <w:b w:val="0"/>
          <w:i/>
          <w:color w:val="6B7280"/>
          <w:sz w:val="17"/>
        </w:rPr>
        <w:t xml:space="preserve">    [RU p. 211]</w:t>
      </w:r>
    </w:p>
    <w:p>
      <w:pPr>
        <w:spacing w:before="100" w:after="60"/>
      </w:pPr>
      <w:r>
        <w:rPr>
          <w:rFonts w:ascii="DejaVu Serif" w:hAnsi="DejaVu Serif" w:eastAsia="DejaVu Serif"/>
          <w:b/>
          <w:i w:val="0"/>
          <w:color w:val="173B63"/>
        </w:rPr>
        <w:t xml:space="preserve">Theorem 50.2 - Stability of a finite choice [THM]. </w:t>
      </w:r>
      <w:r>
        <w:rPr>
          <w:rFonts w:ascii="DejaVu Serif" w:hAnsi="DejaVu Serif" w:eastAsia="DejaVu Serif"/>
          <w:b w:val="0"/>
          <w:i w:val="0"/>
        </w:rPr>
        <w:t>Suppose |J_zprime(s|r)-J_z(s|r)|&lt;=epsilon for every candidate and Gamma&gt;2epsilon. Then s* remains the unique minimizer after replacing z by z-prime.</w:t>
      </w:r>
    </w:p>
    <w:p>
      <w:pPr>
        <w:ind w:left="283" w:right="113"/>
        <w:jc w:val="both"/>
      </w:pPr>
      <w:r>
        <w:rPr>
          <w:rFonts w:ascii="DejaVu Serif" w:hAnsi="DejaVu Serif" w:eastAsia="DejaVu Serif"/>
          <w:b/>
          <w:i/>
        </w:rPr>
        <w:t xml:space="preserve">Proof. </w:t>
      </w:r>
      <w:r>
        <w:rPr>
          <w:rFonts w:ascii="DejaVu Serif" w:hAnsi="DejaVu Serif" w:eastAsia="DejaVu Serif"/>
          <w:b w:val="0"/>
          <w:i/>
        </w:rPr>
        <w:t>The best value may increase by at most epsilon and every competitor may decrease by at most epsilon. The surviving advantage is at least Gamma-2epsilon&gt;0.</w:t>
      </w:r>
    </w:p>
    <w:p>
      <w:pPr>
        <w:spacing w:before="80" w:after="100"/>
        <w:jc w:val="center"/>
      </w:pPr>
      <w:r>
        <w:rPr>
          <w:rFonts w:ascii="DejaVu Serif" w:hAnsi="DejaVu Serif" w:eastAsia="DejaVu Serif"/>
          <w:b w:val="0"/>
          <w:i w:val="0"/>
          <w:sz w:val="21"/>
        </w:rPr>
        <w:t>F036  Gamma&gt;2epsilon =&gt; argmin J_z' = argmin J_z</w:t>
      </w:r>
      <w:r>
        <w:rPr>
          <w:rFonts w:ascii="DejaVu Serif" w:hAnsi="DejaVu Serif" w:eastAsia="DejaVu Serif"/>
          <w:b w:val="0"/>
          <w:i/>
          <w:color w:val="6B7280"/>
          <w:sz w:val="17"/>
        </w:rPr>
        <w:t xml:space="preserve">    [RU p. 212]</w:t>
      </w:r>
    </w:p>
    <w:p>
      <w:pPr>
        <w:pStyle w:val="Heading2"/>
        <w:keepNext/>
      </w:pPr>
      <w:r>
        <w:t>50.5. Nonassociative Revision History</w:t>
      </w:r>
    </w:p>
    <w:p>
      <w:pPr>
        <w:spacing w:before="80" w:after="100"/>
        <w:jc w:val="center"/>
      </w:pPr>
      <w:r>
        <w:rPr>
          <w:rFonts w:ascii="DejaVu Serif" w:hAnsi="DejaVu Serif" w:eastAsia="DejaVu Serif"/>
          <w:b w:val="0"/>
          <w:i w:val="0"/>
          <w:sz w:val="21"/>
        </w:rPr>
        <w:t>F037  R_z2(R_z1(r)) != R_(z1 union z2)(r) in general</w:t>
      </w:r>
      <w:r>
        <w:rPr>
          <w:rFonts w:ascii="DejaVu Serif" w:hAnsi="DejaVu Serif" w:eastAsia="DejaVu Serif"/>
          <w:b w:val="0"/>
          <w:i/>
          <w:color w:val="6B7280"/>
          <w:sz w:val="17"/>
        </w:rPr>
        <w:t xml:space="preserve">    [RU p. 212]</w:t>
      </w:r>
    </w:p>
    <w:p>
      <w:pPr>
        <w:spacing w:after="80" w:line="269" w:lineRule="auto"/>
        <w:jc w:val="both"/>
      </w:pPr>
      <w:r>
        <w:rPr>
          <w:rFonts w:ascii="DejaVu Serif" w:hAnsi="DejaVu Serif" w:eastAsia="DejaVu Serif"/>
          <w:b w:val="0"/>
          <w:i w:val="0"/>
        </w:rPr>
        <w:t>Sequential and batch rebuilding are distinct protocols. Every chain stores parent_id, bracket, batch boundary, hash, and deterministic tie rule. Merging chains creates a new proof object and never overwrites history.</w:t>
      </w:r>
    </w:p>
    <w:p>
      <w:pPr>
        <w:pStyle w:val="Heading2"/>
        <w:keepNext/>
      </w:pPr>
      <w:r>
        <w:t>50.6. Matched-Null Rebuilding</w:t>
      </w:r>
    </w:p>
    <w:p>
      <w:pPr>
        <w:spacing w:before="80" w:after="100"/>
        <w:jc w:val="center"/>
      </w:pPr>
      <w:r>
        <w:rPr>
          <w:rFonts w:ascii="DejaVu Serif" w:hAnsi="DejaVu Serif" w:eastAsia="DejaVu Serif"/>
          <w:b w:val="0"/>
          <w:i w:val="0"/>
          <w:sz w:val="21"/>
        </w:rPr>
        <w:t>F038  Gain_rebuild=L(matched-null search)-L(KLT rebuild)</w:t>
      </w:r>
      <w:r>
        <w:rPr>
          <w:rFonts w:ascii="DejaVu Serif" w:hAnsi="DejaVu Serif" w:eastAsia="DejaVu Serif"/>
          <w:b w:val="0"/>
          <w:i/>
          <w:color w:val="6B7280"/>
          <w:sz w:val="17"/>
        </w:rPr>
        <w:t xml:space="preserve">    [RU p. 212]</w:t>
      </w:r>
    </w:p>
    <w:p>
      <w:pPr>
        <w:spacing w:after="80" w:line="269" w:lineRule="auto"/>
        <w:jc w:val="both"/>
      </w:pPr>
      <w:r>
        <w:rPr>
          <w:rFonts w:ascii="DejaVu Serif" w:hAnsi="DejaVu Serif" w:eastAsia="DejaVu Serif"/>
          <w:b w:val="0"/>
          <w:i w:val="0"/>
        </w:rPr>
        <w:t>The matched null receives the same candidate set, search budget, and planning information. Comparing a rich search with a fixed random point exaggerates gain.</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Rebuilding is not erasure of the past. It becomes rational only when it preserves the trace of the failed form and states the rule that produced the new one.</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REBUILD-STABILITY-CERT v196i14. </w:t>
            </w:r>
            <w:r>
              <w:rPr>
                <w:rFonts w:ascii="DejaVu Serif" w:hAnsi="DejaVu Serif" w:eastAsia="DejaVu Serif"/>
                <w:b w:val="0"/>
                <w:i w:val="0"/>
                <w:sz w:val="18"/>
              </w:rPr>
              <w:t>mismatch=typed; distance=extended-metric; candidates=registered; argmin=set-valued; existence=compact-lsc; uniqueness=positive-gap; stability=gap-over-2epsilon; revision=versioned; matched-null=equal-search-budget.</w:t>
            </w:r>
          </w:p>
        </w:tc>
      </w:tr>
    </w:tbl>
    <w:p>
      <w:pPr>
        <w:spacing w:after="40"/>
      </w:pPr>
    </w:p>
    <w:p>
      <w:pPr>
        <w:pStyle w:val="Heading1"/>
        <w:keepNext/>
      </w:pPr>
      <w:bookmarkStart w:id="1050" w:name="T1_CH_51"/>
      <w:r>
        <w:t>Chapter 51. RBD as an Operator of Propagation and Contraction</w:t>
      </w:r>
      <w:bookmarkEnd w:id="1050"/>
    </w:p>
    <w:p>
      <w:pPr>
        <w:spacing w:after="80" w:line="269" w:lineRule="auto"/>
        <w:jc w:val="both"/>
      </w:pPr>
      <w:r>
        <w:rPr>
          <w:rFonts w:ascii="DejaVu Serif" w:hAnsi="DejaVu Serif" w:eastAsia="DejaVu Serif"/>
          <w:b w:val="0"/>
          <w:i w:val="0"/>
        </w:rPr>
        <w:t>Russian source locator: pp. 213-214</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When can a Reper database participate in a mathematical forecast rather than remain a catalogue?</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Its nodes, edge types, weights, limits, provenance, damping, and stopping rule are typed explicitly.</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A substochastic kernel with alpha&lt;1 gives a contraction and a unique fixed evidence vector.</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The fixed vector is not a probability of truth, and the edge count does not imply that every edge has been externally validated.</w:t>
            </w:r>
          </w:p>
        </w:tc>
      </w:tr>
    </w:tbl>
    <w:p>
      <w:pPr>
        <w:spacing w:after="40"/>
      </w:pPr>
    </w:p>
    <w:p>
      <w:pPr>
        <w:keepNext/>
        <w:jc w:val="center"/>
      </w:pPr>
      <w:r>
        <w:drawing>
          <wp:inline xmlns:a="http://schemas.openxmlformats.org/drawingml/2006/main" xmlns:pic="http://schemas.openxmlformats.org/drawingml/2006/picture">
            <wp:extent cx="5623560" cy="2510902"/>
            <wp:docPr id="54" name="Picture 54"/>
            <wp:cNvGraphicFramePr>
              <a:graphicFrameLocks noChangeAspect="1"/>
            </wp:cNvGraphicFramePr>
            <a:graphic>
              <a:graphicData uri="http://schemas.openxmlformats.org/drawingml/2006/picture">
                <pic:pic>
                  <pic:nvPicPr>
                    <pic:cNvPr id="0" name="fig51_rbd.png"/>
                    <pic:cNvPicPr/>
                  </pic:nvPicPr>
                  <pic:blipFill>
                    <a:blip r:embed="rId66"/>
                    <a:stretch>
                      <a:fillRect/>
                    </a:stretch>
                  </pic:blipFill>
                  <pic:spPr>
                    <a:xfrm>
                      <a:off x="0" y="0"/>
                      <a:ext cx="5623560" cy="2510902"/>
                    </a:xfrm>
                    <a:prstGeom prst="rect"/>
                  </pic:spPr>
                </pic:pic>
              </a:graphicData>
            </a:graphic>
          </wp:inline>
        </w:drawing>
      </w:r>
    </w:p>
    <w:p>
      <w:pPr>
        <w:pStyle w:val="Caption"/>
        <w:spacing w:before="40" w:after="160"/>
        <w:jc w:val="center"/>
      </w:pPr>
      <w:bookmarkStart w:id="1111" w:name="T1_FIG_053"/>
      <w:r>
        <w:t>Figure 51.1. Typed graph filtering, abstention mass, contraction, and uncertainty envelope.</w:t>
      </w:r>
      <w:bookmarkEnd w:id="1111"/>
    </w:p>
    <w:p>
      <w:pPr>
        <w:pStyle w:val="Heading2"/>
        <w:keepNext/>
      </w:pPr>
      <w:r>
        <w:t>51.1. Audited Atlas v2.1 Counts</w:t>
      </w:r>
    </w:p>
    <w:p>
      <w:pPr>
        <w:spacing w:before="80" w:after="100"/>
        <w:jc w:val="center"/>
      </w:pPr>
      <w:r>
        <w:rPr>
          <w:rFonts w:ascii="DejaVu Serif" w:hAnsi="DejaVu Serif" w:eastAsia="DejaVu Serif"/>
          <w:b w:val="0"/>
          <w:i w:val="0"/>
          <w:sz w:val="21"/>
        </w:rPr>
        <w:t>F039  |S|=236; |W|=1145; |V_R|=2212; |E_R|=2478</w:t>
      </w:r>
      <w:r>
        <w:rPr>
          <w:rFonts w:ascii="DejaVu Serif" w:hAnsi="DejaVu Serif" w:eastAsia="DejaVu Serif"/>
          <w:b w:val="0"/>
          <w:i/>
          <w:color w:val="6B7280"/>
          <w:sz w:val="17"/>
        </w:rPr>
        <w:t xml:space="preserve">    [RU p. 213]</w:t>
      </w:r>
    </w:p>
    <w:p>
      <w:pPr>
        <w:spacing w:after="80" w:line="269" w:lineRule="auto"/>
        <w:jc w:val="both"/>
      </w:pPr>
      <w:r>
        <w:rPr>
          <w:rFonts w:ascii="DejaVu Serif" w:hAnsi="DejaVu Serif" w:eastAsia="DejaVu Serif"/>
          <w:b w:val="0"/>
          <w:i w:val="0"/>
        </w:rPr>
        <w:t>These are counts of the attached Atlas v2.1 file, not universal sizes of the project. Every usable edge carries edge_type, source_id, work_id, confidence, limit tags, time span, and provenance.</w:t>
      </w:r>
    </w:p>
    <w:p>
      <w:pPr>
        <w:pStyle w:val="Heading2"/>
        <w:keepNext/>
      </w:pPr>
      <w:r>
        <w:t>51.2. Typed Graph and Substochastic Kernel</w:t>
      </w:r>
    </w:p>
    <w:p>
      <w:pPr>
        <w:spacing w:before="80" w:after="100"/>
        <w:jc w:val="center"/>
      </w:pPr>
      <w:r>
        <w:rPr>
          <w:rFonts w:ascii="DejaVu Serif" w:hAnsi="DejaVu Serif" w:eastAsia="DejaVu Serif"/>
          <w:b w:val="0"/>
          <w:i w:val="0"/>
          <w:sz w:val="21"/>
        </w:rPr>
        <w:t>F040  G_RBD=(V,E,tau_V,tau_E,prov,w,L)</w:t>
      </w:r>
      <w:r>
        <w:rPr>
          <w:rFonts w:ascii="DejaVu Serif" w:hAnsi="DejaVu Serif" w:eastAsia="DejaVu Serif"/>
          <w:b w:val="0"/>
          <w:i/>
          <w:color w:val="6B7280"/>
          <w:sz w:val="17"/>
        </w:rPr>
        <w:t xml:space="preserve">    [RU p. 213]</w:t>
      </w:r>
    </w:p>
    <w:p>
      <w:pPr>
        <w:spacing w:before="80" w:after="100"/>
        <w:jc w:val="center"/>
      </w:pPr>
      <w:r>
        <w:rPr>
          <w:rFonts w:ascii="DejaVu Serif" w:hAnsi="DejaVu Serif" w:eastAsia="DejaVu Serif"/>
          <w:b w:val="0"/>
          <w:i w:val="0"/>
          <w:sz w:val="21"/>
        </w:rPr>
        <w:t>F041  P_ij=w_ij/max(1,sum_k w_ik); sum_j P_ij&lt;=1</w:t>
      </w:r>
      <w:r>
        <w:rPr>
          <w:rFonts w:ascii="DejaVu Serif" w:hAnsi="DejaVu Serif" w:eastAsia="DejaVu Serif"/>
          <w:b w:val="0"/>
          <w:i/>
          <w:color w:val="6B7280"/>
          <w:sz w:val="17"/>
        </w:rPr>
        <w:t xml:space="preserve">    [RU p. 213]</w:t>
      </w:r>
    </w:p>
    <w:p>
      <w:pPr>
        <w:spacing w:before="80" w:after="100"/>
        <w:jc w:val="center"/>
      </w:pPr>
      <w:r>
        <w:rPr>
          <w:rFonts w:ascii="DejaVu Serif" w:hAnsi="DejaVu Serif" w:eastAsia="DejaVu Serif"/>
          <w:b w:val="0"/>
          <w:i w:val="0"/>
          <w:sz w:val="21"/>
        </w:rPr>
        <w:t>F042  P_(i,ABSTAIN)=1-sum_j P_ij</w:t>
      </w:r>
      <w:r>
        <w:rPr>
          <w:rFonts w:ascii="DejaVu Serif" w:hAnsi="DejaVu Serif" w:eastAsia="DejaVu Serif"/>
          <w:b w:val="0"/>
          <w:i/>
          <w:color w:val="6B7280"/>
          <w:sz w:val="17"/>
        </w:rPr>
        <w:t xml:space="preserve">    [RU p. 213]</w:t>
      </w:r>
    </w:p>
    <w:p>
      <w:pPr>
        <w:spacing w:after="80" w:line="269" w:lineRule="auto"/>
        <w:jc w:val="both"/>
      </w:pPr>
      <w:r>
        <w:rPr>
          <w:rFonts w:ascii="DejaVu Serif" w:hAnsi="DejaVu Serif" w:eastAsia="DejaVu Serif"/>
          <w:b w:val="0"/>
          <w:i w:val="0"/>
        </w:rPr>
        <w:t>Mass removed by gates is not silently redistributed. It enters an explicit abstention state. Separate adjacency matrices are constructed for each allowed route of node and edge types.</w:t>
      </w:r>
    </w:p>
    <w:p>
      <w:pPr>
        <w:pStyle w:val="Heading2"/>
        <w:keepNext/>
      </w:pPr>
      <w:r>
        <w:t>51.3. Propagation Operator</w:t>
      </w:r>
    </w:p>
    <w:p>
      <w:pPr>
        <w:spacing w:before="80" w:after="100"/>
        <w:jc w:val="center"/>
      </w:pPr>
      <w:r>
        <w:rPr>
          <w:rFonts w:ascii="DejaVu Serif" w:hAnsi="DejaVu Serif" w:eastAsia="DejaVu Serif"/>
          <w:b w:val="0"/>
          <w:i w:val="0"/>
          <w:sz w:val="21"/>
        </w:rPr>
        <w:t>F043  T(x)=q+alpha P^T x; 0&lt;=alpha&lt;1</w:t>
      </w:r>
      <w:r>
        <w:rPr>
          <w:rFonts w:ascii="DejaVu Serif" w:hAnsi="DejaVu Serif" w:eastAsia="DejaVu Serif"/>
          <w:b w:val="0"/>
          <w:i/>
          <w:color w:val="6B7280"/>
          <w:sz w:val="17"/>
        </w:rPr>
        <w:t xml:space="preserve">    [RU p. 213]</w:t>
      </w:r>
    </w:p>
    <w:p>
      <w:pPr>
        <w:spacing w:before="100" w:after="60"/>
      </w:pPr>
      <w:r>
        <w:rPr>
          <w:rFonts w:ascii="DejaVu Serif" w:hAnsi="DejaVu Serif" w:eastAsia="DejaVu Serif"/>
          <w:b/>
          <w:i w:val="0"/>
          <w:color w:val="173B63"/>
        </w:rPr>
        <w:t xml:space="preserve">Theorem 51.1 - Contraction [THM]. </w:t>
      </w:r>
      <w:r>
        <w:rPr>
          <w:rFonts w:ascii="DejaVu Serif" w:hAnsi="DejaVu Serif" w:eastAsia="DejaVu Serif"/>
          <w:b w:val="0"/>
          <w:i w:val="0"/>
        </w:rPr>
        <w:t>In the l1 norm, T is a contraction with coefficient at most alpha.</w:t>
      </w:r>
    </w:p>
    <w:p>
      <w:pPr>
        <w:ind w:left="283" w:right="113"/>
        <w:jc w:val="both"/>
      </w:pPr>
      <w:r>
        <w:rPr>
          <w:rFonts w:ascii="DejaVu Serif" w:hAnsi="DejaVu Serif" w:eastAsia="DejaVu Serif"/>
          <w:b/>
          <w:i/>
        </w:rPr>
        <w:t xml:space="preserve">Proof. </w:t>
      </w:r>
      <w:r>
        <w:rPr>
          <w:rFonts w:ascii="DejaVu Serif" w:hAnsi="DejaVu Serif" w:eastAsia="DejaVu Serif"/>
          <w:b w:val="0"/>
          <w:i/>
        </w:rPr>
        <w:t>For a row-substochastic P, the induced l1 norm of P^T is at most one. Hence ||T(x)-T(y)||_1 = alpha||P^T(x-y)||_1 &lt;= alpha||x-y||_1.</w:t>
      </w:r>
    </w:p>
    <w:p>
      <w:pPr>
        <w:spacing w:before="80" w:after="100"/>
        <w:jc w:val="center"/>
      </w:pPr>
      <w:r>
        <w:rPr>
          <w:rFonts w:ascii="DejaVu Serif" w:hAnsi="DejaVu Serif" w:eastAsia="DejaVu Serif"/>
          <w:b w:val="0"/>
          <w:i w:val="0"/>
          <w:sz w:val="21"/>
        </w:rPr>
        <w:t>F044  ||T(x)-T(y)||_1 &lt;= alpha||x-y||_1</w:t>
      </w:r>
      <w:r>
        <w:rPr>
          <w:rFonts w:ascii="DejaVu Serif" w:hAnsi="DejaVu Serif" w:eastAsia="DejaVu Serif"/>
          <w:b w:val="0"/>
          <w:i/>
          <w:color w:val="6B7280"/>
          <w:sz w:val="17"/>
        </w:rPr>
        <w:t xml:space="preserve">    [RU p. 213]</w:t>
      </w:r>
    </w:p>
    <w:p>
      <w:pPr>
        <w:spacing w:before="100" w:after="60"/>
      </w:pPr>
      <w:r>
        <w:rPr>
          <w:rFonts w:ascii="DejaVu Serif" w:hAnsi="DejaVu Serif" w:eastAsia="DejaVu Serif"/>
          <w:b/>
          <w:i w:val="0"/>
          <w:color w:val="173B63"/>
        </w:rPr>
        <w:t xml:space="preserve">Corollary 51.1 - Unique fixed vector [THM]. </w:t>
      </w:r>
      <w:r>
        <w:rPr>
          <w:rFonts w:ascii="DejaVu Serif" w:hAnsi="DejaVu Serif" w:eastAsia="DejaVu Serif"/>
          <w:b w:val="0"/>
          <w:i w:val="0"/>
        </w:rPr>
        <w:t>Banach fixed-point theory gives a unique x*, and x^(k+1)=T(x^k) converges geometrically.</w:t>
      </w:r>
    </w:p>
    <w:p>
      <w:pPr>
        <w:ind w:left="283" w:right="113"/>
        <w:jc w:val="both"/>
      </w:pPr>
      <w:r>
        <w:rPr>
          <w:rFonts w:ascii="DejaVu Serif" w:hAnsi="DejaVu Serif" w:eastAsia="DejaVu Serif"/>
          <w:b/>
          <w:i/>
        </w:rPr>
        <w:t xml:space="preserve">Proof. </w:t>
      </w:r>
      <w:r>
        <w:rPr>
          <w:rFonts w:ascii="DejaVu Serif" w:hAnsi="DejaVu Serif" w:eastAsia="DejaVu Serif"/>
          <w:b w:val="0"/>
          <w:i/>
        </w:rPr>
        <w:t>The affine contraction has a unique fixed point and the standard contraction estimate gives the rate.</w:t>
      </w:r>
    </w:p>
    <w:p>
      <w:pPr>
        <w:spacing w:before="80" w:after="100"/>
        <w:jc w:val="center"/>
      </w:pPr>
      <w:r>
        <w:rPr>
          <w:rFonts w:ascii="DejaVu Serif" w:hAnsi="DejaVu Serif" w:eastAsia="DejaVu Serif"/>
          <w:b w:val="0"/>
          <w:i w:val="0"/>
          <w:sz w:val="21"/>
        </w:rPr>
        <w:t>F045  x*=(I-alpha P^T)^(-1)q</w:t>
      </w:r>
      <w:r>
        <w:rPr>
          <w:rFonts w:ascii="DejaVu Serif" w:hAnsi="DejaVu Serif" w:eastAsia="DejaVu Serif"/>
          <w:b w:val="0"/>
          <w:i/>
          <w:color w:val="6B7280"/>
          <w:sz w:val="17"/>
        </w:rPr>
        <w:t xml:space="preserve">    [RU p. 213]</w:t>
      </w:r>
    </w:p>
    <w:p>
      <w:pPr>
        <w:spacing w:before="80" w:after="100"/>
        <w:jc w:val="center"/>
      </w:pPr>
      <w:r>
        <w:rPr>
          <w:rFonts w:ascii="DejaVu Serif" w:hAnsi="DejaVu Serif" w:eastAsia="DejaVu Serif"/>
          <w:b w:val="0"/>
          <w:i w:val="0"/>
          <w:sz w:val="21"/>
        </w:rPr>
        <w:t>F046  ||x^(k)-x*||_1 &lt;= alpha^k ||x^(0)-x*||_1</w:t>
      </w:r>
      <w:r>
        <w:rPr>
          <w:rFonts w:ascii="DejaVu Serif" w:hAnsi="DejaVu Serif" w:eastAsia="DejaVu Serif"/>
          <w:b w:val="0"/>
          <w:i/>
          <w:color w:val="6B7280"/>
          <w:sz w:val="17"/>
        </w:rPr>
        <w:t xml:space="preserve">    [RU p. 213]</w:t>
      </w:r>
    </w:p>
    <w:p>
      <w:pPr>
        <w:pStyle w:val="Heading2"/>
        <w:keepNext/>
      </w:pPr>
      <w:r>
        <w:t>51.4. Graph Perturbation</w:t>
      </w:r>
    </w:p>
    <w:p>
      <w:pPr>
        <w:spacing w:before="80" w:after="100"/>
        <w:jc w:val="center"/>
      </w:pPr>
      <w:r>
        <w:rPr>
          <w:rFonts w:ascii="DejaVu Serif" w:hAnsi="DejaVu Serif" w:eastAsia="DejaVu Serif"/>
          <w:b w:val="0"/>
          <w:i w:val="0"/>
          <w:sz w:val="21"/>
        </w:rPr>
        <w:t>F047  ||x*-x'*||_1 &lt;= [||q-q'||_1+alpha||(P-P')^T x'*||_1]/(1-alpha)</w:t>
      </w:r>
      <w:r>
        <w:rPr>
          <w:rFonts w:ascii="DejaVu Serif" w:hAnsi="DejaVu Serif" w:eastAsia="DejaVu Serif"/>
          <w:b w:val="0"/>
          <w:i/>
          <w:color w:val="6B7280"/>
          <w:sz w:val="17"/>
        </w:rPr>
        <w:t xml:space="preserve">    [RU p. 213]</w:t>
      </w:r>
    </w:p>
    <w:p>
      <w:pPr>
        <w:spacing w:after="80" w:line="269" w:lineRule="auto"/>
        <w:jc w:val="both"/>
      </w:pPr>
      <w:r>
        <w:rPr>
          <w:rFonts w:ascii="DejaVu Serif" w:hAnsi="DejaVu Serif" w:eastAsia="DejaVu Serif"/>
          <w:b w:val="0"/>
          <w:i w:val="0"/>
        </w:rPr>
        <w:t>As alpha approaches one, the denominator becomes small and the fixed vector becomes sensitive to edge provenance. Alpha is selected before evaluation, and a sensitivity report is mandatory.</w:t>
      </w:r>
    </w:p>
    <w:p>
      <w:pPr>
        <w:pStyle w:val="Heading2"/>
        <w:keepNext/>
      </w:pPr>
      <w:r>
        <w:t>51.5. Interval Evidence Mass</w:t>
      </w:r>
    </w:p>
    <w:p>
      <w:pPr>
        <w:spacing w:before="80" w:after="100"/>
        <w:jc w:val="center"/>
      </w:pPr>
      <w:r>
        <w:rPr>
          <w:rFonts w:ascii="DejaVu Serif" w:hAnsi="DejaVu Serif" w:eastAsia="DejaVu Serif"/>
          <w:b w:val="0"/>
          <w:i w:val="0"/>
          <w:sz w:val="21"/>
        </w:rPr>
        <w:t>F048  T_minus(x)&lt;=T(x)&lt;=T_plus(x)</w:t>
      </w:r>
      <w:r>
        <w:rPr>
          <w:rFonts w:ascii="DejaVu Serif" w:hAnsi="DejaVu Serif" w:eastAsia="DejaVu Serif"/>
          <w:b w:val="0"/>
          <w:i/>
          <w:color w:val="6B7280"/>
          <w:sz w:val="17"/>
        </w:rPr>
        <w:t xml:space="preserve">    [RU p. 214]</w:t>
      </w:r>
    </w:p>
    <w:p>
      <w:pPr>
        <w:spacing w:before="80" w:after="100"/>
        <w:jc w:val="center"/>
      </w:pPr>
      <w:r>
        <w:rPr>
          <w:rFonts w:ascii="DejaVu Serif" w:hAnsi="DejaVu Serif" w:eastAsia="DejaVu Serif"/>
          <w:b w:val="0"/>
          <w:i w:val="0"/>
          <w:sz w:val="21"/>
        </w:rPr>
        <w:t>F049  x_minus*&lt;=x*&lt;=x_plus*</w:t>
      </w:r>
      <w:r>
        <w:rPr>
          <w:rFonts w:ascii="DejaVu Serif" w:hAnsi="DejaVu Serif" w:eastAsia="DejaVu Serif"/>
          <w:b w:val="0"/>
          <w:i/>
          <w:color w:val="6B7280"/>
          <w:sz w:val="17"/>
        </w:rPr>
        <w:t xml:space="preserve">    [RU p. 214]</w:t>
      </w:r>
    </w:p>
    <w:p>
      <w:pPr>
        <w:spacing w:after="80" w:line="269" w:lineRule="auto"/>
        <w:jc w:val="both"/>
      </w:pPr>
      <w:r>
        <w:rPr>
          <w:rFonts w:ascii="DejaVu Serif" w:hAnsi="DejaVu Serif" w:eastAsia="DejaVu Serif"/>
          <w:b w:val="0"/>
          <w:i w:val="0"/>
        </w:rPr>
        <w:t>The width x_plus*-x_minus* is epistemic uncertainty of the graph. It is reported separately from the predictive corridor for future Y.</w:t>
      </w:r>
    </w:p>
    <w:p>
      <w:pPr>
        <w:pStyle w:val="Heading2"/>
        <w:keepNext/>
      </w:pPr>
      <w:r>
        <w:t>51.6. Executability Boundary</w:t>
      </w:r>
    </w:p>
    <w:p>
      <w:pPr>
        <w:spacing w:after="80" w:line="269" w:lineRule="auto"/>
        <w:jc w:val="both"/>
      </w:pPr>
      <w:r>
        <w:rPr>
          <w:rFonts w:ascii="DejaVu Serif" w:hAnsi="DejaVu Serif" w:eastAsia="DejaVu Serif"/>
          <w:b w:val="0"/>
          <w:i w:val="0"/>
        </w:rPr>
        <w:t>The theorems apply to the declared typed kernel. They do not establish that all 2478 edges passed domain validation or that an external forecast was performed. Execution still requires a frozen adapter, target population, outcome, horizon, and independent ext corpus.</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A memory graph can amplify evidence and can also amplify a provenance error. Contraction makes propagation mathematically stable; validation of edges makes it historically meaningful.</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RBD-CONTRACTION-CERT v196i14. </w:t>
            </w:r>
            <w:r>
              <w:rPr>
                <w:rFonts w:ascii="DejaVu Serif" w:hAnsi="DejaVu Serif" w:eastAsia="DejaVu Serif"/>
                <w:b w:val="0"/>
                <w:i w:val="0"/>
                <w:sz w:val="18"/>
              </w:rPr>
              <w:t>atlas-counts={236,1145,2212,2478}; graph=typed; kernel=substochastic; abstention-mass=explicit; alpha&lt;1; contraction=proved; fixed-point=unique; perturbation=bounded; external-run=not-executed.</w:t>
            </w:r>
          </w:p>
        </w:tc>
      </w:tr>
    </w:tbl>
    <w:p>
      <w:pPr>
        <w:spacing w:after="40"/>
      </w:pPr>
    </w:p>
    <w:p>
      <w:pPr>
        <w:pStyle w:val="Heading1"/>
        <w:keepNext/>
      </w:pPr>
      <w:bookmarkStart w:id="1051" w:name="T1_CH_52"/>
      <w:r>
        <w:t>Chapter 52. Main Conditional Theorem of the Predictive Method</w:t>
      </w:r>
      <w:bookmarkEnd w:id="1051"/>
    </w:p>
    <w:p>
      <w:pPr>
        <w:spacing w:after="80" w:line="269" w:lineRule="auto"/>
        <w:jc w:val="both"/>
      </w:pPr>
      <w:r>
        <w:rPr>
          <w:rFonts w:ascii="DejaVu Serif" w:hAnsi="DejaVu Serif" w:eastAsia="DejaVu Serif"/>
          <w:b w:val="0"/>
          <w:i w:val="0"/>
        </w:rPr>
        <w:t>Russian source locator: pp. 215-222</w:t>
      </w:r>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What exactly does the final theorem promise?</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It combines typed composition, projective invariance, monotone limits, stable rebuilding, RBD contraction, calibration, sequential testing, and multiplicity control.</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Every conclusion is conditional on explicit assumptions A1-A14 and bridge hypotheses B1-B8.</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It does not promise an error-free future, a universal physical PN.2, or automatic promotion to a truth layer.</w:t>
            </w:r>
          </w:p>
        </w:tc>
      </w:tr>
    </w:tbl>
    <w:p>
      <w:pPr>
        <w:spacing w:after="40"/>
      </w:pPr>
    </w:p>
    <w:p>
      <w:pPr>
        <w:keepNext/>
        <w:jc w:val="center"/>
      </w:pPr>
      <w:r>
        <w:drawing>
          <wp:inline xmlns:a="http://schemas.openxmlformats.org/drawingml/2006/main" xmlns:pic="http://schemas.openxmlformats.org/drawingml/2006/picture">
            <wp:extent cx="5623560" cy="2510902"/>
            <wp:docPr id="55" name="Picture 55"/>
            <wp:cNvGraphicFramePr>
              <a:graphicFrameLocks noChangeAspect="1"/>
            </wp:cNvGraphicFramePr>
            <a:graphic>
              <a:graphicData uri="http://schemas.openxmlformats.org/drawingml/2006/picture">
                <pic:pic>
                  <pic:nvPicPr>
                    <pic:cNvPr id="0" name="fig52_master.png"/>
                    <pic:cNvPicPr/>
                  </pic:nvPicPr>
                  <pic:blipFill>
                    <a:blip r:embed="rId67"/>
                    <a:stretch>
                      <a:fillRect/>
                    </a:stretch>
                  </pic:blipFill>
                  <pic:spPr>
                    <a:xfrm>
                      <a:off x="0" y="0"/>
                      <a:ext cx="5623560" cy="2510902"/>
                    </a:xfrm>
                    <a:prstGeom prst="rect"/>
                  </pic:spPr>
                </pic:pic>
              </a:graphicData>
            </a:graphic>
          </wp:inline>
        </w:drawing>
      </w:r>
    </w:p>
    <w:p>
      <w:pPr>
        <w:pStyle w:val="Caption"/>
        <w:spacing w:before="40" w:after="160"/>
        <w:jc w:val="center"/>
      </w:pPr>
      <w:bookmarkStart w:id="1112" w:name="T1_FIG_054"/>
      <w:r>
        <w:t>Figure 52.1. Assumptions, statistical guarantees, and the publication firewall of the main theorem.</w:t>
      </w:r>
      <w:bookmarkEnd w:id="1112"/>
    </w:p>
    <w:p>
      <w:pPr>
        <w:pStyle w:val="Heading2"/>
        <w:keepNext/>
      </w:pPr>
      <w:r>
        <w:t>52.1. Assumptions A1-A10</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113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Code</w:t>
            </w:r>
          </w:p>
        </w:tc>
        <w:tc>
          <w:tcPr>
            <w:tcW w:type="dxa" w:w="5669"/>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Assumption</w:t>
            </w:r>
          </w:p>
        </w:tc>
        <w:tc>
          <w:tcPr>
            <w:tcW w:type="dxa" w:w="238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Violation</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5"/>
              </w:rPr>
              <w:t>A1</w:t>
            </w:r>
          </w:p>
        </w:tc>
        <w:tc>
          <w:tcPr>
            <w:tcW w:type="dxa" w:w="5669"/>
            <w:tcMar>
              <w:top w:w="90" w:type="dxa"/>
              <w:start w:w="110" w:type="dxa"/>
              <w:bottom w:w="90" w:type="dxa"/>
              <w:end w:w="110" w:type="dxa"/>
            </w:tcMar>
            <w:vAlign w:val="center"/>
          </w:tcPr>
          <w:p>
            <w:pPr>
              <w:jc w:val="left"/>
            </w:pPr>
            <w:r>
              <w:rPr>
                <w:rFonts w:ascii="DejaVu Serif" w:hAnsi="DejaVu Serif" w:eastAsia="DejaVu Serif"/>
                <w:b w:val="0"/>
                <w:i w:val="0"/>
                <w:sz w:val="15"/>
              </w:rPr>
              <w:t>Obs/Evidence/Reper types agree</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5"/>
              </w:rPr>
              <w:t>Block-type</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A2</w:t>
            </w:r>
          </w:p>
        </w:tc>
        <w:tc>
          <w:tcPr>
            <w:tcW w:type="dxa" w:w="5669"/>
            <w:tcMar>
              <w:top w:w="90" w:type="dxa"/>
              <w:start w:w="110" w:type="dxa"/>
              <w:bottom w:w="90" w:type="dxa"/>
              <w:end w:w="110" w:type="dxa"/>
            </w:tcMar>
            <w:vAlign w:val="center"/>
            <w:shd w:fill="F4F7FA"/>
          </w:tcPr>
          <w:p>
            <w:pPr>
              <w:jc w:val="left"/>
            </w:pPr>
            <w:r>
              <w:rPr>
                <w:rFonts w:ascii="DejaVu Serif" w:hAnsi="DejaVu Serif" w:eastAsia="DejaVu Serif"/>
                <w:b w:val="0"/>
                <w:i w:val="0"/>
                <w:sz w:val="15"/>
              </w:rPr>
              <w:t>D and Dom separated; support checked</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5"/>
              </w:rPr>
              <w:t>Block-domain</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5"/>
              </w:rPr>
              <w:t>A3</w:t>
            </w:r>
          </w:p>
        </w:tc>
        <w:tc>
          <w:tcPr>
            <w:tcW w:type="dxa" w:w="5669"/>
            <w:tcMar>
              <w:top w:w="90" w:type="dxa"/>
              <w:start w:w="110" w:type="dxa"/>
              <w:bottom w:w="90" w:type="dxa"/>
              <w:end w:w="110" w:type="dxa"/>
            </w:tcMar>
            <w:vAlign w:val="center"/>
          </w:tcPr>
          <w:p>
            <w:pPr>
              <w:jc w:val="left"/>
            </w:pPr>
            <w:r>
              <w:rPr>
                <w:rFonts w:ascii="DejaVu Serif" w:hAnsi="DejaVu Serif" w:eastAsia="DejaVu Serif"/>
                <w:b w:val="0"/>
                <w:i w:val="0"/>
                <w:sz w:val="15"/>
              </w:rPr>
              <w:t>provenance and hashes complete</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5"/>
              </w:rPr>
              <w:t>Block-provenance</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A4</w:t>
            </w:r>
          </w:p>
        </w:tc>
        <w:tc>
          <w:tcPr>
            <w:tcW w:type="dxa" w:w="5669"/>
            <w:tcMar>
              <w:top w:w="90" w:type="dxa"/>
              <w:start w:w="110" w:type="dxa"/>
              <w:bottom w:w="90" w:type="dxa"/>
              <w:end w:w="110" w:type="dxa"/>
            </w:tcMar>
            <w:vAlign w:val="center"/>
            <w:shd w:fill="F4F7FA"/>
          </w:tcPr>
          <w:p>
            <w:pPr>
              <w:jc w:val="left"/>
            </w:pPr>
            <w:r>
              <w:rPr>
                <w:rFonts w:ascii="DejaVu Serif" w:hAnsi="DejaVu Serif" w:eastAsia="DejaVu Serif"/>
                <w:b w:val="0"/>
                <w:i w:val="0"/>
                <w:sz w:val="15"/>
              </w:rPr>
              <w:t>five limits registered</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5"/>
              </w:rPr>
              <w:t>Block-limit</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5"/>
              </w:rPr>
              <w:t>A5</w:t>
            </w:r>
          </w:p>
        </w:tc>
        <w:tc>
          <w:tcPr>
            <w:tcW w:type="dxa" w:w="5669"/>
            <w:tcMar>
              <w:top w:w="90" w:type="dxa"/>
              <w:start w:w="110" w:type="dxa"/>
              <w:bottom w:w="90" w:type="dxa"/>
              <w:end w:w="110" w:type="dxa"/>
            </w:tcMar>
            <w:vAlign w:val="center"/>
          </w:tcPr>
          <w:p>
            <w:pPr>
              <w:jc w:val="left"/>
            </w:pPr>
            <w:r>
              <w:rPr>
                <w:rFonts w:ascii="DejaVu Serif" w:hAnsi="DejaVu Serif" w:eastAsia="DejaVu Serif"/>
                <w:b w:val="0"/>
                <w:i w:val="0"/>
                <w:sz w:val="15"/>
              </w:rPr>
              <w:t>PN.2 branches and brackets fixed before outcome</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5"/>
              </w:rPr>
              <w:t>post-selection</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A6</w:t>
            </w:r>
          </w:p>
        </w:tc>
        <w:tc>
          <w:tcPr>
            <w:tcW w:type="dxa" w:w="5669"/>
            <w:tcMar>
              <w:top w:w="90" w:type="dxa"/>
              <w:start w:w="110" w:type="dxa"/>
              <w:bottom w:w="90" w:type="dxa"/>
              <w:end w:w="110" w:type="dxa"/>
            </w:tcMar>
            <w:vAlign w:val="center"/>
            <w:shd w:fill="F4F7FA"/>
          </w:tcPr>
          <w:p>
            <w:pPr>
              <w:jc w:val="left"/>
            </w:pPr>
            <w:r>
              <w:rPr>
                <w:rFonts w:ascii="DejaVu Serif" w:hAnsi="DejaVu Serif" w:eastAsia="DejaVu Serif"/>
                <w:b w:val="0"/>
                <w:i w:val="0"/>
                <w:sz w:val="15"/>
              </w:rPr>
              <w:t>adapter, loss, and matched null frozen</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5"/>
              </w:rPr>
              <w:t>invalid-comparison</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5"/>
              </w:rPr>
              <w:t>A7</w:t>
            </w:r>
          </w:p>
        </w:tc>
        <w:tc>
          <w:tcPr>
            <w:tcW w:type="dxa" w:w="5669"/>
            <w:tcMar>
              <w:top w:w="90" w:type="dxa"/>
              <w:start w:w="110" w:type="dxa"/>
              <w:bottom w:w="90" w:type="dxa"/>
              <w:end w:w="110" w:type="dxa"/>
            </w:tcMar>
            <w:vAlign w:val="center"/>
          </w:tcPr>
          <w:p>
            <w:pPr>
              <w:jc w:val="left"/>
            </w:pPr>
            <w:r>
              <w:rPr>
                <w:rFonts w:ascii="DejaVu Serif" w:hAnsi="DejaVu Serif" w:eastAsia="DejaVu Serif"/>
                <w:b w:val="0"/>
                <w:i w:val="0"/>
                <w:sz w:val="15"/>
              </w:rPr>
              <w:t>calibration assumptions justified</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5"/>
              </w:rPr>
              <w:t>coverage-not-claimed</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A8</w:t>
            </w:r>
          </w:p>
        </w:tc>
        <w:tc>
          <w:tcPr>
            <w:tcW w:type="dxa" w:w="5669"/>
            <w:tcMar>
              <w:top w:w="90" w:type="dxa"/>
              <w:start w:w="110" w:type="dxa"/>
              <w:bottom w:w="90" w:type="dxa"/>
              <w:end w:w="110" w:type="dxa"/>
            </w:tcMar>
            <w:vAlign w:val="center"/>
            <w:shd w:fill="F4F7FA"/>
          </w:tcPr>
          <w:p>
            <w:pPr>
              <w:jc w:val="left"/>
            </w:pPr>
            <w:r>
              <w:rPr>
                <w:rFonts w:ascii="DejaVu Serif" w:hAnsi="DejaVu Serif" w:eastAsia="DejaVu Serif"/>
                <w:b w:val="0"/>
                <w:i w:val="0"/>
                <w:sz w:val="15"/>
              </w:rPr>
              <w:t>cluster and time leakage excluded</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5"/>
              </w:rPr>
              <w:t>Block-leakage</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5"/>
              </w:rPr>
              <w:t>A9</w:t>
            </w:r>
          </w:p>
        </w:tc>
        <w:tc>
          <w:tcPr>
            <w:tcW w:type="dxa" w:w="5669"/>
            <w:tcMar>
              <w:top w:w="90" w:type="dxa"/>
              <w:start w:w="110" w:type="dxa"/>
              <w:bottom w:w="90" w:type="dxa"/>
              <w:end w:w="110" w:type="dxa"/>
            </w:tcMar>
            <w:vAlign w:val="center"/>
          </w:tcPr>
          <w:p>
            <w:pPr>
              <w:jc w:val="left"/>
            </w:pPr>
            <w:r>
              <w:rPr>
                <w:rFonts w:ascii="DejaVu Serif" w:hAnsi="DejaVu Serif" w:eastAsia="DejaVu Serif"/>
                <w:b w:val="0"/>
                <w:i w:val="0"/>
                <w:sz w:val="15"/>
              </w:rPr>
              <w:t>CGI&lt;1 and blocker-safe gates passed</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5"/>
              </w:rPr>
              <w:t>no-promotion</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A10</w:t>
            </w:r>
          </w:p>
        </w:tc>
        <w:tc>
          <w:tcPr>
            <w:tcW w:type="dxa" w:w="5669"/>
            <w:tcMar>
              <w:top w:w="90" w:type="dxa"/>
              <w:start w:w="110" w:type="dxa"/>
              <w:bottom w:w="90" w:type="dxa"/>
              <w:end w:w="110" w:type="dxa"/>
            </w:tcMar>
            <w:vAlign w:val="center"/>
            <w:shd w:fill="F4F7FA"/>
          </w:tcPr>
          <w:p>
            <w:pPr>
              <w:jc w:val="left"/>
            </w:pPr>
            <w:r>
              <w:rPr>
                <w:rFonts w:ascii="DejaVu Serif" w:hAnsi="DejaVu Serif" w:eastAsia="DejaVu Serif"/>
                <w:b w:val="0"/>
                <w:i w:val="0"/>
                <w:sz w:val="15"/>
              </w:rPr>
              <w:t>ext is independent and full decision is published</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5"/>
              </w:rPr>
              <w:t>protocol-ready-only</w:t>
            </w:r>
          </w:p>
        </w:tc>
      </w:tr>
    </w:tbl>
    <w:p>
      <w:pPr>
        <w:spacing w:after="40"/>
      </w:pPr>
    </w:p>
    <w:p>
      <w:pPr>
        <w:spacing w:before="100" w:after="60"/>
      </w:pPr>
      <w:r>
        <w:rPr>
          <w:rFonts w:ascii="DejaVu Serif" w:hAnsi="DejaVu Serif" w:eastAsia="DejaVu Serif"/>
          <w:b/>
          <w:i w:val="0"/>
          <w:color w:val="173B63"/>
        </w:rPr>
        <w:t xml:space="preserve">Theorem 52.1 - Conditional soundness of KLT-RBD [THM]. </w:t>
      </w:r>
      <w:r>
        <w:rPr>
          <w:rFonts w:ascii="DejaVu Serif" w:hAnsi="DejaVu Serif" w:eastAsia="DejaVu Serif"/>
          <w:b w:val="0"/>
          <w:i w:val="0"/>
        </w:rPr>
        <w:t>Assume A1-A10. Let the projective-harmonic adapter construct C_L(x); let calibration provide marginal coverage at least 1-alpha_cov on the registered target population; let sequential decisions use a valid e-process with budget alpha_seq; let multiplicity have budget alpha_mult; and let the matched null receive the same search budget. Then: every intermediate BLOCK excludes PASS; noncoverage is at most alpha_cov within the calibration theorem domain; false sequential boundary crossing is at most alpha_seq; familywise error is at most alpha_mult; reported gain refers only to the declared loss, population, and horizon; and no truth-layer promotion follows automatically.</w:t>
      </w:r>
    </w:p>
    <w:p>
      <w:pPr>
        <w:ind w:left="283" w:right="113"/>
        <w:jc w:val="both"/>
      </w:pPr>
      <w:r>
        <w:rPr>
          <w:rFonts w:ascii="DejaVu Serif" w:hAnsi="DejaVu Serif" w:eastAsia="DejaVu Serif"/>
          <w:b/>
          <w:i/>
        </w:rPr>
        <w:t xml:space="preserve">Proof. </w:t>
      </w:r>
      <w:r>
        <w:rPr>
          <w:rFonts w:ascii="DejaVu Serif" w:hAnsi="DejaVu Serif" w:eastAsia="DejaVu Serif"/>
          <w:b w:val="0"/>
          <w:i/>
        </w:rPr>
        <w:t>Compose Theorems 47.2, 48.1-48.2, 49.1, the registered calibration theorem, Ville inequality, and the registered multiplicity procedure. Equal search budgets make the risk difference operationally interpretable. None of these results identifies a frequency guarantee with truth of the theory.</w:t>
      </w:r>
    </w:p>
    <w:p>
      <w:pPr>
        <w:spacing w:before="80" w:after="100"/>
        <w:jc w:val="center"/>
      </w:pPr>
      <w:r>
        <w:rPr>
          <w:rFonts w:ascii="DejaVu Serif" w:hAnsi="DejaVu Serif" w:eastAsia="DejaVu Serif"/>
          <w:b w:val="0"/>
          <w:i w:val="0"/>
          <w:sz w:val="21"/>
        </w:rPr>
        <w:t>F050  P{Y_new notin C_L(X_new)} &lt;= alpha_cov</w:t>
      </w:r>
      <w:r>
        <w:rPr>
          <w:rFonts w:ascii="DejaVu Serif" w:hAnsi="DejaVu Serif" w:eastAsia="DejaVu Serif"/>
          <w:b w:val="0"/>
          <w:i/>
          <w:color w:val="6B7280"/>
          <w:sz w:val="17"/>
        </w:rPr>
        <w:t xml:space="preserve">    [RU p. 215]</w:t>
      </w:r>
    </w:p>
    <w:p>
      <w:pPr>
        <w:spacing w:before="80" w:after="100"/>
        <w:jc w:val="center"/>
      </w:pPr>
      <w:r>
        <w:rPr>
          <w:rFonts w:ascii="DejaVu Serif" w:hAnsi="DejaVu Serif" w:eastAsia="DejaVu Serif"/>
          <w:b w:val="0"/>
          <w:i w:val="0"/>
          <w:sz w:val="21"/>
        </w:rPr>
        <w:t>F051  P0{sup_t E_t &gt;= 1/alpha_seq} &lt;= alpha_seq</w:t>
      </w:r>
      <w:r>
        <w:rPr>
          <w:rFonts w:ascii="DejaVu Serif" w:hAnsi="DejaVu Serif" w:eastAsia="DejaVu Serif"/>
          <w:b w:val="0"/>
          <w:i/>
          <w:color w:val="6B7280"/>
          <w:sz w:val="17"/>
        </w:rPr>
        <w:t xml:space="preserve">    [RU p. 215]</w:t>
      </w:r>
    </w:p>
    <w:p>
      <w:pPr>
        <w:spacing w:before="80" w:after="100"/>
        <w:jc w:val="center"/>
      </w:pPr>
      <w:r>
        <w:rPr>
          <w:rFonts w:ascii="DejaVu Serif" w:hAnsi="DejaVu Serif" w:eastAsia="DejaVu Serif"/>
          <w:b w:val="0"/>
          <w:i w:val="0"/>
          <w:sz w:val="21"/>
        </w:rPr>
        <w:t>F052  FWER &lt;= alpha_mult</w:t>
      </w:r>
      <w:r>
        <w:rPr>
          <w:rFonts w:ascii="DejaVu Serif" w:hAnsi="DejaVu Serif" w:eastAsia="DejaVu Serif"/>
          <w:b w:val="0"/>
          <w:i/>
          <w:color w:val="6B7280"/>
          <w:sz w:val="17"/>
        </w:rPr>
        <w:t xml:space="preserve">    [RU p. 215]</w:t>
      </w:r>
    </w:p>
    <w:p>
      <w:pPr>
        <w:spacing w:before="80" w:after="100"/>
        <w:jc w:val="center"/>
      </w:pPr>
      <w:r>
        <w:rPr>
          <w:rFonts w:ascii="DejaVu Serif" w:hAnsi="DejaVu Serif" w:eastAsia="DejaVu Serif"/>
          <w:b w:val="0"/>
          <w:i w:val="0"/>
          <w:sz w:val="21"/>
        </w:rPr>
        <w:t>F053  Risk_KLT &lt;= Risk_matched-null - Delta_min</w:t>
      </w:r>
      <w:r>
        <w:rPr>
          <w:rFonts w:ascii="DejaVu Serif" w:hAnsi="DejaVu Serif" w:eastAsia="DejaVu Serif"/>
          <w:b w:val="0"/>
          <w:i/>
          <w:color w:val="6B7280"/>
          <w:sz w:val="17"/>
        </w:rPr>
        <w:t xml:space="preserve">    [RU p. 215]</w:t>
      </w:r>
    </w:p>
    <w:p>
      <w:pPr>
        <w:pStyle w:val="Heading2"/>
        <w:keepNext/>
      </w:pPr>
      <w:r>
        <w:t>52.2. Composition of Budgets</w:t>
      </w:r>
    </w:p>
    <w:p>
      <w:pPr>
        <w:spacing w:before="80" w:after="100"/>
        <w:jc w:val="center"/>
      </w:pPr>
      <w:r>
        <w:rPr>
          <w:rFonts w:ascii="DejaVu Serif" w:hAnsi="DejaVu Serif" w:eastAsia="DejaVu Serif"/>
          <w:b w:val="0"/>
          <w:i w:val="0"/>
          <w:sz w:val="21"/>
        </w:rPr>
        <w:t>F054  P(E_cov union E_seq union E_mult) &lt;= alpha_cov+alpha_seq+alpha_mult</w:t>
      </w:r>
      <w:r>
        <w:rPr>
          <w:rFonts w:ascii="DejaVu Serif" w:hAnsi="DejaVu Serif" w:eastAsia="DejaVu Serif"/>
          <w:b w:val="0"/>
          <w:i/>
          <w:color w:val="6B7280"/>
          <w:sz w:val="17"/>
        </w:rPr>
        <w:t xml:space="preserve">    [RU p. 216]</w:t>
      </w:r>
    </w:p>
    <w:p>
      <w:pPr>
        <w:spacing w:after="80" w:line="269" w:lineRule="auto"/>
        <w:jc w:val="both"/>
      </w:pPr>
      <w:r>
        <w:rPr>
          <w:rFonts w:ascii="DejaVu Serif" w:hAnsi="DejaVu Serif" w:eastAsia="DejaVu Serif"/>
          <w:b w:val="0"/>
          <w:i w:val="0"/>
        </w:rPr>
        <w:t>The sum is a safe union bound, not an exact total error. A sharper composition requires a proved dependence structure. All budgets are frozen before ext.</w:t>
      </w:r>
    </w:p>
    <w:p>
      <w:pPr>
        <w:pStyle w:val="Heading2"/>
        <w:keepNext/>
      </w:pPr>
      <w:r>
        <w:t>52.3. Status of the Closure Results</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294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Statement</w:t>
            </w:r>
          </w:p>
        </w:tc>
        <w:tc>
          <w:tcPr>
            <w:tcW w:type="dxa" w:w="238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Status</w:t>
            </w:r>
          </w:p>
        </w:tc>
        <w:tc>
          <w:tcPr>
            <w:tcW w:type="dxa" w:w="3855"/>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Additional requirement</w:t>
            </w:r>
          </w:p>
        </w:tc>
      </w:tr>
      <w:tr>
        <w:tc>
          <w:tcPr>
            <w:tcW w:type="dxa" w:w="2948"/>
            <w:tcMar>
              <w:top w:w="90" w:type="dxa"/>
              <w:start w:w="110" w:type="dxa"/>
              <w:bottom w:w="90" w:type="dxa"/>
              <w:end w:w="110" w:type="dxa"/>
            </w:tcMar>
            <w:vAlign w:val="center"/>
          </w:tcPr>
          <w:p>
            <w:pPr>
              <w:jc w:val="center"/>
            </w:pPr>
            <w:r>
              <w:rPr>
                <w:rFonts w:ascii="DejaVu Serif" w:hAnsi="DejaVu Serif" w:eastAsia="DejaVu Serif"/>
                <w:b w:val="0"/>
                <w:i w:val="0"/>
                <w:sz w:val="15"/>
              </w:rPr>
              <w:t>PGL2 invariance of lambda</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5"/>
              </w:rPr>
              <w:t>proved</w:t>
            </w:r>
          </w:p>
        </w:tc>
        <w:tc>
          <w:tcPr>
            <w:tcW w:type="dxa" w:w="3855"/>
            <w:tcMar>
              <w:top w:w="90" w:type="dxa"/>
              <w:start w:w="110" w:type="dxa"/>
              <w:bottom w:w="90" w:type="dxa"/>
              <w:end w:w="110" w:type="dxa"/>
            </w:tcMar>
            <w:vAlign w:val="center"/>
          </w:tcPr>
          <w:p>
            <w:pPr>
              <w:jc w:val="left"/>
            </w:pPr>
            <w:r>
              <w:rPr>
                <w:rFonts w:ascii="DejaVu Serif" w:hAnsi="DejaVu Serif" w:eastAsia="DejaVu Serif"/>
                <w:b w:val="0"/>
                <w:i w:val="0"/>
                <w:sz w:val="15"/>
              </w:rPr>
              <w:t>valid points and chart</w:t>
            </w:r>
          </w:p>
        </w:tc>
      </w:tr>
      <w:tr>
        <w:tc>
          <w:tcPr>
            <w:tcW w:type="dxa" w:w="2948"/>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monotonicity of five limits</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5"/>
              </w:rPr>
              <w:t>proved</w:t>
            </w:r>
          </w:p>
        </w:tc>
        <w:tc>
          <w:tcPr>
            <w:tcW w:type="dxa" w:w="3855"/>
            <w:tcMar>
              <w:top w:w="90" w:type="dxa"/>
              <w:start w:w="110" w:type="dxa"/>
              <w:bottom w:w="90" w:type="dxa"/>
              <w:end w:w="110" w:type="dxa"/>
            </w:tcMar>
            <w:vAlign w:val="center"/>
            <w:shd w:fill="F4F7FA"/>
          </w:tcPr>
          <w:p>
            <w:pPr>
              <w:jc w:val="left"/>
            </w:pPr>
            <w:r>
              <w:rPr>
                <w:rFonts w:ascii="DejaVu Serif" w:hAnsi="DejaVu Serif" w:eastAsia="DejaVu Serif"/>
                <w:b w:val="0"/>
                <w:i w:val="0"/>
                <w:sz w:val="15"/>
              </w:rPr>
              <w:t>registered predicates</w:t>
            </w:r>
          </w:p>
        </w:tc>
      </w:tr>
      <w:tr>
        <w:tc>
          <w:tcPr>
            <w:tcW w:type="dxa" w:w="2948"/>
            <w:tcMar>
              <w:top w:w="90" w:type="dxa"/>
              <w:start w:w="110" w:type="dxa"/>
              <w:bottom w:w="90" w:type="dxa"/>
              <w:end w:w="110" w:type="dxa"/>
            </w:tcMar>
            <w:vAlign w:val="center"/>
          </w:tcPr>
          <w:p>
            <w:pPr>
              <w:jc w:val="center"/>
            </w:pPr>
            <w:r>
              <w:rPr>
                <w:rFonts w:ascii="DejaVu Serif" w:hAnsi="DejaVu Serif" w:eastAsia="DejaVu Serif"/>
                <w:b w:val="0"/>
                <w:i w:val="0"/>
                <w:sz w:val="15"/>
              </w:rPr>
              <w:t>existence of rebuild</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5"/>
              </w:rPr>
              <w:t>conditional theorem</w:t>
            </w:r>
          </w:p>
        </w:tc>
        <w:tc>
          <w:tcPr>
            <w:tcW w:type="dxa" w:w="3855"/>
            <w:tcMar>
              <w:top w:w="90" w:type="dxa"/>
              <w:start w:w="110" w:type="dxa"/>
              <w:bottom w:w="90" w:type="dxa"/>
              <w:end w:w="110" w:type="dxa"/>
            </w:tcMar>
            <w:vAlign w:val="center"/>
          </w:tcPr>
          <w:p>
            <w:pPr>
              <w:jc w:val="left"/>
            </w:pPr>
            <w:r>
              <w:rPr>
                <w:rFonts w:ascii="DejaVu Serif" w:hAnsi="DejaVu Serif" w:eastAsia="DejaVu Serif"/>
                <w:b w:val="0"/>
                <w:i w:val="0"/>
                <w:sz w:val="15"/>
              </w:rPr>
              <w:t>compact/lsc or finite set</w:t>
            </w:r>
          </w:p>
        </w:tc>
      </w:tr>
      <w:tr>
        <w:tc>
          <w:tcPr>
            <w:tcW w:type="dxa" w:w="2948"/>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RBD contraction</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5"/>
              </w:rPr>
              <w:t>proved for alpha&lt;1</w:t>
            </w:r>
          </w:p>
        </w:tc>
        <w:tc>
          <w:tcPr>
            <w:tcW w:type="dxa" w:w="3855"/>
            <w:tcMar>
              <w:top w:w="90" w:type="dxa"/>
              <w:start w:w="110" w:type="dxa"/>
              <w:bottom w:w="90" w:type="dxa"/>
              <w:end w:w="110" w:type="dxa"/>
            </w:tcMar>
            <w:vAlign w:val="center"/>
            <w:shd w:fill="F4F7FA"/>
          </w:tcPr>
          <w:p>
            <w:pPr>
              <w:jc w:val="left"/>
            </w:pPr>
            <w:r>
              <w:rPr>
                <w:rFonts w:ascii="DejaVu Serif" w:hAnsi="DejaVu Serif" w:eastAsia="DejaVu Serif"/>
                <w:b w:val="0"/>
                <w:i w:val="0"/>
                <w:sz w:val="15"/>
              </w:rPr>
              <w:t>validated typed kernel</w:t>
            </w:r>
          </w:p>
        </w:tc>
      </w:tr>
      <w:tr>
        <w:tc>
          <w:tcPr>
            <w:tcW w:type="dxa" w:w="2948"/>
            <w:tcMar>
              <w:top w:w="90" w:type="dxa"/>
              <w:start w:w="110" w:type="dxa"/>
              <w:bottom w:w="90" w:type="dxa"/>
              <w:end w:w="110" w:type="dxa"/>
            </w:tcMar>
            <w:vAlign w:val="center"/>
          </w:tcPr>
          <w:p>
            <w:pPr>
              <w:jc w:val="center"/>
            </w:pPr>
            <w:r>
              <w:rPr>
                <w:rFonts w:ascii="DejaVu Serif" w:hAnsi="DejaVu Serif" w:eastAsia="DejaVu Serif"/>
                <w:b w:val="0"/>
                <w:i w:val="0"/>
                <w:sz w:val="15"/>
              </w:rPr>
              <w:t>forecast coverage</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5"/>
              </w:rPr>
              <w:t>conditional</w:t>
            </w:r>
          </w:p>
        </w:tc>
        <w:tc>
          <w:tcPr>
            <w:tcW w:type="dxa" w:w="3855"/>
            <w:tcMar>
              <w:top w:w="90" w:type="dxa"/>
              <w:start w:w="110" w:type="dxa"/>
              <w:bottom w:w="90" w:type="dxa"/>
              <w:end w:w="110" w:type="dxa"/>
            </w:tcMar>
            <w:vAlign w:val="center"/>
          </w:tcPr>
          <w:p>
            <w:pPr>
              <w:jc w:val="left"/>
            </w:pPr>
            <w:r>
              <w:rPr>
                <w:rFonts w:ascii="DejaVu Serif" w:hAnsi="DejaVu Serif" w:eastAsia="DejaVu Serif"/>
                <w:b w:val="0"/>
                <w:i w:val="0"/>
                <w:sz w:val="15"/>
              </w:rPr>
              <w:t>exchangeability or weighted bridge</w:t>
            </w:r>
          </w:p>
        </w:tc>
      </w:tr>
      <w:tr>
        <w:tc>
          <w:tcPr>
            <w:tcW w:type="dxa" w:w="2948"/>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gain over null</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5"/>
              </w:rPr>
              <w:t>not externally executed</w:t>
            </w:r>
          </w:p>
        </w:tc>
        <w:tc>
          <w:tcPr>
            <w:tcW w:type="dxa" w:w="3855"/>
            <w:tcMar>
              <w:top w:w="90" w:type="dxa"/>
              <w:start w:w="110" w:type="dxa"/>
              <w:bottom w:w="90" w:type="dxa"/>
              <w:end w:w="110" w:type="dxa"/>
            </w:tcMar>
            <w:vAlign w:val="center"/>
            <w:shd w:fill="F4F7FA"/>
          </w:tcPr>
          <w:p>
            <w:pPr>
              <w:jc w:val="left"/>
            </w:pPr>
            <w:r>
              <w:rPr>
                <w:rFonts w:ascii="DejaVu Serif" w:hAnsi="DejaVu Serif" w:eastAsia="DejaVu Serif"/>
                <w:b w:val="0"/>
                <w:i w:val="0"/>
                <w:sz w:val="15"/>
              </w:rPr>
              <w:t>independent ext corpus</w:t>
            </w:r>
          </w:p>
        </w:tc>
      </w:tr>
      <w:tr>
        <w:tc>
          <w:tcPr>
            <w:tcW w:type="dxa" w:w="2948"/>
            <w:tcMar>
              <w:top w:w="90" w:type="dxa"/>
              <w:start w:w="110" w:type="dxa"/>
              <w:bottom w:w="90" w:type="dxa"/>
              <w:end w:w="110" w:type="dxa"/>
            </w:tcMar>
            <w:vAlign w:val="center"/>
          </w:tcPr>
          <w:p>
            <w:pPr>
              <w:jc w:val="center"/>
            </w:pPr>
            <w:r>
              <w:rPr>
                <w:rFonts w:ascii="DejaVu Serif" w:hAnsi="DejaVu Serif" w:eastAsia="DejaVu Serif"/>
                <w:b w:val="0"/>
                <w:i w:val="0"/>
                <w:sz w:val="15"/>
              </w:rPr>
              <w:t>universal physical PN.2</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5"/>
              </w:rPr>
              <w:t>not claimed</w:t>
            </w:r>
          </w:p>
        </w:tc>
        <w:tc>
          <w:tcPr>
            <w:tcW w:type="dxa" w:w="3855"/>
            <w:tcMar>
              <w:top w:w="90" w:type="dxa"/>
              <w:start w:w="110" w:type="dxa"/>
              <w:bottom w:w="90" w:type="dxa"/>
              <w:end w:w="110" w:type="dxa"/>
            </w:tcMar>
            <w:vAlign w:val="center"/>
          </w:tcPr>
          <w:p>
            <w:pPr>
              <w:jc w:val="left"/>
            </w:pPr>
            <w:r>
              <w:rPr>
                <w:rFonts w:ascii="DejaVu Serif" w:hAnsi="DejaVu Serif" w:eastAsia="DejaVu Serif"/>
                <w:b w:val="0"/>
                <w:i w:val="0"/>
                <w:sz w:val="15"/>
              </w:rPr>
              <w:t>domain-specific bridges</w:t>
            </w:r>
          </w:p>
        </w:tc>
      </w:tr>
      <w:tr>
        <w:tc>
          <w:tcPr>
            <w:tcW w:type="dxa" w:w="2948"/>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truth-layer promotion</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5"/>
              </w:rPr>
              <w:t>0</w:t>
            </w:r>
          </w:p>
        </w:tc>
        <w:tc>
          <w:tcPr>
            <w:tcW w:type="dxa" w:w="3855"/>
            <w:tcMar>
              <w:top w:w="90" w:type="dxa"/>
              <w:start w:w="110" w:type="dxa"/>
              <w:bottom w:w="90" w:type="dxa"/>
              <w:end w:w="110" w:type="dxa"/>
            </w:tcMar>
            <w:vAlign w:val="center"/>
            <w:shd w:fill="F4F7FA"/>
          </w:tcPr>
          <w:p>
            <w:pPr>
              <w:jc w:val="left"/>
            </w:pPr>
            <w:r>
              <w:rPr>
                <w:rFonts w:ascii="DejaVu Serif" w:hAnsi="DejaVu Serif" w:eastAsia="DejaVu Serif"/>
                <w:b w:val="0"/>
                <w:i w:val="0"/>
                <w:sz w:val="15"/>
              </w:rPr>
              <w:t>certificate lock and publication gate</w:t>
            </w:r>
          </w:p>
        </w:tc>
      </w:tr>
    </w:tbl>
    <w:p>
      <w:pPr>
        <w:spacing w:after="40"/>
      </w:pPr>
    </w:p>
    <w:p>
      <w:pPr>
        <w:pStyle w:val="Heading2"/>
        <w:keepNext/>
      </w:pPr>
      <w:r>
        <w:t>52.4. Immutable Artifact-1 Card</w:t>
      </w:r>
    </w:p>
    <w:p>
      <w:pPr>
        <w:spacing w:before="80" w:after="100"/>
        <w:jc w:val="center"/>
      </w:pPr>
      <w:r>
        <w:rPr>
          <w:rFonts w:ascii="DejaVu Serif" w:hAnsi="DejaVu Serif" w:eastAsia="DejaVu Serif"/>
          <w:b w:val="0"/>
          <w:i w:val="0"/>
          <w:sz w:val="21"/>
        </w:rPr>
        <w:t>RIUD-TETRA-RUN006-029 -&gt; PROOF-OBJ-RUN007-0029 -&gt; FORMAL-CARD-RUN009-006 -&gt; SIGNATURE-REVIEW-RUN013-001</w:t>
      </w:r>
      <w:r>
        <w:rPr>
          <w:rFonts w:ascii="DejaVu Serif" w:hAnsi="DejaVu Serif" w:eastAsia="DejaVu Serif"/>
          <w:b w:val="0"/>
          <w:i/>
          <w:color w:val="6B7280"/>
          <w:sz w:val="17"/>
        </w:rPr>
        <w:t xml:space="preserve">    [RU p. 216]</w:t>
      </w:r>
    </w:p>
    <w:p>
      <w:pPr>
        <w:spacing w:before="80" w:after="100"/>
        <w:jc w:val="center"/>
      </w:pPr>
      <w:r>
        <w:rPr>
          <w:rFonts w:ascii="DejaVu Serif" w:hAnsi="DejaVu Serif" w:eastAsia="DejaVu Serif"/>
          <w:b w:val="0"/>
          <w:i w:val="0"/>
          <w:sz w:val="21"/>
        </w:rPr>
        <w:t>lambda=-0.992736565468; delta_truth=0.007263434532; CGI=0.140948882338</w:t>
      </w:r>
      <w:r>
        <w:rPr>
          <w:rFonts w:ascii="DejaVu Serif" w:hAnsi="DejaVu Serif" w:eastAsia="DejaVu Serif"/>
          <w:b w:val="0"/>
          <w:i/>
          <w:color w:val="6B7280"/>
          <w:sz w:val="17"/>
        </w:rPr>
        <w:t xml:space="preserve">    [RU p. 216]</w:t>
      </w:r>
    </w:p>
    <w:p>
      <w:pPr>
        <w:spacing w:after="80" w:line="269" w:lineRule="auto"/>
        <w:jc w:val="both"/>
      </w:pPr>
      <w:r>
        <w:rPr>
          <w:rFonts w:ascii="DejaVu Serif" w:hAnsi="DejaVu Serif" w:eastAsia="DejaVu Serif"/>
          <w:b w:val="0"/>
          <w:i w:val="0"/>
        </w:rPr>
        <w:t>status=signature-ready-not-truth-layer; next=certificate-lock/publication-gate review. The closure theorems do not rewrite any field of this card.</w:t>
      </w:r>
    </w:p>
    <w:p>
      <w:pPr>
        <w:pStyle w:val="Heading2"/>
        <w:keepNext/>
      </w:pPr>
      <w:r>
        <w:t>52.5. Typed Category of Quadratic NAPG Frames</w:t>
      </w:r>
    </w:p>
    <w:p>
      <w:pPr>
        <w:keepNext/>
        <w:jc w:val="center"/>
      </w:pPr>
      <w:r>
        <w:drawing>
          <wp:inline xmlns:a="http://schemas.openxmlformats.org/drawingml/2006/main" xmlns:pic="http://schemas.openxmlformats.org/drawingml/2006/picture">
            <wp:extent cx="5623560" cy="2510902"/>
            <wp:docPr id="56" name="Picture 56"/>
            <wp:cNvGraphicFramePr>
              <a:graphicFrameLocks noChangeAspect="1"/>
            </wp:cNvGraphicFramePr>
            <a:graphic>
              <a:graphicData uri="http://schemas.openxmlformats.org/drawingml/2006/picture">
                <pic:pic>
                  <pic:nvPicPr>
                    <pic:cNvPr id="0" name="fig52_dtheta.png"/>
                    <pic:cNvPicPr/>
                  </pic:nvPicPr>
                  <pic:blipFill>
                    <a:blip r:embed="rId68"/>
                    <a:stretch>
                      <a:fillRect/>
                    </a:stretch>
                  </pic:blipFill>
                  <pic:spPr>
                    <a:xfrm>
                      <a:off x="0" y="0"/>
                      <a:ext cx="5623560" cy="2510902"/>
                    </a:xfrm>
                    <a:prstGeom prst="rect"/>
                  </pic:spPr>
                </pic:pic>
              </a:graphicData>
            </a:graphic>
          </wp:inline>
        </w:drawing>
      </w:r>
    </w:p>
    <w:p>
      <w:pPr>
        <w:pStyle w:val="Caption"/>
        <w:spacing w:before="40" w:after="160"/>
        <w:jc w:val="center"/>
      </w:pPr>
      <w:bookmarkStart w:id="1113" w:name="T1_FIG_055"/>
      <w:r>
        <w:t>Figure 52.2. Minimal obstruction complex, canonical internal class, and conditional external bridge.</w:t>
      </w:r>
      <w:bookmarkEnd w:id="1113"/>
    </w:p>
    <w:p>
      <w:pPr>
        <w:spacing w:after="80" w:line="269" w:lineRule="auto"/>
        <w:jc w:val="both"/>
      </w:pPr>
      <w:r>
        <w:rPr>
          <w:rFonts w:ascii="DejaVu Serif" w:hAnsi="DejaVu Serif" w:eastAsia="DejaVu Serif"/>
          <w:b w:val="0"/>
          <w:i w:val="0"/>
        </w:rPr>
        <w:t>A quadratic NAPG frame is N=(K,A_bullet,odot,G,R;F_N^(2),X_N^(2),Psi_N^(2)). Here F^(2) is the formal admissible degree-at-most-two layer, X^(2) is the tested quadratic layer, and Psi^(2) is the linear evaluation map.</w:t>
      </w:r>
    </w:p>
    <w:p>
      <w:pPr>
        <w:spacing w:before="80" w:after="100"/>
        <w:jc w:val="center"/>
      </w:pPr>
      <w:r>
        <w:rPr>
          <w:rFonts w:ascii="DejaVu Serif" w:hAnsi="DejaVu Serif" w:eastAsia="DejaVu Serif"/>
          <w:b w:val="0"/>
          <w:i w:val="0"/>
          <w:sz w:val="21"/>
        </w:rPr>
        <w:t>F074  X_N^(2)=Span_K{R odot R, R odot S + S odot R : R,S,R+S in R}</w:t>
      </w:r>
      <w:r>
        <w:rPr>
          <w:rFonts w:ascii="DejaVu Serif" w:hAnsi="DejaVu Serif" w:eastAsia="DejaVu Serif"/>
          <w:b w:val="0"/>
          <w:i/>
          <w:color w:val="6B7280"/>
          <w:sz w:val="17"/>
        </w:rPr>
        <w:t xml:space="preserve">    [RU p. 216]</w:t>
      </w:r>
    </w:p>
    <w:p>
      <w:pPr>
        <w:spacing w:before="80" w:after="100"/>
        <w:jc w:val="center"/>
      </w:pPr>
      <w:r>
        <w:rPr>
          <w:rFonts w:ascii="DejaVu Serif" w:hAnsi="DejaVu Serif" w:eastAsia="DejaVu Serif"/>
          <w:b w:val="0"/>
          <w:i w:val="0"/>
          <w:sz w:val="21"/>
        </w:rPr>
        <w:t>F075  O_B(N):=X_N^(2)/Im Psi_N^(2); Pi_N:X_N^(2)-&gt;O_B(N)</w:t>
      </w:r>
      <w:r>
        <w:rPr>
          <w:rFonts w:ascii="DejaVu Serif" w:hAnsi="DejaVu Serif" w:eastAsia="DejaVu Serif"/>
          <w:b w:val="0"/>
          <w:i/>
          <w:color w:val="6B7280"/>
          <w:sz w:val="17"/>
        </w:rPr>
        <w:t xml:space="preserve">    [RU p. 216]</w:t>
      </w:r>
    </w:p>
    <w:p>
      <w:pPr>
        <w:spacing w:after="80" w:line="269" w:lineRule="auto"/>
        <w:jc w:val="both"/>
      </w:pPr>
      <w:r>
        <w:rPr>
          <w:rFonts w:ascii="DejaVu Serif" w:hAnsi="DejaVu Serif" w:eastAsia="DejaVu Serif"/>
          <w:b w:val="0"/>
          <w:i w:val="0"/>
        </w:rPr>
        <w:t>X^(2) is quadratic. It does not automatically contain the trilinear associator. Connecting the associator requires a separate typed encoding map.</w:t>
      </w:r>
    </w:p>
    <w:p>
      <w:pPr>
        <w:spacing w:before="80" w:after="100"/>
        <w:jc w:val="center"/>
      </w:pPr>
      <w:r>
        <w:rPr>
          <w:rFonts w:ascii="DejaVu Serif" w:hAnsi="DejaVu Serif" w:eastAsia="DejaVu Serif"/>
          <w:b w:val="0"/>
          <w:i w:val="0"/>
          <w:sz w:val="21"/>
        </w:rPr>
        <w:t>F076  phi_X o Psi_N^(2) = Psi_N'^(2) o phi_F</w:t>
      </w:r>
      <w:r>
        <w:rPr>
          <w:rFonts w:ascii="DejaVu Serif" w:hAnsi="DejaVu Serif" w:eastAsia="DejaVu Serif"/>
          <w:b w:val="0"/>
          <w:i/>
          <w:color w:val="6B7280"/>
          <w:sz w:val="17"/>
        </w:rPr>
        <w:t xml:space="preserve">    [RU p. 216]</w:t>
      </w:r>
    </w:p>
    <w:p>
      <w:pPr>
        <w:pStyle w:val="Heading2"/>
        <w:keepNext/>
      </w:pPr>
      <w:r>
        <w:t>52.6. Minimal Universal Cochain Complex</w:t>
      </w:r>
    </w:p>
    <w:p>
      <w:pPr>
        <w:spacing w:before="80" w:after="100"/>
        <w:jc w:val="center"/>
      </w:pPr>
      <w:r>
        <w:rPr>
          <w:rFonts w:ascii="DejaVu Serif" w:hAnsi="DejaVu Serif" w:eastAsia="DejaVu Serif"/>
          <w:b w:val="0"/>
          <w:i w:val="0"/>
          <w:sz w:val="21"/>
        </w:rPr>
        <w:t>F077  C_min^n(N)=F_N^(2) for n=2; X_N^(2) for n=3; 0 otherwise</w:t>
      </w:r>
      <w:r>
        <w:rPr>
          <w:rFonts w:ascii="DejaVu Serif" w:hAnsi="DejaVu Serif" w:eastAsia="DejaVu Serif"/>
          <w:b w:val="0"/>
          <w:i/>
          <w:color w:val="6B7280"/>
          <w:sz w:val="17"/>
        </w:rPr>
        <w:t xml:space="preserve">    [RU p. 216]</w:t>
      </w:r>
    </w:p>
    <w:p>
      <w:pPr>
        <w:spacing w:before="80" w:after="100"/>
        <w:jc w:val="center"/>
      </w:pPr>
      <w:r>
        <w:rPr>
          <w:rFonts w:ascii="DejaVu Serif" w:hAnsi="DejaVu Serif" w:eastAsia="DejaVu Serif"/>
          <w:b w:val="0"/>
          <w:i w:val="0"/>
          <w:sz w:val="21"/>
        </w:rPr>
        <w:t>F078  delta_min^2(N):=Psi_N^(2); delta_min^n(N):=0 for n!=2</w:t>
      </w:r>
      <w:r>
        <w:rPr>
          <w:rFonts w:ascii="DejaVu Serif" w:hAnsi="DejaVu Serif" w:eastAsia="DejaVu Serif"/>
          <w:b w:val="0"/>
          <w:i/>
          <w:color w:val="6B7280"/>
          <w:sz w:val="17"/>
        </w:rPr>
        <w:t xml:space="preserve">    [RU p. 216]</w:t>
      </w:r>
    </w:p>
    <w:p>
      <w:pPr>
        <w:spacing w:before="80" w:after="100"/>
        <w:jc w:val="center"/>
      </w:pPr>
      <w:r>
        <w:rPr>
          <w:rFonts w:ascii="DejaVu Serif" w:hAnsi="DejaVu Serif" w:eastAsia="DejaVu Serif"/>
          <w:b w:val="0"/>
          <w:i w:val="0"/>
          <w:sz w:val="21"/>
        </w:rPr>
        <w:t>F079  Theta_min,N = id_(X_N^(2))</w:t>
      </w:r>
      <w:r>
        <w:rPr>
          <w:rFonts w:ascii="DejaVu Serif" w:hAnsi="DejaVu Serif" w:eastAsia="DejaVu Serif"/>
          <w:b w:val="0"/>
          <w:i/>
          <w:color w:val="6B7280"/>
          <w:sz w:val="17"/>
        </w:rPr>
        <w:t xml:space="preserve">    [RU p. 217]</w:t>
      </w:r>
    </w:p>
    <w:p>
      <w:pPr>
        <w:spacing w:before="100" w:after="60"/>
      </w:pPr>
      <w:r>
        <w:rPr>
          <w:rFonts w:ascii="DejaVu Serif" w:hAnsi="DejaVu Serif" w:eastAsia="DejaVu Serif"/>
          <w:b/>
          <w:i w:val="0"/>
          <w:color w:val="173B63"/>
        </w:rPr>
        <w:t xml:space="preserve">Lemma 52.1 - Existence of the complex [THM]. </w:t>
      </w:r>
      <w:r>
        <w:rPr>
          <w:rFonts w:ascii="DejaVu Serif" w:hAnsi="DejaVu Serif" w:eastAsia="DejaVu Serif"/>
          <w:b w:val="0"/>
          <w:i w:val="0"/>
        </w:rPr>
        <w:t>For every N in NAPG_q, (C_min(N),delta_min(N)) is a cochain complex.</w:t>
      </w:r>
    </w:p>
    <w:p>
      <w:pPr>
        <w:ind w:left="283" w:right="113"/>
        <w:jc w:val="both"/>
      </w:pPr>
      <w:r>
        <w:rPr>
          <w:rFonts w:ascii="DejaVu Serif" w:hAnsi="DejaVu Serif" w:eastAsia="DejaVu Serif"/>
          <w:b/>
          <w:i/>
        </w:rPr>
        <w:t xml:space="preserve">Proof. </w:t>
      </w:r>
      <w:r>
        <w:rPr>
          <w:rFonts w:ascii="DejaVu Serif" w:hAnsi="DejaVu Serif" w:eastAsia="DejaVu Serif"/>
          <w:b w:val="0"/>
          <w:i/>
        </w:rPr>
        <w:t>The only potentially nonzero consecutive composition is delta_min^3 o delta_min^2. Since C_min^4=0 and delta_min^3=0, the composition vanishes. Every other composition contains a zero arrow.</w:t>
      </w:r>
    </w:p>
    <w:p>
      <w:pPr>
        <w:spacing w:before="100" w:after="60"/>
      </w:pPr>
      <w:r>
        <w:rPr>
          <w:rFonts w:ascii="DejaVu Serif" w:hAnsi="DejaVu Serif" w:eastAsia="DejaVu Serif"/>
          <w:b/>
          <w:i w:val="0"/>
          <w:color w:val="173B63"/>
        </w:rPr>
        <w:t xml:space="preserve">Theorem 52.2 - Canonical realization of the quadratic obstruction [THM]. </w:t>
      </w:r>
      <w:r>
        <w:rPr>
          <w:rFonts w:ascii="DejaVu Serif" w:hAnsi="DejaVu Serif" w:eastAsia="DejaVu Serif"/>
          <w:b w:val="0"/>
          <w:i w:val="0"/>
        </w:rPr>
        <w:t>For every N in NAPG_q, kappa_N:O_B(N)-&gt;H^3(C_min(N)), kappa_N([x])=[x], is a canonical linear isomorphism.</w:t>
      </w:r>
    </w:p>
    <w:p>
      <w:pPr>
        <w:ind w:left="283" w:right="113"/>
        <w:jc w:val="both"/>
      </w:pPr>
      <w:r>
        <w:rPr>
          <w:rFonts w:ascii="DejaVu Serif" w:hAnsi="DejaVu Serif" w:eastAsia="DejaVu Serif"/>
          <w:b/>
          <w:i/>
        </w:rPr>
        <w:t xml:space="preserve">Proof. </w:t>
      </w:r>
      <w:r>
        <w:rPr>
          <w:rFonts w:ascii="DejaVu Serif" w:hAnsi="DejaVu Serif" w:eastAsia="DejaVu Serif"/>
          <w:b w:val="0"/>
          <w:i/>
        </w:rPr>
        <w:t>Because delta_min^3=0, Ker delta_min^3=X_N^(2). Since Im delta_min^2=Im Psi_N^(2), the two quotient spaces are identical by definition.</w:t>
      </w:r>
    </w:p>
    <w:p>
      <w:pPr>
        <w:spacing w:before="80" w:after="100"/>
        <w:jc w:val="center"/>
      </w:pPr>
      <w:r>
        <w:rPr>
          <w:rFonts w:ascii="DejaVu Serif" w:hAnsi="DejaVu Serif" w:eastAsia="DejaVu Serif"/>
          <w:b w:val="0"/>
          <w:i w:val="0"/>
          <w:sz w:val="21"/>
        </w:rPr>
        <w:t>F080  H^3(C_min(N))=X_N^(2)/Im Psi_N^(2)=O_B(N)</w:t>
      </w:r>
      <w:r>
        <w:rPr>
          <w:rFonts w:ascii="DejaVu Serif" w:hAnsi="DejaVu Serif" w:eastAsia="DejaVu Serif"/>
          <w:b w:val="0"/>
          <w:i/>
          <w:color w:val="6B7280"/>
          <w:sz w:val="17"/>
        </w:rPr>
        <w:t xml:space="preserve">    [RU p. 217]</w:t>
      </w:r>
    </w:p>
    <w:tbl>
      <w:tblPr>
        <w:tblStyle w:val="TableGrid"/>
        <w:tblW w:type="auto" w:w="0"/>
        <w:jc w:val="center"/>
        <w:tblLook w:firstColumn="1" w:firstRow="1" w:lastColumn="0" w:lastRow="0" w:noHBand="0" w:noVBand="1" w:val="04A0"/>
      </w:tblPr>
      <w:tblGrid>
        <w:gridCol w:w="10070"/>
      </w:tblGrid>
      <w:tr>
        <w:tc>
          <w:tcPr>
            <w:tcW w:type="dxa" w:w="10070"/>
            <w:shd w:fill="F9EAEA"/>
            <w:tcMar>
              <w:top w:w="120" w:type="dxa"/>
              <w:start w:w="140" w:type="dxa"/>
              <w:bottom w:w="120" w:type="dxa"/>
              <w:end w:w="140" w:type="dxa"/>
            </w:tcMar>
          </w:tcPr>
          <w:p>
            <w:r>
              <w:rPr>
                <w:rFonts w:ascii="DejaVu Sans" w:hAnsi="DejaVu Sans" w:eastAsia="DejaVu Sans"/>
                <w:b/>
                <w:i w:val="0"/>
                <w:color w:val="9E2A2B"/>
                <w:sz w:val="18"/>
              </w:rPr>
              <w:t xml:space="preserve">Scope of Theorem 52.2. </w:t>
            </w:r>
            <w:r>
              <w:rPr>
                <w:rFonts w:ascii="DejaVu Serif" w:hAnsi="DejaVu Serif" w:eastAsia="DejaVu Serif"/>
                <w:b w:val="0"/>
                <w:i w:val="0"/>
                <w:sz w:val="18"/>
              </w:rPr>
              <w:t>This theorem solves the internal existence problem for C, delta, and Theta. It does not identify this H^3 with Hochschild, Chevalley-Eilenberg, de Rham, Quillen, analytic, topological, or physical cohomology.</w:t>
            </w:r>
          </w:p>
        </w:tc>
      </w:tr>
    </w:tbl>
    <w:p>
      <w:pPr>
        <w:spacing w:after="40"/>
      </w:pPr>
    </w:p>
    <w:p>
      <w:pPr>
        <w:pStyle w:val="Heading2"/>
        <w:keepNext/>
      </w:pPr>
      <w:r>
        <w:t>52.7. Functoriality and Natural Invariance</w:t>
      </w:r>
    </w:p>
    <w:p>
      <w:pPr>
        <w:spacing w:before="100" w:after="60"/>
      </w:pPr>
      <w:r>
        <w:rPr>
          <w:rFonts w:ascii="DejaVu Serif" w:hAnsi="DejaVu Serif" w:eastAsia="DejaVu Serif"/>
          <w:b/>
          <w:i w:val="0"/>
          <w:color w:val="173B63"/>
        </w:rPr>
        <w:t xml:space="preserve">Lemma 52.3 - Cochain transport [THM]. </w:t>
      </w:r>
      <w:r>
        <w:rPr>
          <w:rFonts w:ascii="DejaVu Serif" w:hAnsi="DejaVu Serif" w:eastAsia="DejaVu Serif"/>
          <w:b w:val="0"/>
          <w:i w:val="0"/>
        </w:rPr>
        <w:t>Every NAPG_q morphism f:N-&gt;N-prime defines a cochain map C_min(f), equal to phi_F in degree 2 and phi_X in degree 3.</w:t>
      </w:r>
    </w:p>
    <w:p>
      <w:pPr>
        <w:ind w:left="283" w:right="113"/>
        <w:jc w:val="both"/>
      </w:pPr>
      <w:r>
        <w:rPr>
          <w:rFonts w:ascii="DejaVu Serif" w:hAnsi="DejaVu Serif" w:eastAsia="DejaVu Serif"/>
          <w:b/>
          <w:i/>
        </w:rPr>
        <w:t xml:space="preserve">Proof. </w:t>
      </w:r>
      <w:r>
        <w:rPr>
          <w:rFonts w:ascii="DejaVu Serif" w:hAnsi="DejaVu Serif" w:eastAsia="DejaVu Serif"/>
          <w:b w:val="0"/>
          <w:i/>
        </w:rPr>
        <w:t>The only nontrivial cochain condition is Psi_Nprime^(2) o phi_F = phi_X o Psi_N^(2), which is exactly F076.</w:t>
      </w:r>
    </w:p>
    <w:p>
      <w:pPr>
        <w:spacing w:before="100" w:after="60"/>
      </w:pPr>
      <w:r>
        <w:rPr>
          <w:rFonts w:ascii="DejaVu Serif" w:hAnsi="DejaVu Serif" w:eastAsia="DejaVu Serif"/>
          <w:b/>
          <w:i w:val="0"/>
          <w:color w:val="173B63"/>
        </w:rPr>
        <w:t xml:space="preserve">Theorem 52.4 - Naturality of kappa [THM]. </w:t>
      </w:r>
      <w:r>
        <w:rPr>
          <w:rFonts w:ascii="DejaVu Serif" w:hAnsi="DejaVu Serif" w:eastAsia="DejaVu Serif"/>
          <w:b w:val="0"/>
          <w:i w:val="0"/>
        </w:rPr>
        <w:t>The family kappa_N is a natural isomorphism O_B =&gt; H^3 o C_min.</w:t>
      </w:r>
    </w:p>
    <w:p>
      <w:pPr>
        <w:ind w:left="283" w:right="113"/>
        <w:jc w:val="both"/>
      </w:pPr>
      <w:r>
        <w:rPr>
          <w:rFonts w:ascii="DejaVu Serif" w:hAnsi="DejaVu Serif" w:eastAsia="DejaVu Serif"/>
          <w:b/>
          <w:i/>
        </w:rPr>
        <w:t xml:space="preserve">Proof. </w:t>
      </w:r>
      <w:r>
        <w:rPr>
          <w:rFonts w:ascii="DejaVu Serif" w:hAnsi="DejaVu Serif" w:eastAsia="DejaVu Serif"/>
          <w:b w:val="0"/>
          <w:i/>
        </w:rPr>
        <w:t>For [x], both routes through the naturality square yield [phi_X(x)]. If f is an isomorphism, the obstruction class is preserved under canonical transport.</w:t>
      </w:r>
    </w:p>
    <w:p>
      <w:pPr>
        <w:spacing w:before="80" w:after="100"/>
        <w:jc w:val="center"/>
      </w:pPr>
      <w:r>
        <w:rPr>
          <w:rFonts w:ascii="DejaVu Serif" w:hAnsi="DejaVu Serif" w:eastAsia="DejaVu Serif"/>
          <w:b w:val="0"/>
          <w:i w:val="0"/>
          <w:sz w:val="21"/>
        </w:rPr>
        <w:t>F081  H^3(C_min(f)) o kappa_N = kappa_Nprime o phi_O</w:t>
      </w:r>
      <w:r>
        <w:rPr>
          <w:rFonts w:ascii="DejaVu Serif" w:hAnsi="DejaVu Serif" w:eastAsia="DejaVu Serif"/>
          <w:b w:val="0"/>
          <w:i/>
          <w:color w:val="6B7280"/>
          <w:sz w:val="17"/>
        </w:rPr>
        <w:t xml:space="preserve">    [RU p. 217]</w:t>
      </w:r>
    </w:p>
    <w:p>
      <w:pPr>
        <w:pStyle w:val="Heading2"/>
        <w:keepNext/>
      </w:pPr>
      <w:r>
        <w:t>52.8. External E-Layer and Chain Bridge</w:t>
      </w:r>
    </w:p>
    <w:p>
      <w:pPr>
        <w:spacing w:after="80" w:line="269" w:lineRule="auto"/>
        <w:jc w:val="both"/>
      </w:pPr>
      <w:r>
        <w:rPr>
          <w:rFonts w:ascii="DejaVu Serif" w:hAnsi="DejaVu Serif" w:eastAsia="DejaVu Serif"/>
          <w:b w:val="0"/>
          <w:i w:val="0"/>
        </w:rPr>
        <w:t>An external E-layer is a functor E_bullet:NAPG_q-&gt;CoCh_K. A bridge J:C_min=&gt;E is a natural cochain map. Its degree-2 and degree-3 components must satisfy the complete domain and chain conditions below.</w:t>
      </w:r>
    </w:p>
    <w:p>
      <w:pPr>
        <w:spacing w:before="80" w:after="100"/>
        <w:jc w:val="center"/>
      </w:pPr>
      <w:r>
        <w:rPr>
          <w:rFonts w:ascii="DejaVu Serif" w:hAnsi="DejaVu Serif" w:eastAsia="DejaVu Serif"/>
          <w:b w:val="0"/>
          <w:i w:val="0"/>
          <w:sz w:val="21"/>
        </w:rPr>
        <w:t>F082  d_E^2 o J_N^2 = J_N^3 o Psi_N^(2); d_E^3 o J_N^3 = 0</w:t>
      </w:r>
      <w:r>
        <w:rPr>
          <w:rFonts w:ascii="DejaVu Serif" w:hAnsi="DejaVu Serif" w:eastAsia="DejaVu Serif"/>
          <w:b w:val="0"/>
          <w:i/>
          <w:color w:val="6B7280"/>
          <w:sz w:val="17"/>
        </w:rPr>
        <w:t xml:space="preserve">    [RU p. 218]</w:t>
      </w:r>
    </w:p>
    <w:p>
      <w:pPr>
        <w:spacing w:before="80" w:after="100"/>
        <w:jc w:val="center"/>
      </w:pPr>
      <w:r>
        <w:rPr>
          <w:rFonts w:ascii="DejaVu Serif" w:hAnsi="DejaVu Serif" w:eastAsia="DejaVu Serif"/>
          <w:b w:val="0"/>
          <w:i w:val="0"/>
          <w:sz w:val="21"/>
        </w:rPr>
        <w:t>F083  E^3(f)oJ_N^3=J_Nprime^3 o phi_X; E^2(f)oJ_N^2=J_Nprime^2 o phi_F</w:t>
      </w:r>
      <w:r>
        <w:rPr>
          <w:rFonts w:ascii="DejaVu Serif" w:hAnsi="DejaVu Serif" w:eastAsia="DejaVu Serif"/>
          <w:b w:val="0"/>
          <w:i/>
          <w:color w:val="6B7280"/>
          <w:sz w:val="17"/>
        </w:rPr>
        <w:t xml:space="preserve">    [RU p. 218]</w:t>
      </w:r>
    </w:p>
    <w:p>
      <w:pPr>
        <w:spacing w:before="100" w:after="60"/>
      </w:pPr>
      <w:r>
        <w:rPr>
          <w:rFonts w:ascii="DejaVu Serif" w:hAnsi="DejaVu Serif" w:eastAsia="DejaVu Serif"/>
          <w:b/>
          <w:i w:val="0"/>
          <w:color w:val="173B63"/>
        </w:rPr>
        <w:t xml:space="preserve">Lemma 52.5 - Criterion for an external bridge [THM]. </w:t>
      </w:r>
      <w:r>
        <w:rPr>
          <w:rFonts w:ascii="DejaVu Serif" w:hAnsi="DejaVu Serif" w:eastAsia="DejaVu Serif"/>
          <w:b w:val="0"/>
          <w:i w:val="0"/>
        </w:rPr>
        <w:t>For fixed complexes E(N), maps J_N^2 and J_N^3 extend to a cochain map C_min(N)-&gt;E(N) exactly when F082 holds. The family is natural exactly when F083 also holds on the selected subcategory.</w:t>
      </w:r>
    </w:p>
    <w:p>
      <w:pPr>
        <w:ind w:left="283" w:right="113"/>
        <w:jc w:val="both"/>
      </w:pPr>
      <w:r>
        <w:rPr>
          <w:rFonts w:ascii="DejaVu Serif" w:hAnsi="DejaVu Serif" w:eastAsia="DejaVu Serif"/>
          <w:b/>
          <w:i/>
        </w:rPr>
        <w:t xml:space="preserve">Proof. </w:t>
      </w:r>
      <w:r>
        <w:rPr>
          <w:rFonts w:ascii="DejaVu Serif" w:hAnsi="DejaVu Serif" w:eastAsia="DejaVu Serif"/>
          <w:b w:val="0"/>
          <w:i/>
        </w:rPr>
        <w:t>C_min is nonzero only in degrees 2 and 3, so these equalities exhaust the cochain and naturality conditions.</w:t>
      </w:r>
    </w:p>
    <w:p>
      <w:pPr>
        <w:pStyle w:val="Heading2"/>
        <w:keepNext/>
      </w:pPr>
      <w:r>
        <w:t>52.9. Bridge Hypotheses B1-B8</w:t>
      </w:r>
    </w:p>
    <w:tbl>
      <w:tblPr>
        <w:tblStyle w:val="TableGrid"/>
        <w:tblW w:type="auto" w:w="0"/>
        <w:jc w:val="center"/>
        <w:tblLook w:firstColumn="1" w:firstRow="1" w:lastColumn="0" w:lastRow="0" w:noHBand="0" w:noVBand="1" w:val="04A0"/>
      </w:tblPr>
      <w:tblGrid>
        <w:gridCol w:w="5035"/>
        <w:gridCol w:w="5035"/>
      </w:tblGrid>
      <w:tr>
        <w:trPr>
          <w:tblHeader w:val="true"/>
        </w:trPr>
        <w:tc>
          <w:tcPr>
            <w:tcW w:type="dxa" w:w="113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Code</w:t>
            </w:r>
          </w:p>
        </w:tc>
        <w:tc>
          <w:tcPr>
            <w:tcW w:type="dxa" w:w="8050"/>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Bridge hypothesis</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6"/>
              </w:rPr>
              <w:t>B1</w:t>
            </w:r>
          </w:p>
        </w:tc>
        <w:tc>
          <w:tcPr>
            <w:tcW w:type="dxa" w:w="8050"/>
            <w:tcMar>
              <w:top w:w="90" w:type="dxa"/>
              <w:start w:w="110" w:type="dxa"/>
              <w:bottom w:w="90" w:type="dxa"/>
              <w:end w:w="110" w:type="dxa"/>
            </w:tcMar>
            <w:vAlign w:val="center"/>
          </w:tcPr>
          <w:p>
            <w:pPr>
              <w:jc w:val="left"/>
            </w:pPr>
            <w:r>
              <w:rPr>
                <w:rFonts w:ascii="DejaVu Serif" w:hAnsi="DejaVu Serif" w:eastAsia="DejaVu Serif"/>
                <w:b w:val="0"/>
                <w:i w:val="0"/>
                <w:sz w:val="16"/>
              </w:rPr>
              <w:t>N belongs to NAPG_q and F^(2), X^(2), Psi^(2) are complete linear data.</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B2</w:t>
            </w:r>
          </w:p>
        </w:tc>
        <w:tc>
          <w:tcPr>
            <w:tcW w:type="dxa" w:w="8050"/>
            <w:tcMar>
              <w:top w:w="90" w:type="dxa"/>
              <w:start w:w="110" w:type="dxa"/>
              <w:bottom w:w="90" w:type="dxa"/>
              <w:end w:w="110" w:type="dxa"/>
            </w:tcMar>
            <w:vAlign w:val="center"/>
            <w:shd w:fill="F4F7FA"/>
          </w:tcPr>
          <w:p>
            <w:pPr>
              <w:jc w:val="left"/>
            </w:pPr>
            <w:r>
              <w:rPr>
                <w:rFonts w:ascii="DejaVu Serif" w:hAnsi="DejaVu Serif" w:eastAsia="DejaVu Serif"/>
                <w:b w:val="0"/>
                <w:i w:val="0"/>
                <w:sz w:val="16"/>
              </w:rPr>
              <w:t>E is a genuine cochain complex: d_E^(n+1)d_E^n=0.</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6"/>
              </w:rPr>
              <w:t>B3</w:t>
            </w:r>
          </w:p>
        </w:tc>
        <w:tc>
          <w:tcPr>
            <w:tcW w:type="dxa" w:w="8050"/>
            <w:tcMar>
              <w:top w:w="90" w:type="dxa"/>
              <w:start w:w="110" w:type="dxa"/>
              <w:bottom w:w="90" w:type="dxa"/>
              <w:end w:w="110" w:type="dxa"/>
            </w:tcMar>
            <w:vAlign w:val="center"/>
          </w:tcPr>
          <w:p>
            <w:pPr>
              <w:jc w:val="left"/>
            </w:pPr>
            <w:r>
              <w:rPr>
                <w:rFonts w:ascii="DejaVu Serif" w:hAnsi="DejaVu Serif" w:eastAsia="DejaVu Serif"/>
                <w:b w:val="0"/>
                <w:i w:val="0"/>
                <w:sz w:val="16"/>
              </w:rPr>
              <w:t>J^2 and J^3 are defined on the complete domains.</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B4</w:t>
            </w:r>
          </w:p>
        </w:tc>
        <w:tc>
          <w:tcPr>
            <w:tcW w:type="dxa" w:w="8050"/>
            <w:tcMar>
              <w:top w:w="90" w:type="dxa"/>
              <w:start w:w="110" w:type="dxa"/>
              <w:bottom w:w="90" w:type="dxa"/>
              <w:end w:w="110" w:type="dxa"/>
            </w:tcMar>
            <w:vAlign w:val="center"/>
            <w:shd w:fill="F4F7FA"/>
          </w:tcPr>
          <w:p>
            <w:pPr>
              <w:jc w:val="left"/>
            </w:pPr>
            <w:r>
              <w:rPr>
                <w:rFonts w:ascii="DejaVu Serif" w:hAnsi="DejaVu Serif" w:eastAsia="DejaVu Serif"/>
                <w:b w:val="0"/>
                <w:i w:val="0"/>
                <w:sz w:val="16"/>
              </w:rPr>
              <w:t>The chain equalities F082 hold.</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6"/>
              </w:rPr>
              <w:t>B5</w:t>
            </w:r>
          </w:p>
        </w:tc>
        <w:tc>
          <w:tcPr>
            <w:tcW w:type="dxa" w:w="8050"/>
            <w:tcMar>
              <w:top w:w="90" w:type="dxa"/>
              <w:start w:w="110" w:type="dxa"/>
              <w:bottom w:w="90" w:type="dxa"/>
              <w:end w:w="110" w:type="dxa"/>
            </w:tcMar>
            <w:vAlign w:val="center"/>
          </w:tcPr>
          <w:p>
            <w:pPr>
              <w:jc w:val="left"/>
            </w:pPr>
            <w:r>
              <w:rPr>
                <w:rFonts w:ascii="DejaVu Serif" w:hAnsi="DejaVu Serif" w:eastAsia="DejaVu Serif"/>
                <w:b w:val="0"/>
                <w:i w:val="0"/>
                <w:sz w:val="16"/>
              </w:rPr>
              <w:t>Naturality F083 holds for the claimed invariance.</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B6</w:t>
            </w:r>
          </w:p>
        </w:tc>
        <w:tc>
          <w:tcPr>
            <w:tcW w:type="dxa" w:w="8050"/>
            <w:tcMar>
              <w:top w:w="90" w:type="dxa"/>
              <w:start w:w="110" w:type="dxa"/>
              <w:bottom w:w="90" w:type="dxa"/>
              <w:end w:w="110" w:type="dxa"/>
            </w:tcMar>
            <w:vAlign w:val="center"/>
            <w:shd w:fill="F4F7FA"/>
          </w:tcPr>
          <w:p>
            <w:pPr>
              <w:jc w:val="left"/>
            </w:pPr>
            <w:r>
              <w:rPr>
                <w:rFonts w:ascii="DejaVu Serif" w:hAnsi="DejaVu Serif" w:eastAsia="DejaVu Serif"/>
                <w:b w:val="0"/>
                <w:i w:val="0"/>
                <w:sz w:val="16"/>
              </w:rPr>
              <w:t>H^3(J_N) is injective for reverse detection.</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6"/>
              </w:rPr>
              <w:t>B7</w:t>
            </w:r>
          </w:p>
        </w:tc>
        <w:tc>
          <w:tcPr>
            <w:tcW w:type="dxa" w:w="8050"/>
            <w:tcMar>
              <w:top w:w="90" w:type="dxa"/>
              <w:start w:w="110" w:type="dxa"/>
              <w:bottom w:w="90" w:type="dxa"/>
              <w:end w:w="110" w:type="dxa"/>
            </w:tcMar>
            <w:vAlign w:val="center"/>
          </w:tcPr>
          <w:p>
            <w:pPr>
              <w:jc w:val="left"/>
            </w:pPr>
            <w:r>
              <w:rPr>
                <w:rFonts w:ascii="DejaVu Serif" w:hAnsi="DejaVu Serif" w:eastAsia="DejaVu Serif"/>
                <w:b w:val="0"/>
                <w:i w:val="0"/>
                <w:sz w:val="16"/>
              </w:rPr>
              <w:t>A separate natural beta_Ass map encodes associator tests.</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B8</w:t>
            </w:r>
          </w:p>
        </w:tc>
        <w:tc>
          <w:tcPr>
            <w:tcW w:type="dxa" w:w="8050"/>
            <w:tcMar>
              <w:top w:w="90" w:type="dxa"/>
              <w:start w:w="110" w:type="dxa"/>
              <w:bottom w:w="90" w:type="dxa"/>
              <w:end w:w="110" w:type="dxa"/>
            </w:tcMar>
            <w:vAlign w:val="center"/>
            <w:shd w:fill="F4F7FA"/>
          </w:tcPr>
          <w:p>
            <w:pPr>
              <w:jc w:val="left"/>
            </w:pPr>
            <w:r>
              <w:rPr>
                <w:rFonts w:ascii="DejaVu Serif" w:hAnsi="DejaVu Serif" w:eastAsia="DejaVu Serif"/>
                <w:b w:val="0"/>
                <w:i w:val="0"/>
                <w:sz w:val="16"/>
              </w:rPr>
              <w:t>Topological, analytic, and physical meanings are separately defined and are not consequences of B1-B7.</w:t>
            </w:r>
          </w:p>
        </w:tc>
      </w:tr>
    </w:tbl>
    <w:p>
      <w:pPr>
        <w:spacing w:after="40"/>
      </w:pPr>
    </w:p>
    <w:p>
      <w:pPr>
        <w:spacing w:before="100" w:after="60"/>
      </w:pPr>
      <w:r>
        <w:rPr>
          <w:rFonts w:ascii="DejaVu Serif" w:hAnsi="DejaVu Serif" w:eastAsia="DejaVu Serif"/>
          <w:b/>
          <w:i w:val="0"/>
          <w:color w:val="173B63"/>
        </w:rPr>
        <w:t xml:space="preserve">Theorem 52.6 - Conditional natural external bridge [THM]. </w:t>
      </w:r>
      <w:r>
        <w:rPr>
          <w:rFonts w:ascii="DejaVu Serif" w:hAnsi="DejaVu Serif" w:eastAsia="DejaVu Serif"/>
          <w:b w:val="0"/>
          <w:i w:val="0"/>
        </w:rPr>
        <w:t>Under B1-B5, Pi_E,N:=H^3(J_N)o kappa_N is a well-defined natural linear map O_B(N)-&gt;H^3(E(N)). A nonzero external image implies a nonzero internal obstruction. The converse requires B6; complete preservation requires H^3(J_N) to be an isomorphism.</w:t>
      </w:r>
    </w:p>
    <w:p>
      <w:pPr>
        <w:ind w:left="283" w:right="113"/>
        <w:jc w:val="both"/>
      </w:pPr>
      <w:r>
        <w:rPr>
          <w:rFonts w:ascii="DejaVu Serif" w:hAnsi="DejaVu Serif" w:eastAsia="DejaVu Serif"/>
          <w:b/>
          <w:i/>
        </w:rPr>
        <w:t xml:space="preserve">Proof. </w:t>
      </w:r>
      <w:r>
        <w:rPr>
          <w:rFonts w:ascii="DejaVu Serif" w:hAnsi="DejaVu Serif" w:eastAsia="DejaVu Serif"/>
          <w:b w:val="0"/>
          <w:i/>
        </w:rPr>
        <w:t>A cochain map induces a map in cohomology. Naturality follows by composing the naturality of kappa and H^3(J). Every map sends zero to zero, which proves one-way detection; reverse detection is precisely injectivity.</w:t>
      </w:r>
    </w:p>
    <w:p>
      <w:pPr>
        <w:spacing w:before="80" w:after="100"/>
        <w:jc w:val="center"/>
      </w:pPr>
      <w:r>
        <w:rPr>
          <w:rFonts w:ascii="DejaVu Serif" w:hAnsi="DejaVu Serif" w:eastAsia="DejaVu Serif"/>
          <w:b w:val="0"/>
          <w:i w:val="0"/>
          <w:sz w:val="21"/>
        </w:rPr>
        <w:t>F084  Pi_E,N([x])=[J_N^3(x)]=[Theta_E,N(x)]</w:t>
      </w:r>
      <w:r>
        <w:rPr>
          <w:rFonts w:ascii="DejaVu Serif" w:hAnsi="DejaVu Serif" w:eastAsia="DejaVu Serif"/>
          <w:b w:val="0"/>
          <w:i/>
          <w:color w:val="6B7280"/>
          <w:sz w:val="17"/>
        </w:rPr>
        <w:t xml:space="preserve">    [RU p. 219]</w:t>
      </w:r>
    </w:p>
    <w:p>
      <w:pPr>
        <w:spacing w:before="80" w:after="100"/>
        <w:jc w:val="center"/>
      </w:pPr>
      <w:r>
        <w:rPr>
          <w:rFonts w:ascii="DejaVu Serif" w:hAnsi="DejaVu Serif" w:eastAsia="DejaVu Serif"/>
          <w:b w:val="0"/>
          <w:i w:val="0"/>
          <w:sz w:val="21"/>
        </w:rPr>
        <w:t>F085  H^3(E(f)) o Pi_E,N = Pi_E,Nprime o phi_O</w:t>
      </w:r>
      <w:r>
        <w:rPr>
          <w:rFonts w:ascii="DejaVu Serif" w:hAnsi="DejaVu Serif" w:eastAsia="DejaVu Serif"/>
          <w:b w:val="0"/>
          <w:i/>
          <w:color w:val="6B7280"/>
          <w:sz w:val="17"/>
        </w:rPr>
        <w:t xml:space="preserve">    [RU p. 219]</w:t>
      </w:r>
    </w:p>
    <w:p>
      <w:pPr>
        <w:pStyle w:val="Heading2"/>
        <w:keepNext/>
      </w:pPr>
      <w:r>
        <w:t>52.10. Separate Associator Channel</w:t>
      </w:r>
    </w:p>
    <w:p>
      <w:pPr>
        <w:spacing w:after="80" w:line="269" w:lineRule="auto"/>
        <w:jc w:val="both"/>
      </w:pPr>
      <w:r>
        <w:rPr>
          <w:rFonts w:ascii="DejaVu Serif" w:hAnsi="DejaVu Serif" w:eastAsia="DejaVu Serif"/>
          <w:b w:val="0"/>
          <w:i w:val="0"/>
        </w:rPr>
        <w:t>Let T_Ass(N) be the linear span of admissible triples and A_N[x,y,z]=Ass_odot(x,y,z). A class in H^3(E) is typed only after a natural map beta_E,N:T_Ass(N)-&gt;Z^3(E(N)) has been defined and proved compatible with the actual associator.</w:t>
      </w:r>
    </w:p>
    <w:p>
      <w:pPr>
        <w:spacing w:before="80" w:after="100"/>
        <w:jc w:val="center"/>
      </w:pPr>
      <w:r>
        <w:rPr>
          <w:rFonts w:ascii="DejaVu Serif" w:hAnsi="DejaVu Serif" w:eastAsia="DejaVu Serif"/>
          <w:b w:val="0"/>
          <w:i w:val="0"/>
          <w:sz w:val="21"/>
        </w:rPr>
        <w:t>F086  [Ass]_E := [beta_E,N(x,y,z)] in H^3(E(N))</w:t>
      </w:r>
      <w:r>
        <w:rPr>
          <w:rFonts w:ascii="DejaVu Serif" w:hAnsi="DejaVu Serif" w:eastAsia="DejaVu Serif"/>
          <w:b w:val="0"/>
          <w:i/>
          <w:color w:val="6B7280"/>
          <w:sz w:val="17"/>
        </w:rPr>
        <w:t xml:space="preserve">    [RU p. 219]</w:t>
      </w:r>
    </w:p>
    <w:p>
      <w:pPr>
        <w:spacing w:after="80" w:line="269" w:lineRule="auto"/>
        <w:jc w:val="both"/>
      </w:pPr>
      <w:r>
        <w:rPr>
          <w:rFonts w:ascii="DejaVu Serif" w:hAnsi="DejaVu Serif" w:eastAsia="DejaVu Serif"/>
          <w:b w:val="0"/>
          <w:i w:val="0"/>
        </w:rPr>
        <w:t>The formula additionally requires d_E^3 beta_E=0, independence of representation, naturality, and a proof that beta_E encodes the given associator rather than an arbitrary assigned cycle.</w:t>
      </w:r>
    </w:p>
    <w:p>
      <w:pPr>
        <w:pStyle w:val="Heading2"/>
        <w:keepNext/>
      </w:pPr>
      <w:r>
        <w:t>52.11. Counterexamples and Firewalls</w:t>
      </w:r>
    </w:p>
    <w:tbl>
      <w:tblPr>
        <w:tblStyle w:val="TableGrid"/>
        <w:tblW w:type="auto" w:w="0"/>
        <w:jc w:val="center"/>
        <w:tblLook w:firstColumn="1" w:firstRow="1" w:lastColumn="0" w:lastRow="0" w:noHBand="0" w:noVBand="1" w:val="04A0"/>
      </w:tblPr>
      <w:tblGrid>
        <w:gridCol w:w="5035"/>
        <w:gridCol w:w="5035"/>
      </w:tblGrid>
      <w:tr>
        <w:trPr>
          <w:tblHeader w:val="true"/>
        </w:trPr>
        <w:tc>
          <w:tcPr>
            <w:tcW w:type="dxa" w:w="136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Counterexample</w:t>
            </w:r>
          </w:p>
        </w:tc>
        <w:tc>
          <w:tcPr>
            <w:tcW w:type="dxa" w:w="782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Failure demonstrated</w:t>
            </w:r>
          </w:p>
        </w:tc>
      </w:tr>
      <w:tr>
        <w:tc>
          <w:tcPr>
            <w:tcW w:type="dxa" w:w="1361"/>
            <w:tcMar>
              <w:top w:w="90" w:type="dxa"/>
              <w:start w:w="110" w:type="dxa"/>
              <w:bottom w:w="90" w:type="dxa"/>
              <w:end w:w="110" w:type="dxa"/>
            </w:tcMar>
            <w:vAlign w:val="center"/>
          </w:tcPr>
          <w:p>
            <w:pPr>
              <w:jc w:val="center"/>
            </w:pPr>
            <w:r>
              <w:rPr>
                <w:rFonts w:ascii="DejaVu Serif" w:hAnsi="DejaVu Serif" w:eastAsia="DejaVu Serif"/>
                <w:b w:val="0"/>
                <w:i w:val="0"/>
                <w:sz w:val="16"/>
              </w:rPr>
              <w:t>52.1</w:t>
            </w:r>
          </w:p>
        </w:tc>
        <w:tc>
          <w:tcPr>
            <w:tcW w:type="dxa" w:w="7824"/>
            <w:tcMar>
              <w:top w:w="90" w:type="dxa"/>
              <w:start w:w="110" w:type="dxa"/>
              <w:bottom w:w="90" w:type="dxa"/>
              <w:end w:w="110" w:type="dxa"/>
            </w:tcMar>
            <w:vAlign w:val="center"/>
          </w:tcPr>
          <w:p>
            <w:pPr>
              <w:jc w:val="left"/>
            </w:pPr>
            <w:r>
              <w:rPr>
                <w:rFonts w:ascii="DejaVu Serif" w:hAnsi="DejaVu Serif" w:eastAsia="DejaVu Serif"/>
                <w:b w:val="0"/>
                <w:i w:val="0"/>
                <w:sz w:val="16"/>
              </w:rPr>
              <w:t>Arrows C2-&gt;C3-&gt;C4 with delta3 delta2 !=0 do not define cohomology.</w:t>
            </w:r>
          </w:p>
        </w:tc>
      </w:tr>
      <w:tr>
        <w:tc>
          <w:tcPr>
            <w:tcW w:type="dxa" w:w="136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52.2</w:t>
            </w:r>
          </w:p>
        </w:tc>
        <w:tc>
          <w:tcPr>
            <w:tcW w:type="dxa" w:w="7824"/>
            <w:tcMar>
              <w:top w:w="90" w:type="dxa"/>
              <w:start w:w="110" w:type="dxa"/>
              <w:bottom w:w="90" w:type="dxa"/>
              <w:end w:w="110" w:type="dxa"/>
            </w:tcMar>
            <w:vAlign w:val="center"/>
            <w:shd w:fill="F4F7FA"/>
          </w:tcPr>
          <w:p>
            <w:pPr>
              <w:jc w:val="left"/>
            </w:pPr>
            <w:r>
              <w:rPr>
                <w:rFonts w:ascii="DejaVu Serif" w:hAnsi="DejaVu Serif" w:eastAsia="DejaVu Serif"/>
                <w:b w:val="0"/>
                <w:i w:val="0"/>
                <w:sz w:val="16"/>
              </w:rPr>
              <w:t>A map not sending Im Psi into boundaries does not descend to O_B.</w:t>
            </w:r>
          </w:p>
        </w:tc>
      </w:tr>
      <w:tr>
        <w:tc>
          <w:tcPr>
            <w:tcW w:type="dxa" w:w="1361"/>
            <w:tcMar>
              <w:top w:w="90" w:type="dxa"/>
              <w:start w:w="110" w:type="dxa"/>
              <w:bottom w:w="90" w:type="dxa"/>
              <w:end w:w="110" w:type="dxa"/>
            </w:tcMar>
            <w:vAlign w:val="center"/>
          </w:tcPr>
          <w:p>
            <w:pPr>
              <w:jc w:val="center"/>
            </w:pPr>
            <w:r>
              <w:rPr>
                <w:rFonts w:ascii="DejaVu Serif" w:hAnsi="DejaVu Serif" w:eastAsia="DejaVu Serif"/>
                <w:b w:val="0"/>
                <w:i w:val="0"/>
                <w:sz w:val="16"/>
              </w:rPr>
              <w:t>52.3</w:t>
            </w:r>
          </w:p>
        </w:tc>
        <w:tc>
          <w:tcPr>
            <w:tcW w:type="dxa" w:w="7824"/>
            <w:tcMar>
              <w:top w:w="90" w:type="dxa"/>
              <w:start w:w="110" w:type="dxa"/>
              <w:bottom w:w="90" w:type="dxa"/>
              <w:end w:w="110" w:type="dxa"/>
            </w:tcMar>
            <w:vAlign w:val="center"/>
          </w:tcPr>
          <w:p>
            <w:pPr>
              <w:jc w:val="left"/>
            </w:pPr>
            <w:r>
              <w:rPr>
                <w:rFonts w:ascii="DejaVu Serif" w:hAnsi="DejaVu Serif" w:eastAsia="DejaVu Serif"/>
                <w:b w:val="0"/>
                <w:i w:val="0"/>
                <w:sz w:val="16"/>
              </w:rPr>
              <w:t>A zero external bridge may erase a nonzero internal obstruction; reverse detection needs injectivity.</w:t>
            </w:r>
          </w:p>
        </w:tc>
      </w:tr>
      <w:tr>
        <w:tc>
          <w:tcPr>
            <w:tcW w:type="dxa" w:w="136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52.4</w:t>
            </w:r>
          </w:p>
        </w:tc>
        <w:tc>
          <w:tcPr>
            <w:tcW w:type="dxa" w:w="7824"/>
            <w:tcMar>
              <w:top w:w="90" w:type="dxa"/>
              <w:start w:w="110" w:type="dxa"/>
              <w:bottom w:w="90" w:type="dxa"/>
              <w:end w:w="110" w:type="dxa"/>
            </w:tcMar>
            <w:vAlign w:val="center"/>
            <w:shd w:fill="F4F7FA"/>
          </w:tcPr>
          <w:p>
            <w:pPr>
              <w:jc w:val="left"/>
            </w:pPr>
            <w:r>
              <w:rPr>
                <w:rFonts w:ascii="DejaVu Serif" w:hAnsi="DejaVu Serif" w:eastAsia="DejaVu Serif"/>
                <w:b w:val="0"/>
                <w:i w:val="0"/>
                <w:sz w:val="16"/>
              </w:rPr>
              <w:t>Pointwise equal-looking maps need not be natural under isomorphism.</w:t>
            </w:r>
          </w:p>
        </w:tc>
      </w:tr>
      <w:tr>
        <w:tc>
          <w:tcPr>
            <w:tcW w:type="dxa" w:w="1361"/>
            <w:tcMar>
              <w:top w:w="90" w:type="dxa"/>
              <w:start w:w="110" w:type="dxa"/>
              <w:bottom w:w="90" w:type="dxa"/>
              <w:end w:w="110" w:type="dxa"/>
            </w:tcMar>
            <w:vAlign w:val="center"/>
          </w:tcPr>
          <w:p>
            <w:pPr>
              <w:jc w:val="center"/>
            </w:pPr>
            <w:r>
              <w:rPr>
                <w:rFonts w:ascii="DejaVu Serif" w:hAnsi="DejaVu Serif" w:eastAsia="DejaVu Serif"/>
                <w:b w:val="0"/>
                <w:i w:val="0"/>
                <w:sz w:val="16"/>
              </w:rPr>
              <w:t>52.5</w:t>
            </w:r>
          </w:p>
        </w:tc>
        <w:tc>
          <w:tcPr>
            <w:tcW w:type="dxa" w:w="7824"/>
            <w:tcMar>
              <w:top w:w="90" w:type="dxa"/>
              <w:start w:w="110" w:type="dxa"/>
              <w:bottom w:w="90" w:type="dxa"/>
              <w:end w:w="110" w:type="dxa"/>
            </w:tcMar>
            <w:vAlign w:val="center"/>
          </w:tcPr>
          <w:p>
            <w:pPr>
              <w:jc w:val="left"/>
            </w:pPr>
            <w:r>
              <w:rPr>
                <w:rFonts w:ascii="DejaVu Serif" w:hAnsi="DejaVu Serif" w:eastAsia="DejaVu Serif"/>
                <w:b w:val="0"/>
                <w:i w:val="0"/>
                <w:sz w:val="16"/>
              </w:rPr>
              <w:t>Quadratic obstruction and associator defect are independent before beta_Ass is supplied.</w:t>
            </w:r>
          </w:p>
        </w:tc>
      </w:tr>
      <w:tr>
        <w:tc>
          <w:tcPr>
            <w:tcW w:type="dxa" w:w="136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52.6</w:t>
            </w:r>
          </w:p>
        </w:tc>
        <w:tc>
          <w:tcPr>
            <w:tcW w:type="dxa" w:w="7824"/>
            <w:tcMar>
              <w:top w:w="90" w:type="dxa"/>
              <w:start w:w="110" w:type="dxa"/>
              <w:bottom w:w="90" w:type="dxa"/>
              <w:end w:w="110" w:type="dxa"/>
            </w:tcMar>
            <w:vAlign w:val="center"/>
            <w:shd w:fill="F4F7FA"/>
          </w:tcPr>
          <w:p>
            <w:pPr>
              <w:jc w:val="left"/>
            </w:pPr>
            <w:r>
              <w:rPr>
                <w:rFonts w:ascii="DejaVu Serif" w:hAnsi="DejaVu Serif" w:eastAsia="DejaVu Serif"/>
                <w:b w:val="0"/>
                <w:i w:val="0"/>
                <w:sz w:val="16"/>
              </w:rPr>
              <w:t>The tautological minimal complex creates no topology, metric, dynamics, field, curvature, or experiment.</w:t>
            </w:r>
          </w:p>
        </w:tc>
      </w:tr>
    </w:tbl>
    <w:p>
      <w:pPr>
        <w:spacing w:after="40"/>
      </w:pPr>
    </w:p>
    <w:p>
      <w:pPr>
        <w:pStyle w:val="Heading2"/>
        <w:keepNext/>
      </w:pPr>
      <w:r>
        <w:t>52.12. Additional Assumptions A11-A14</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113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Code</w:t>
            </w:r>
          </w:p>
        </w:tc>
        <w:tc>
          <w:tcPr>
            <w:tcW w:type="dxa" w:w="5329"/>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Additional assumption</w:t>
            </w:r>
          </w:p>
        </w:tc>
        <w:tc>
          <w:tcPr>
            <w:tcW w:type="dxa" w:w="272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Without it</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6"/>
              </w:rPr>
              <w:t>A11</w:t>
            </w:r>
          </w:p>
        </w:tc>
        <w:tc>
          <w:tcPr>
            <w:tcW w:type="dxa" w:w="5329"/>
            <w:tcMar>
              <w:top w:w="90" w:type="dxa"/>
              <w:start w:w="110" w:type="dxa"/>
              <w:bottom w:w="90" w:type="dxa"/>
              <w:end w:w="110" w:type="dxa"/>
            </w:tcMar>
            <w:vAlign w:val="center"/>
          </w:tcPr>
          <w:p>
            <w:pPr>
              <w:jc w:val="left"/>
            </w:pPr>
            <w:r>
              <w:rPr>
                <w:rFonts w:ascii="DejaVu Serif" w:hAnsi="DejaVu Serif" w:eastAsia="DejaVu Serif"/>
                <w:b w:val="0"/>
                <w:i w:val="0"/>
                <w:sz w:val="16"/>
              </w:rPr>
              <w:t>state whether the complex is C_min or external E</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6"/>
              </w:rPr>
              <w:t>only internal O_B is allowed</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A12</w:t>
            </w:r>
          </w:p>
        </w:tc>
        <w:tc>
          <w:tcPr>
            <w:tcW w:type="dxa" w:w="5329"/>
            <w:tcMar>
              <w:top w:w="90" w:type="dxa"/>
              <w:start w:w="110" w:type="dxa"/>
              <w:bottom w:w="90" w:type="dxa"/>
              <w:end w:w="110" w:type="dxa"/>
            </w:tcMar>
            <w:vAlign w:val="center"/>
            <w:shd w:fill="F4F7FA"/>
          </w:tcPr>
          <w:p>
            <w:pPr>
              <w:jc w:val="left"/>
            </w:pPr>
            <w:r>
              <w:rPr>
                <w:rFonts w:ascii="DejaVu Serif" w:hAnsi="DejaVu Serif" w:eastAsia="DejaVu Serif"/>
                <w:b w:val="0"/>
                <w:i w:val="0"/>
                <w:sz w:val="16"/>
              </w:rPr>
              <w:t>verify F082 and all map domains for E</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6"/>
              </w:rPr>
              <w:t>Pi_E is undefined</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6"/>
              </w:rPr>
              <w:t>A13</w:t>
            </w:r>
          </w:p>
        </w:tc>
        <w:tc>
          <w:tcPr>
            <w:tcW w:type="dxa" w:w="5329"/>
            <w:tcMar>
              <w:top w:w="90" w:type="dxa"/>
              <w:start w:w="110" w:type="dxa"/>
              <w:bottom w:w="90" w:type="dxa"/>
              <w:end w:w="110" w:type="dxa"/>
            </w:tcMar>
            <w:vAlign w:val="center"/>
          </w:tcPr>
          <w:p>
            <w:pPr>
              <w:jc w:val="left"/>
            </w:pPr>
            <w:r>
              <w:rPr>
                <w:rFonts w:ascii="DejaVu Serif" w:hAnsi="DejaVu Serif" w:eastAsia="DejaVu Serif"/>
                <w:b w:val="0"/>
                <w:i w:val="0"/>
                <w:sz w:val="16"/>
              </w:rPr>
              <w:t>verify naturality F083</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6"/>
              </w:rPr>
              <w:t>certificate depends on representation</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A14</w:t>
            </w:r>
          </w:p>
        </w:tc>
        <w:tc>
          <w:tcPr>
            <w:tcW w:type="dxa" w:w="5329"/>
            <w:tcMar>
              <w:top w:w="90" w:type="dxa"/>
              <w:start w:w="110" w:type="dxa"/>
              <w:bottom w:w="90" w:type="dxa"/>
              <w:end w:w="110" w:type="dxa"/>
            </w:tcMar>
            <w:vAlign w:val="center"/>
            <w:shd w:fill="F4F7FA"/>
          </w:tcPr>
          <w:p>
            <w:pPr>
              <w:jc w:val="left"/>
            </w:pPr>
            <w:r>
              <w:rPr>
                <w:rFonts w:ascii="DejaVu Serif" w:hAnsi="DejaVu Serif" w:eastAsia="DejaVu Serif"/>
                <w:b w:val="0"/>
                <w:i w:val="0"/>
                <w:sz w:val="16"/>
              </w:rPr>
              <w:t>prove B6 and/or B7 for reverse detection or associator claims</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6"/>
              </w:rPr>
              <w:t>only one-way detection; associator claim prohibited</w:t>
            </w:r>
          </w:p>
        </w:tc>
      </w:tr>
    </w:tbl>
    <w:p>
      <w:pPr>
        <w:spacing w:after="40"/>
      </w:pPr>
    </w:p>
    <w:p>
      <w:pPr>
        <w:spacing w:after="80" w:line="269" w:lineRule="auto"/>
        <w:jc w:val="both"/>
      </w:pPr>
      <w:r>
        <w:rPr>
          <w:rFonts w:ascii="DejaVu Serif" w:hAnsi="DejaVu Serif" w:eastAsia="DejaVu Serif"/>
          <w:b w:val="0"/>
          <w:i w:val="0"/>
        </w:rPr>
        <w:t>With A1-A14 and B1-B5, the internal class is invariant under NAPG_q isomorphisms; a nonzero external class certifies a nonzero quadratic obstruction; a zero external class does not exclude obstruction without B6; and neither kappa nor Pi_E promotes a truth layer or creates a physical conclusion.</w:t>
      </w:r>
    </w:p>
    <w:p>
      <w:pPr>
        <w:pStyle w:val="Heading2"/>
        <w:keepNext/>
      </w:pPr>
      <w:r>
        <w:t>52.13. Delta-Theta Proof-Obligation Register</w:t>
      </w:r>
    </w:p>
    <w:tbl>
      <w:tblPr>
        <w:tblStyle w:val="TableGrid"/>
        <w:tblW w:type="auto" w:w="0"/>
        <w:jc w:val="center"/>
        <w:tblLook w:firstColumn="1" w:firstRow="1" w:lastColumn="0" w:lastRow="0" w:noHBand="0" w:noVBand="1" w:val="04A0"/>
      </w:tblPr>
      <w:tblGrid>
        <w:gridCol w:w="2517"/>
        <w:gridCol w:w="2517"/>
        <w:gridCol w:w="2517"/>
        <w:gridCol w:w="2517"/>
      </w:tblGrid>
      <w:tr>
        <w:trPr>
          <w:tblHeader w:val="true"/>
        </w:trPr>
        <w:tc>
          <w:tcPr>
            <w:tcW w:type="dxa" w:w="113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4"/>
              </w:rPr>
              <w:t>ID</w:t>
            </w:r>
          </w:p>
        </w:tc>
        <w:tc>
          <w:tcPr>
            <w:tcW w:type="dxa" w:w="3345"/>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4"/>
              </w:rPr>
              <w:t>Obligation</w:t>
            </w:r>
          </w:p>
        </w:tc>
        <w:tc>
          <w:tcPr>
            <w:tcW w:type="dxa" w:w="232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4"/>
              </w:rPr>
              <w:t>Status</w:t>
            </w:r>
          </w:p>
        </w:tc>
        <w:tc>
          <w:tcPr>
            <w:tcW w:type="dxa" w:w="238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4"/>
              </w:rPr>
              <w:t>Boundary</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DT-01</w:t>
            </w:r>
          </w:p>
        </w:tc>
        <w:tc>
          <w:tcPr>
            <w:tcW w:type="dxa" w:w="3345"/>
            <w:tcMar>
              <w:top w:w="90" w:type="dxa"/>
              <w:start w:w="110" w:type="dxa"/>
              <w:bottom w:w="90" w:type="dxa"/>
              <w:end w:w="110" w:type="dxa"/>
            </w:tcMar>
            <w:vAlign w:val="center"/>
          </w:tcPr>
          <w:p>
            <w:pPr>
              <w:jc w:val="left"/>
            </w:pPr>
            <w:r>
              <w:rPr>
                <w:rFonts w:ascii="DejaVu Serif" w:hAnsi="DejaVu Serif" w:eastAsia="DejaVu Serif"/>
                <w:b w:val="0"/>
                <w:i w:val="0"/>
                <w:sz w:val="14"/>
              </w:rPr>
              <w:t>type F^(2), X^(2), Psi^(2), O_B</w:t>
            </w:r>
          </w:p>
        </w:tc>
        <w:tc>
          <w:tcPr>
            <w:tcW w:type="dxa" w:w="2324"/>
            <w:tcMar>
              <w:top w:w="90" w:type="dxa"/>
              <w:start w:w="110" w:type="dxa"/>
              <w:bottom w:w="90" w:type="dxa"/>
              <w:end w:w="110" w:type="dxa"/>
            </w:tcMar>
            <w:vAlign w:val="center"/>
          </w:tcPr>
          <w:p>
            <w:pPr>
              <w:jc w:val="left"/>
            </w:pPr>
            <w:r>
              <w:rPr>
                <w:rFonts w:ascii="DejaVu Serif" w:hAnsi="DejaVu Serif" w:eastAsia="DejaVu Serif"/>
                <w:b w:val="0"/>
                <w:i w:val="0"/>
                <w:sz w:val="14"/>
              </w:rPr>
              <w:t>closed for NAPG_q</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4"/>
              </w:rPr>
              <w:t>not untyped models</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DT-02</w:t>
            </w:r>
          </w:p>
        </w:tc>
        <w:tc>
          <w:tcPr>
            <w:tcW w:type="dxa" w:w="3345"/>
            <w:tcMar>
              <w:top w:w="90" w:type="dxa"/>
              <w:start w:w="110" w:type="dxa"/>
              <w:bottom w:w="90" w:type="dxa"/>
              <w:end w:w="110" w:type="dxa"/>
            </w:tcMar>
            <w:vAlign w:val="center"/>
            <w:shd w:fill="F4F7FA"/>
          </w:tcPr>
          <w:p>
            <w:pPr>
              <w:jc w:val="left"/>
            </w:pPr>
            <w:r>
              <w:rPr>
                <w:rFonts w:ascii="DejaVu Serif" w:hAnsi="DejaVu Serif" w:eastAsia="DejaVu Serif"/>
                <w:b w:val="0"/>
                <w:i w:val="0"/>
                <w:sz w:val="14"/>
              </w:rPr>
              <w:t>concrete C and delta for every frame</w:t>
            </w:r>
          </w:p>
        </w:tc>
        <w:tc>
          <w:tcPr>
            <w:tcW w:type="dxa" w:w="2324"/>
            <w:tcMar>
              <w:top w:w="90" w:type="dxa"/>
              <w:start w:w="110" w:type="dxa"/>
              <w:bottom w:w="90" w:type="dxa"/>
              <w:end w:w="110" w:type="dxa"/>
            </w:tcMar>
            <w:vAlign w:val="center"/>
            <w:shd w:fill="F4F7FA"/>
          </w:tcPr>
          <w:p>
            <w:pPr>
              <w:jc w:val="left"/>
            </w:pPr>
            <w:r>
              <w:rPr>
                <w:rFonts w:ascii="DejaVu Serif" w:hAnsi="DejaVu Serif" w:eastAsia="DejaVu Serif"/>
                <w:b w:val="0"/>
                <w:i w:val="0"/>
                <w:sz w:val="14"/>
              </w:rPr>
              <w:t>closed internally</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4"/>
              </w:rPr>
              <w:t>minimal two-stage complex</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DT-03</w:t>
            </w:r>
          </w:p>
        </w:tc>
        <w:tc>
          <w:tcPr>
            <w:tcW w:type="dxa" w:w="3345"/>
            <w:tcMar>
              <w:top w:w="90" w:type="dxa"/>
              <w:start w:w="110" w:type="dxa"/>
              <w:bottom w:w="90" w:type="dxa"/>
              <w:end w:w="110" w:type="dxa"/>
            </w:tcMar>
            <w:vAlign w:val="center"/>
          </w:tcPr>
          <w:p>
            <w:pPr>
              <w:jc w:val="left"/>
            </w:pPr>
            <w:r>
              <w:rPr>
                <w:rFonts w:ascii="DejaVu Serif" w:hAnsi="DejaVu Serif" w:eastAsia="DejaVu Serif"/>
                <w:b w:val="0"/>
                <w:i w:val="0"/>
                <w:sz w:val="14"/>
              </w:rPr>
              <w:t>concrete Theta on all X^(2)</w:t>
            </w:r>
          </w:p>
        </w:tc>
        <w:tc>
          <w:tcPr>
            <w:tcW w:type="dxa" w:w="2324"/>
            <w:tcMar>
              <w:top w:w="90" w:type="dxa"/>
              <w:start w:w="110" w:type="dxa"/>
              <w:bottom w:w="90" w:type="dxa"/>
              <w:end w:w="110" w:type="dxa"/>
            </w:tcMar>
            <w:vAlign w:val="center"/>
          </w:tcPr>
          <w:p>
            <w:pPr>
              <w:jc w:val="left"/>
            </w:pPr>
            <w:r>
              <w:rPr>
                <w:rFonts w:ascii="DejaVu Serif" w:hAnsi="DejaVu Serif" w:eastAsia="DejaVu Serif"/>
                <w:b w:val="0"/>
                <w:i w:val="0"/>
                <w:sz w:val="14"/>
              </w:rPr>
              <w:t>closed internally</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4"/>
              </w:rPr>
              <w:t>Theta_min is not external realization</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DT-04</w:t>
            </w:r>
          </w:p>
        </w:tc>
        <w:tc>
          <w:tcPr>
            <w:tcW w:type="dxa" w:w="3345"/>
            <w:tcMar>
              <w:top w:w="90" w:type="dxa"/>
              <w:start w:w="110" w:type="dxa"/>
              <w:bottom w:w="90" w:type="dxa"/>
              <w:end w:w="110" w:type="dxa"/>
            </w:tcMar>
            <w:vAlign w:val="center"/>
            <w:shd w:fill="F4F7FA"/>
          </w:tcPr>
          <w:p>
            <w:pPr>
              <w:jc w:val="left"/>
            </w:pPr>
            <w:r>
              <w:rPr>
                <w:rFonts w:ascii="DejaVu Serif" w:hAnsi="DejaVu Serif" w:eastAsia="DejaVu Serif"/>
                <w:b w:val="0"/>
                <w:i w:val="0"/>
                <w:sz w:val="14"/>
              </w:rPr>
              <w:t>identify O_B with H^3</w:t>
            </w:r>
          </w:p>
        </w:tc>
        <w:tc>
          <w:tcPr>
            <w:tcW w:type="dxa" w:w="2324"/>
            <w:tcMar>
              <w:top w:w="90" w:type="dxa"/>
              <w:start w:w="110" w:type="dxa"/>
              <w:bottom w:w="90" w:type="dxa"/>
              <w:end w:w="110" w:type="dxa"/>
            </w:tcMar>
            <w:vAlign w:val="center"/>
            <w:shd w:fill="F4F7FA"/>
          </w:tcPr>
          <w:p>
            <w:pPr>
              <w:jc w:val="left"/>
            </w:pPr>
            <w:r>
              <w:rPr>
                <w:rFonts w:ascii="DejaVu Serif" w:hAnsi="DejaVu Serif" w:eastAsia="DejaVu Serif"/>
                <w:b w:val="0"/>
                <w:i w:val="0"/>
                <w:sz w:val="14"/>
              </w:rPr>
              <w:t>closed</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4"/>
              </w:rPr>
              <w:t>tautological by construction</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DT-05</w:t>
            </w:r>
          </w:p>
        </w:tc>
        <w:tc>
          <w:tcPr>
            <w:tcW w:type="dxa" w:w="3345"/>
            <w:tcMar>
              <w:top w:w="90" w:type="dxa"/>
              <w:start w:w="110" w:type="dxa"/>
              <w:bottom w:w="90" w:type="dxa"/>
              <w:end w:w="110" w:type="dxa"/>
            </w:tcMar>
            <w:vAlign w:val="center"/>
          </w:tcPr>
          <w:p>
            <w:pPr>
              <w:jc w:val="left"/>
            </w:pPr>
            <w:r>
              <w:rPr>
                <w:rFonts w:ascii="DejaVu Serif" w:hAnsi="DejaVu Serif" w:eastAsia="DejaVu Serif"/>
                <w:b w:val="0"/>
                <w:i w:val="0"/>
                <w:sz w:val="14"/>
              </w:rPr>
              <w:t>functoriality and invariance</w:t>
            </w:r>
          </w:p>
        </w:tc>
        <w:tc>
          <w:tcPr>
            <w:tcW w:type="dxa" w:w="2324"/>
            <w:tcMar>
              <w:top w:w="90" w:type="dxa"/>
              <w:start w:w="110" w:type="dxa"/>
              <w:bottom w:w="90" w:type="dxa"/>
              <w:end w:w="110" w:type="dxa"/>
            </w:tcMar>
            <w:vAlign w:val="center"/>
          </w:tcPr>
          <w:p>
            <w:pPr>
              <w:jc w:val="left"/>
            </w:pPr>
            <w:r>
              <w:rPr>
                <w:rFonts w:ascii="DejaVu Serif" w:hAnsi="DejaVu Serif" w:eastAsia="DejaVu Serif"/>
                <w:b w:val="0"/>
                <w:i w:val="0"/>
                <w:sz w:val="14"/>
              </w:rPr>
              <w:t>closed in NAPG_q</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4"/>
              </w:rPr>
              <w:t>requires F076</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DT-06</w:t>
            </w:r>
          </w:p>
        </w:tc>
        <w:tc>
          <w:tcPr>
            <w:tcW w:type="dxa" w:w="3345"/>
            <w:tcMar>
              <w:top w:w="90" w:type="dxa"/>
              <w:start w:w="110" w:type="dxa"/>
              <w:bottom w:w="90" w:type="dxa"/>
              <w:end w:w="110" w:type="dxa"/>
            </w:tcMar>
            <w:vAlign w:val="center"/>
            <w:shd w:fill="F4F7FA"/>
          </w:tcPr>
          <w:p>
            <w:pPr>
              <w:jc w:val="left"/>
            </w:pPr>
            <w:r>
              <w:rPr>
                <w:rFonts w:ascii="DejaVu Serif" w:hAnsi="DejaVu Serif" w:eastAsia="DejaVu Serif"/>
                <w:b w:val="0"/>
                <w:i w:val="0"/>
                <w:sz w:val="14"/>
              </w:rPr>
              <w:t>existence of external E complex</w:t>
            </w:r>
          </w:p>
        </w:tc>
        <w:tc>
          <w:tcPr>
            <w:tcW w:type="dxa" w:w="2324"/>
            <w:tcMar>
              <w:top w:w="90" w:type="dxa"/>
              <w:start w:w="110" w:type="dxa"/>
              <w:bottom w:w="90" w:type="dxa"/>
              <w:end w:w="110" w:type="dxa"/>
            </w:tcMar>
            <w:vAlign w:val="center"/>
            <w:shd w:fill="F4F7FA"/>
          </w:tcPr>
          <w:p>
            <w:pPr>
              <w:jc w:val="left"/>
            </w:pPr>
            <w:r>
              <w:rPr>
                <w:rFonts w:ascii="DejaVu Serif" w:hAnsi="DejaVu Serif" w:eastAsia="DejaVu Serif"/>
                <w:b w:val="0"/>
                <w:i w:val="0"/>
                <w:sz w:val="14"/>
              </w:rPr>
              <w:t>conditional / model-open</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4"/>
              </w:rPr>
              <w:t>not canonical</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DT-07</w:t>
            </w:r>
          </w:p>
        </w:tc>
        <w:tc>
          <w:tcPr>
            <w:tcW w:type="dxa" w:w="3345"/>
            <w:tcMar>
              <w:top w:w="90" w:type="dxa"/>
              <w:start w:w="110" w:type="dxa"/>
              <w:bottom w:w="90" w:type="dxa"/>
              <w:end w:w="110" w:type="dxa"/>
            </w:tcMar>
            <w:vAlign w:val="center"/>
          </w:tcPr>
          <w:p>
            <w:pPr>
              <w:jc w:val="left"/>
            </w:pPr>
            <w:r>
              <w:rPr>
                <w:rFonts w:ascii="DejaVu Serif" w:hAnsi="DejaVu Serif" w:eastAsia="DejaVu Serif"/>
                <w:b w:val="0"/>
                <w:i w:val="0"/>
                <w:sz w:val="14"/>
              </w:rPr>
              <w:t>chain bridge J</w:t>
            </w:r>
          </w:p>
        </w:tc>
        <w:tc>
          <w:tcPr>
            <w:tcW w:type="dxa" w:w="2324"/>
            <w:tcMar>
              <w:top w:w="90" w:type="dxa"/>
              <w:start w:w="110" w:type="dxa"/>
              <w:bottom w:w="90" w:type="dxa"/>
              <w:end w:w="110" w:type="dxa"/>
            </w:tcMar>
            <w:vAlign w:val="center"/>
          </w:tcPr>
          <w:p>
            <w:pPr>
              <w:jc w:val="left"/>
            </w:pPr>
            <w:r>
              <w:rPr>
                <w:rFonts w:ascii="DejaVu Serif" w:hAnsi="DejaVu Serif" w:eastAsia="DejaVu Serif"/>
                <w:b w:val="0"/>
                <w:i w:val="0"/>
                <w:sz w:val="14"/>
              </w:rPr>
              <w:t>conditional theorem</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4"/>
              </w:rPr>
              <w:t>requires F082</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DT-08</w:t>
            </w:r>
          </w:p>
        </w:tc>
        <w:tc>
          <w:tcPr>
            <w:tcW w:type="dxa" w:w="3345"/>
            <w:tcMar>
              <w:top w:w="90" w:type="dxa"/>
              <w:start w:w="110" w:type="dxa"/>
              <w:bottom w:w="90" w:type="dxa"/>
              <w:end w:w="110" w:type="dxa"/>
            </w:tcMar>
            <w:vAlign w:val="center"/>
            <w:shd w:fill="F4F7FA"/>
          </w:tcPr>
          <w:p>
            <w:pPr>
              <w:jc w:val="left"/>
            </w:pPr>
            <w:r>
              <w:rPr>
                <w:rFonts w:ascii="DejaVu Serif" w:hAnsi="DejaVu Serif" w:eastAsia="DejaVu Serif"/>
                <w:b w:val="0"/>
                <w:i w:val="0"/>
                <w:sz w:val="14"/>
              </w:rPr>
              <w:t>naturality of external certificate</w:t>
            </w:r>
          </w:p>
        </w:tc>
        <w:tc>
          <w:tcPr>
            <w:tcW w:type="dxa" w:w="2324"/>
            <w:tcMar>
              <w:top w:w="90" w:type="dxa"/>
              <w:start w:w="110" w:type="dxa"/>
              <w:bottom w:w="90" w:type="dxa"/>
              <w:end w:w="110" w:type="dxa"/>
            </w:tcMar>
            <w:vAlign w:val="center"/>
            <w:shd w:fill="F4F7FA"/>
          </w:tcPr>
          <w:p>
            <w:pPr>
              <w:jc w:val="left"/>
            </w:pPr>
            <w:r>
              <w:rPr>
                <w:rFonts w:ascii="DejaVu Serif" w:hAnsi="DejaVu Serif" w:eastAsia="DejaVu Serif"/>
                <w:b w:val="0"/>
                <w:i w:val="0"/>
                <w:sz w:val="14"/>
              </w:rPr>
              <w:t>conditional theorem</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4"/>
              </w:rPr>
              <w:t>requires F083</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DT-09</w:t>
            </w:r>
          </w:p>
        </w:tc>
        <w:tc>
          <w:tcPr>
            <w:tcW w:type="dxa" w:w="3345"/>
            <w:tcMar>
              <w:top w:w="90" w:type="dxa"/>
              <w:start w:w="110" w:type="dxa"/>
              <w:bottom w:w="90" w:type="dxa"/>
              <w:end w:w="110" w:type="dxa"/>
            </w:tcMar>
            <w:vAlign w:val="center"/>
          </w:tcPr>
          <w:p>
            <w:pPr>
              <w:jc w:val="left"/>
            </w:pPr>
            <w:r>
              <w:rPr>
                <w:rFonts w:ascii="DejaVu Serif" w:hAnsi="DejaVu Serif" w:eastAsia="DejaVu Serif"/>
                <w:b w:val="0"/>
                <w:i w:val="0"/>
                <w:sz w:val="14"/>
              </w:rPr>
              <w:t>reverse detection from H^3(E)</w:t>
            </w:r>
          </w:p>
        </w:tc>
        <w:tc>
          <w:tcPr>
            <w:tcW w:type="dxa" w:w="2324"/>
            <w:tcMar>
              <w:top w:w="90" w:type="dxa"/>
              <w:start w:w="110" w:type="dxa"/>
              <w:bottom w:w="90" w:type="dxa"/>
              <w:end w:w="110" w:type="dxa"/>
            </w:tcMar>
            <w:vAlign w:val="center"/>
          </w:tcPr>
          <w:p>
            <w:pPr>
              <w:jc w:val="left"/>
            </w:pPr>
            <w:r>
              <w:rPr>
                <w:rFonts w:ascii="DejaVu Serif" w:hAnsi="DejaVu Serif" w:eastAsia="DejaVu Serif"/>
                <w:b w:val="0"/>
                <w:i w:val="0"/>
                <w:sz w:val="14"/>
              </w:rPr>
              <w:t>model-open</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4"/>
              </w:rPr>
              <w:t>requires injective H^3(J)</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DT-10</w:t>
            </w:r>
          </w:p>
        </w:tc>
        <w:tc>
          <w:tcPr>
            <w:tcW w:type="dxa" w:w="3345"/>
            <w:tcMar>
              <w:top w:w="90" w:type="dxa"/>
              <w:start w:w="110" w:type="dxa"/>
              <w:bottom w:w="90" w:type="dxa"/>
              <w:end w:w="110" w:type="dxa"/>
            </w:tcMar>
            <w:vAlign w:val="center"/>
            <w:shd w:fill="F4F7FA"/>
          </w:tcPr>
          <w:p>
            <w:pPr>
              <w:jc w:val="left"/>
            </w:pPr>
            <w:r>
              <w:rPr>
                <w:rFonts w:ascii="DejaVu Serif" w:hAnsi="DejaVu Serif" w:eastAsia="DejaVu Serif"/>
                <w:b w:val="0"/>
                <w:i w:val="0"/>
                <w:sz w:val="14"/>
              </w:rPr>
              <w:t>associator class in H^3</w:t>
            </w:r>
          </w:p>
        </w:tc>
        <w:tc>
          <w:tcPr>
            <w:tcW w:type="dxa" w:w="2324"/>
            <w:tcMar>
              <w:top w:w="90" w:type="dxa"/>
              <w:start w:w="110" w:type="dxa"/>
              <w:bottom w:w="90" w:type="dxa"/>
              <w:end w:w="110" w:type="dxa"/>
            </w:tcMar>
            <w:vAlign w:val="center"/>
            <w:shd w:fill="F4F7FA"/>
          </w:tcPr>
          <w:p>
            <w:pPr>
              <w:jc w:val="left"/>
            </w:pPr>
            <w:r>
              <w:rPr>
                <w:rFonts w:ascii="DejaVu Serif" w:hAnsi="DejaVu Serif" w:eastAsia="DejaVu Serif"/>
                <w:b w:val="0"/>
                <w:i w:val="0"/>
                <w:sz w:val="14"/>
              </w:rPr>
              <w:t>open</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4"/>
              </w:rPr>
              <w:t>requires beta_Ass or beta_E</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DT-11</w:t>
            </w:r>
          </w:p>
        </w:tc>
        <w:tc>
          <w:tcPr>
            <w:tcW w:type="dxa" w:w="3345"/>
            <w:tcMar>
              <w:top w:w="90" w:type="dxa"/>
              <w:start w:w="110" w:type="dxa"/>
              <w:bottom w:w="90" w:type="dxa"/>
              <w:end w:w="110" w:type="dxa"/>
            </w:tcMar>
            <w:vAlign w:val="center"/>
          </w:tcPr>
          <w:p>
            <w:pPr>
              <w:jc w:val="left"/>
            </w:pPr>
            <w:r>
              <w:rPr>
                <w:rFonts w:ascii="DejaVu Serif" w:hAnsi="DejaVu Serif" w:eastAsia="DejaVu Serif"/>
                <w:b w:val="0"/>
                <w:i w:val="0"/>
                <w:sz w:val="14"/>
              </w:rPr>
              <w:t>analytic continuity and closure</w:t>
            </w:r>
          </w:p>
        </w:tc>
        <w:tc>
          <w:tcPr>
            <w:tcW w:type="dxa" w:w="2324"/>
            <w:tcMar>
              <w:top w:w="90" w:type="dxa"/>
              <w:start w:w="110" w:type="dxa"/>
              <w:bottom w:w="90" w:type="dxa"/>
              <w:end w:w="110" w:type="dxa"/>
            </w:tcMar>
            <w:vAlign w:val="center"/>
          </w:tcPr>
          <w:p>
            <w:pPr>
              <w:jc w:val="left"/>
            </w:pPr>
            <w:r>
              <w:rPr>
                <w:rFonts w:ascii="DejaVu Serif" w:hAnsi="DejaVu Serif" w:eastAsia="DejaVu Serif"/>
                <w:b w:val="0"/>
                <w:i w:val="0"/>
                <w:sz w:val="14"/>
              </w:rPr>
              <w:t>open for infinite-dimensional classes</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4"/>
              </w:rPr>
              <w:t>needs Banach/Hilbert bridge</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DT-12</w:t>
            </w:r>
          </w:p>
        </w:tc>
        <w:tc>
          <w:tcPr>
            <w:tcW w:type="dxa" w:w="3345"/>
            <w:tcMar>
              <w:top w:w="90" w:type="dxa"/>
              <w:start w:w="110" w:type="dxa"/>
              <w:bottom w:w="90" w:type="dxa"/>
              <w:end w:w="110" w:type="dxa"/>
            </w:tcMar>
            <w:vAlign w:val="center"/>
            <w:shd w:fill="F4F7FA"/>
          </w:tcPr>
          <w:p>
            <w:pPr>
              <w:jc w:val="left"/>
            </w:pPr>
            <w:r>
              <w:rPr>
                <w:rFonts w:ascii="DejaVu Serif" w:hAnsi="DejaVu Serif" w:eastAsia="DejaVu Serif"/>
                <w:b w:val="0"/>
                <w:i w:val="0"/>
                <w:sz w:val="14"/>
              </w:rPr>
              <w:t>physical or empirical interpretation</w:t>
            </w:r>
          </w:p>
        </w:tc>
        <w:tc>
          <w:tcPr>
            <w:tcW w:type="dxa" w:w="2324"/>
            <w:tcMar>
              <w:top w:w="90" w:type="dxa"/>
              <w:start w:w="110" w:type="dxa"/>
              <w:bottom w:w="90" w:type="dxa"/>
              <w:end w:w="110" w:type="dxa"/>
            </w:tcMar>
            <w:vAlign w:val="center"/>
            <w:shd w:fill="F4F7FA"/>
          </w:tcPr>
          <w:p>
            <w:pPr>
              <w:jc w:val="left"/>
            </w:pPr>
            <w:r>
              <w:rPr>
                <w:rFonts w:ascii="DejaVu Serif" w:hAnsi="DejaVu Serif" w:eastAsia="DejaVu Serif"/>
                <w:b w:val="0"/>
                <w:i w:val="0"/>
                <w:sz w:val="14"/>
              </w:rPr>
              <w:t>not claimed</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4"/>
              </w:rPr>
              <w:t>B8 and independent protocol</w:t>
            </w:r>
          </w:p>
        </w:tc>
      </w:tr>
    </w:tbl>
    <w:p>
      <w:pPr>
        <w:spacing w:after="40"/>
      </w:pPr>
    </w:p>
    <w:p>
      <w:pPr>
        <w:pStyle w:val="Heading2"/>
        <w:keepNext/>
      </w:pPr>
      <w:r>
        <w:t>52.14. Exact Replacement of Status 26.36</w:t>
      </w: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NAPG-DTHETA-CERT v196i14. </w:t>
            </w:r>
            <w:r>
              <w:rPr>
                <w:rFonts w:ascii="DejaVu Serif" w:hAnsi="DejaVu Serif" w:eastAsia="DejaVu Serif"/>
                <w:b w:val="0"/>
                <w:i w:val="0"/>
                <w:sz w:val="18"/>
              </w:rPr>
              <w:t>For NAPG_q, C_min, delta_min, and Theta_min are constructed functorially and O_B ~= H^3(C_min) is proved. External E, natural J, injectivity of H^3(J), and beta_Ass remain conditional or open. Analytic, topological, physical, PN.2, and F-1-F-14 statuses are unchanged; truth_layer_promotion=0.</w:t>
            </w:r>
          </w:p>
        </w:tc>
      </w:tr>
    </w:tbl>
    <w:p>
      <w:pPr>
        <w:spacing w:after="40"/>
      </w:pPr>
    </w:p>
    <w:p>
      <w:pPr>
        <w:spacing w:after="80" w:line="269" w:lineRule="auto"/>
        <w:jc w:val="both"/>
      </w:pPr>
      <w:r>
        <w:rPr>
          <w:rFonts w:ascii="DejaVu Serif" w:hAnsi="DejaVu Serif" w:eastAsia="DejaVu Serif"/>
          <w:b w:val="0"/>
          <w:i w:val="0"/>
        </w:rPr>
        <w:t>The internal result is not a logical trick: it removes ambiguity in domains, codomains, and functorial transport and exhibits the object that always exists. Its strength is limited because the minimal complex encodes exactly the quotient already selected as O_B. It is a universal comparison object and an interface specification, not a substitute for a richer external theory.</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The predictive theorem is strong not because it promises the future, but because it lists the conditions of its own limitation. Strict typing blocks the recurrent temptation to turn every nonzero H^3 into curvature of the universe.</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MASTER-PRED-CERT v196i14. </w:t>
            </w:r>
            <w:r>
              <w:rPr>
                <w:rFonts w:ascii="DejaVu Serif" w:hAnsi="DejaVu Serif" w:eastAsia="DejaVu Serif"/>
                <w:b w:val="0"/>
                <w:i w:val="0"/>
                <w:sz w:val="18"/>
              </w:rPr>
              <w:t>assumptions=A1-A14; bridge=B1-B8 typed; invariance=projective; limits=monotone; rebuild=stable-under-gap; RBD=contraction-alpha&lt;1; coverage=conditional; e-process=conditional; matched-null=equal-budget; CGI&lt;1=necessary-not-sufficient; EXT-RUN=not-executed; truth_layer_promotion=0.</w:t>
            </w:r>
          </w:p>
        </w:tc>
      </w:tr>
    </w:tbl>
    <w:p>
      <w:pPr>
        <w:spacing w:after="40"/>
      </w:pPr>
    </w:p>
    <w:p>
      <w:r>
        <w:br w:type="page"/>
      </w:r>
    </w:p>
    <w:p>
      <w:pPr>
        <w:pStyle w:val="Heading1"/>
        <w:keepNext/>
      </w:pPr>
      <w:r>
        <w:t>T1-EN-APP-v0.9</w:t>
      </w:r>
    </w:p>
    <w:p>
      <w:pPr>
        <w:jc w:val="center"/>
      </w:pPr>
      <w:r>
        <w:rPr>
          <w:rFonts w:ascii="DejaVu Sans" w:hAnsi="DejaVu Sans" w:eastAsia="DejaVu Sans"/>
          <w:b/>
          <w:i w:val="0"/>
          <w:color w:val="9C6B1B"/>
          <w:sz w:val="24"/>
        </w:rPr>
        <w:t>CONTROLLED ENGLISH TRANSLATION OF APPENDICES A-G</w:t>
      </w:r>
    </w:p>
    <w:p>
      <w:pPr>
        <w:spacing w:after="80" w:line="269" w:lineRule="auto"/>
        <w:jc w:val="both"/>
      </w:pPr>
      <w:r>
        <w:rPr>
          <w:rFonts w:ascii="DejaVu Serif" w:hAnsi="DejaVu Serif" w:eastAsia="DejaVu Serif"/>
          <w:b w:val="0"/>
          <w:i w:val="0"/>
        </w:rPr>
        <w:t>Russian source locators: Appendix A pp. 151-156; Appendix B pp. 156-159; Appendices C-G pp. 223-235. The appendices are translated as evidence-bearing structures. They do not revise the chapter layer or create new mathematical or physical claims.</w:t>
      </w:r>
    </w:p>
    <w:p>
      <w:pPr>
        <w:keepNext/>
        <w:jc w:val="center"/>
      </w:pPr>
      <w:r>
        <w:drawing>
          <wp:inline xmlns:a="http://schemas.openxmlformats.org/drawingml/2006/main" xmlns:pic="http://schemas.openxmlformats.org/drawingml/2006/picture">
            <wp:extent cx="5623560" cy="2510902"/>
            <wp:docPr id="57" name="Picture 57"/>
            <wp:cNvGraphicFramePr>
              <a:graphicFrameLocks noChangeAspect="1"/>
            </wp:cNvGraphicFramePr>
            <a:graphic>
              <a:graphicData uri="http://schemas.openxmlformats.org/drawingml/2006/picture">
                <pic:pic>
                  <pic:nvPicPr>
                    <pic:cNvPr id="0" name="fig_app_map.png"/>
                    <pic:cNvPicPr/>
                  </pic:nvPicPr>
                  <pic:blipFill>
                    <a:blip r:embed="rId69"/>
                    <a:stretch>
                      <a:fillRect/>
                    </a:stretch>
                  </pic:blipFill>
                  <pic:spPr>
                    <a:xfrm>
                      <a:off x="0" y="0"/>
                      <a:ext cx="5623560" cy="2510902"/>
                    </a:xfrm>
                    <a:prstGeom prst="rect"/>
                  </pic:spPr>
                </pic:pic>
              </a:graphicData>
            </a:graphic>
          </wp:inline>
        </w:drawing>
      </w:r>
    </w:p>
    <w:p>
      <w:pPr>
        <w:pStyle w:val="Caption"/>
        <w:spacing w:before="40" w:after="160"/>
        <w:jc w:val="center"/>
      </w:pPr>
      <w:bookmarkStart w:id="1114" w:name="T1_FIG_056"/>
      <w:r>
        <w:t>Figure A0.1. Appendices A-G connect exact examples, computational provenance, formula addressing, and empirical status firewalls.</w:t>
      </w:r>
      <w:bookmarkEnd w:id="1114"/>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113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Appendix</w:t>
            </w:r>
          </w:p>
        </w:tc>
        <w:tc>
          <w:tcPr>
            <w:tcW w:type="dxa" w:w="4309"/>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Function</w:t>
            </w:r>
          </w:p>
        </w:tc>
        <w:tc>
          <w:tcPr>
            <w:tcW w:type="dxa" w:w="3742"/>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Evidence boundary</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6"/>
              </w:rPr>
              <w:t>A</w:t>
            </w:r>
          </w:p>
        </w:tc>
        <w:tc>
          <w:tcPr>
            <w:tcW w:type="dxa" w:w="4309"/>
            <w:tcMar>
              <w:top w:w="90" w:type="dxa"/>
              <w:start w:w="110" w:type="dxa"/>
              <w:bottom w:w="90" w:type="dxa"/>
              <w:end w:w="110" w:type="dxa"/>
            </w:tcMar>
            <w:vAlign w:val="center"/>
          </w:tcPr>
          <w:p>
            <w:pPr>
              <w:jc w:val="left"/>
            </w:pPr>
            <w:r>
              <w:rPr>
                <w:rFonts w:ascii="DejaVu Serif" w:hAnsi="DejaVu Serif" w:eastAsia="DejaVu Serif"/>
                <w:b w:val="0"/>
                <w:i w:val="0"/>
                <w:sz w:val="16"/>
              </w:rPr>
              <w:t>Four exact PN.2 examples and counterexamples</w:t>
            </w:r>
          </w:p>
        </w:tc>
        <w:tc>
          <w:tcPr>
            <w:tcW w:type="dxa" w:w="3742"/>
            <w:tcMar>
              <w:top w:w="90" w:type="dxa"/>
              <w:start w:w="110" w:type="dxa"/>
              <w:bottom w:w="90" w:type="dxa"/>
              <w:end w:w="110" w:type="dxa"/>
            </w:tcMar>
            <w:vAlign w:val="center"/>
          </w:tcPr>
          <w:p>
            <w:pPr>
              <w:jc w:val="left"/>
            </w:pPr>
            <w:r>
              <w:rPr>
                <w:rFonts w:ascii="DejaVu Serif" w:hAnsi="DejaVu Serif" w:eastAsia="DejaVu Serif"/>
                <w:b w:val="0"/>
                <w:i w:val="0"/>
                <w:sz w:val="16"/>
              </w:rPr>
              <w:t>abstract auxiliary algebras only</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B</w:t>
            </w:r>
          </w:p>
        </w:tc>
        <w:tc>
          <w:tcPr>
            <w:tcW w:type="dxa" w:w="4309"/>
            <w:tcMar>
              <w:top w:w="90" w:type="dxa"/>
              <w:start w:w="110" w:type="dxa"/>
              <w:bottom w:w="90" w:type="dxa"/>
              <w:end w:w="110" w:type="dxa"/>
            </w:tcMar>
            <w:vAlign w:val="center"/>
            <w:shd w:fill="F4F7FA"/>
          </w:tcPr>
          <w:p>
            <w:pPr>
              <w:jc w:val="left"/>
            </w:pPr>
            <w:r>
              <w:rPr>
                <w:rFonts w:ascii="DejaVu Serif" w:hAnsi="DejaVu Serif" w:eastAsia="DejaVu Serif"/>
                <w:b w:val="0"/>
                <w:i w:val="0"/>
                <w:sz w:val="16"/>
              </w:rPr>
              <w:t>Source-documented computable certificate</w:t>
            </w:r>
          </w:p>
        </w:tc>
        <w:tc>
          <w:tcPr>
            <w:tcW w:type="dxa" w:w="3742"/>
            <w:tcMar>
              <w:top w:w="90" w:type="dxa"/>
              <w:start w:w="110" w:type="dxa"/>
              <w:bottom w:w="90" w:type="dxa"/>
              <w:end w:w="110" w:type="dxa"/>
            </w:tcMar>
            <w:vAlign w:val="center"/>
            <w:shd w:fill="F4F7FA"/>
          </w:tcPr>
          <w:p>
            <w:pPr>
              <w:jc w:val="left"/>
            </w:pPr>
            <w:r>
              <w:rPr>
                <w:rFonts w:ascii="DejaVu Serif" w:hAnsi="DejaVu Serif" w:eastAsia="DejaVu Serif"/>
                <w:b w:val="0"/>
                <w:i w:val="0"/>
                <w:sz w:val="16"/>
              </w:rPr>
              <w:t>NUM-SOURCE, not independent replay</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6"/>
              </w:rPr>
              <w:t>C</w:t>
            </w:r>
          </w:p>
        </w:tc>
        <w:tc>
          <w:tcPr>
            <w:tcW w:type="dxa" w:w="4309"/>
            <w:tcMar>
              <w:top w:w="90" w:type="dxa"/>
              <w:start w:w="110" w:type="dxa"/>
              <w:bottom w:w="90" w:type="dxa"/>
              <w:end w:w="110" w:type="dxa"/>
            </w:tcMar>
            <w:vAlign w:val="center"/>
          </w:tcPr>
          <w:p>
            <w:pPr>
              <w:jc w:val="left"/>
            </w:pPr>
            <w:r>
              <w:rPr>
                <w:rFonts w:ascii="DejaVu Serif" w:hAnsi="DejaVu Serif" w:eastAsia="DejaVu Serif"/>
                <w:b w:val="0"/>
                <w:i w:val="0"/>
                <w:sz w:val="16"/>
              </w:rPr>
              <w:t>Genealogy of the canonical construction</w:t>
            </w:r>
          </w:p>
        </w:tc>
        <w:tc>
          <w:tcPr>
            <w:tcW w:type="dxa" w:w="3742"/>
            <w:tcMar>
              <w:top w:w="90" w:type="dxa"/>
              <w:start w:w="110" w:type="dxa"/>
              <w:bottom w:w="90" w:type="dxa"/>
              <w:end w:w="110" w:type="dxa"/>
            </w:tcMar>
            <w:vAlign w:val="center"/>
          </w:tcPr>
          <w:p>
            <w:pPr>
              <w:jc w:val="left"/>
            </w:pPr>
            <w:r>
              <w:rPr>
                <w:rFonts w:ascii="DejaVu Serif" w:hAnsi="DejaVu Serif" w:eastAsia="DejaVu Serif"/>
                <w:b w:val="0"/>
                <w:i w:val="0"/>
                <w:sz w:val="16"/>
              </w:rPr>
              <w:t>historical formulas do not auto-authorize truth</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D</w:t>
            </w:r>
          </w:p>
        </w:tc>
        <w:tc>
          <w:tcPr>
            <w:tcW w:type="dxa" w:w="4309"/>
            <w:tcMar>
              <w:top w:w="90" w:type="dxa"/>
              <w:start w:w="110" w:type="dxa"/>
              <w:bottom w:w="90" w:type="dxa"/>
              <w:end w:w="110" w:type="dxa"/>
            </w:tcMar>
            <w:vAlign w:val="center"/>
            <w:shd w:fill="F4F7FA"/>
          </w:tcPr>
          <w:p>
            <w:pPr>
              <w:jc w:val="left"/>
            </w:pPr>
            <w:r>
              <w:rPr>
                <w:rFonts w:ascii="DejaVu Serif" w:hAnsi="DejaVu Serif" w:eastAsia="DejaVu Serif"/>
                <w:b w:val="0"/>
                <w:i w:val="0"/>
                <w:sz w:val="16"/>
              </w:rPr>
              <w:t>Negative PN.2 statements and repairs</w:t>
            </w:r>
          </w:p>
        </w:tc>
        <w:tc>
          <w:tcPr>
            <w:tcW w:type="dxa" w:w="3742"/>
            <w:tcMar>
              <w:top w:w="90" w:type="dxa"/>
              <w:start w:w="110" w:type="dxa"/>
              <w:bottom w:w="90" w:type="dxa"/>
              <w:end w:w="110" w:type="dxa"/>
            </w:tcMar>
            <w:vAlign w:val="center"/>
            <w:shd w:fill="F4F7FA"/>
          </w:tcPr>
          <w:p>
            <w:pPr>
              <w:jc w:val="left"/>
            </w:pPr>
            <w:r>
              <w:rPr>
                <w:rFonts w:ascii="DejaVu Serif" w:hAnsi="DejaVu Serif" w:eastAsia="DejaVu Serif"/>
                <w:b w:val="0"/>
                <w:i w:val="0"/>
                <w:sz w:val="16"/>
              </w:rPr>
              <w:t>underdefinition is repaired by typed inputs</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6"/>
              </w:rPr>
              <w:t>E</w:t>
            </w:r>
          </w:p>
        </w:tc>
        <w:tc>
          <w:tcPr>
            <w:tcW w:type="dxa" w:w="4309"/>
            <w:tcMar>
              <w:top w:w="90" w:type="dxa"/>
              <w:start w:w="110" w:type="dxa"/>
              <w:bottom w:w="90" w:type="dxa"/>
              <w:end w:w="110" w:type="dxa"/>
            </w:tcMar>
            <w:vAlign w:val="center"/>
          </w:tcPr>
          <w:p>
            <w:pPr>
              <w:jc w:val="left"/>
            </w:pPr>
            <w:r>
              <w:rPr>
                <w:rFonts w:ascii="DejaVu Serif" w:hAnsi="DejaVu Serif" w:eastAsia="DejaVu Serif"/>
                <w:b w:val="0"/>
                <w:i w:val="0"/>
                <w:sz w:val="16"/>
              </w:rPr>
              <w:t>Executable ten-stage Atlas protocol</w:t>
            </w:r>
          </w:p>
        </w:tc>
        <w:tc>
          <w:tcPr>
            <w:tcW w:type="dxa" w:w="3742"/>
            <w:tcMar>
              <w:top w:w="90" w:type="dxa"/>
              <w:start w:w="110" w:type="dxa"/>
              <w:bottom w:w="90" w:type="dxa"/>
              <w:end w:w="110" w:type="dxa"/>
            </w:tcMar>
            <w:vAlign w:val="center"/>
          </w:tcPr>
          <w:p>
            <w:pPr>
              <w:jc w:val="left"/>
            </w:pPr>
            <w:r>
              <w:rPr>
                <w:rFonts w:ascii="DejaVu Serif" w:hAnsi="DejaVu Serif" w:eastAsia="DejaVu Serif"/>
                <w:b w:val="0"/>
                <w:i w:val="0"/>
                <w:sz w:val="16"/>
              </w:rPr>
              <w:t>protocol order and blockers are immutable</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F</w:t>
            </w:r>
          </w:p>
        </w:tc>
        <w:tc>
          <w:tcPr>
            <w:tcW w:type="dxa" w:w="4309"/>
            <w:tcMar>
              <w:top w:w="90" w:type="dxa"/>
              <w:start w:w="110" w:type="dxa"/>
              <w:bottom w:w="90" w:type="dxa"/>
              <w:end w:w="110" w:type="dxa"/>
            </w:tcMar>
            <w:vAlign w:val="center"/>
            <w:shd w:fill="F4F7FA"/>
          </w:tcPr>
          <w:p>
            <w:pPr>
              <w:jc w:val="left"/>
            </w:pPr>
            <w:r>
              <w:rPr>
                <w:rFonts w:ascii="DejaVu Serif" w:hAnsi="DejaVu Serif" w:eastAsia="DejaVu Serif"/>
                <w:b w:val="0"/>
                <w:i w:val="0"/>
                <w:sz w:val="16"/>
              </w:rPr>
              <w:t>Stable registry F001-F086</w:t>
            </w:r>
          </w:p>
        </w:tc>
        <w:tc>
          <w:tcPr>
            <w:tcW w:type="dxa" w:w="3742"/>
            <w:tcMar>
              <w:top w:w="90" w:type="dxa"/>
              <w:start w:w="110" w:type="dxa"/>
              <w:bottom w:w="90" w:type="dxa"/>
              <w:end w:w="110" w:type="dxa"/>
            </w:tcMar>
            <w:vAlign w:val="center"/>
            <w:shd w:fill="F4F7FA"/>
          </w:tcPr>
          <w:p>
            <w:pPr>
              <w:jc w:val="left"/>
            </w:pPr>
            <w:r>
              <w:rPr>
                <w:rFonts w:ascii="DejaVu Serif" w:hAnsi="DejaVu Serif" w:eastAsia="DejaVu Serif"/>
                <w:b w:val="0"/>
                <w:i w:val="0"/>
                <w:sz w:val="16"/>
              </w:rPr>
              <w:t>IDs are never renumbered after publication</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6"/>
              </w:rPr>
              <w:t>G</w:t>
            </w:r>
          </w:p>
        </w:tc>
        <w:tc>
          <w:tcPr>
            <w:tcW w:type="dxa" w:w="4309"/>
            <w:tcMar>
              <w:top w:w="90" w:type="dxa"/>
              <w:start w:w="110" w:type="dxa"/>
              <w:bottom w:w="90" w:type="dxa"/>
              <w:end w:w="110" w:type="dxa"/>
            </w:tcMar>
            <w:vAlign w:val="center"/>
          </w:tcPr>
          <w:p>
            <w:pPr>
              <w:jc w:val="left"/>
            </w:pPr>
            <w:r>
              <w:rPr>
                <w:rFonts w:ascii="DejaVu Serif" w:hAnsi="DejaVu Serif" w:eastAsia="DejaVu Serif"/>
                <w:b w:val="0"/>
                <w:i w:val="0"/>
                <w:sz w:val="16"/>
              </w:rPr>
              <w:t>PN.2 / F-1-F-14 synchronization</w:t>
            </w:r>
          </w:p>
        </w:tc>
        <w:tc>
          <w:tcPr>
            <w:tcW w:type="dxa" w:w="3742"/>
            <w:tcMar>
              <w:top w:w="90" w:type="dxa"/>
              <w:start w:w="110" w:type="dxa"/>
              <w:bottom w:w="90" w:type="dxa"/>
              <w:end w:w="110" w:type="dxa"/>
            </w:tcMar>
            <w:vAlign w:val="center"/>
          </w:tcPr>
          <w:p>
            <w:pPr>
              <w:jc w:val="left"/>
            </w:pPr>
            <w:r>
              <w:rPr>
                <w:rFonts w:ascii="DejaVu Serif" w:hAnsi="DejaVu Serif" w:eastAsia="DejaVu Serif"/>
                <w:b w:val="0"/>
                <w:i w:val="0"/>
                <w:sz w:val="16"/>
              </w:rPr>
              <w:t>physical claims remain unvalidated</w:t>
            </w:r>
          </w:p>
        </w:tc>
      </w:tr>
    </w:tbl>
    <w:p>
      <w:pPr>
        <w:spacing w:after="40"/>
      </w:pPr>
    </w:p>
    <w:p>
      <w:pPr>
        <w:pStyle w:val="Heading1"/>
        <w:keepNext/>
      </w:pPr>
      <w:bookmarkStart w:id="1052" w:name="T1_APP_A"/>
      <w:r>
        <w:t>Appendix A. Explicit Examples and Counterexamples for PO-11</w:t>
      </w:r>
      <w:bookmarkEnd w:id="1052"/>
    </w:p>
    <w:tbl>
      <w:tblPr>
        <w:tblStyle w:val="TableGrid"/>
        <w:tblW w:type="auto" w:w="0"/>
        <w:jc w:val="center"/>
        <w:tblLook w:firstColumn="1" w:firstRow="1" w:lastColumn="0" w:lastRow="0" w:noHBand="0" w:noVBand="1" w:val="04A0"/>
      </w:tblPr>
      <w:tblGrid>
        <w:gridCol w:w="5035"/>
        <w:gridCol w:w="5035"/>
      </w:tblGrid>
      <w:tr>
        <w:tc>
          <w:tcPr>
            <w:tcW w:type="dxa" w:w="5035"/>
            <w:shd w:fill="173B63"/>
            <w:tcMar>
              <w:top w:w="90" w:type="dxa"/>
              <w:start w:w="100" w:type="dxa"/>
              <w:bottom w:w="90" w:type="dxa"/>
              <w:end w:w="100" w:type="dxa"/>
            </w:tcMar>
            <w:vAlign w:val="center"/>
          </w:tcPr>
          <w:p>
            <w:r>
              <w:rPr>
                <w:rFonts w:ascii="DejaVu Sans" w:hAnsi="DejaVu Sans" w:eastAsia="DejaVu Sans"/>
                <w:b/>
                <w:i w:val="0"/>
                <w:color w:val="FFFFFF"/>
                <w:sz w:val="17"/>
              </w:rPr>
              <w:t>Central question</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Why are explicit examples required?</w:t>
            </w:r>
          </w:p>
        </w:tc>
      </w:tr>
      <w:tr>
        <w:tc>
          <w:tcPr>
            <w:tcW w:type="dxa" w:w="5035"/>
            <w:shd w:fill="2E5F8A"/>
            <w:tcMar>
              <w:top w:w="90" w:type="dxa"/>
              <w:start w:w="100" w:type="dxa"/>
              <w:bottom w:w="90" w:type="dxa"/>
              <w:end w:w="100" w:type="dxa"/>
            </w:tcMar>
            <w:vAlign w:val="center"/>
          </w:tcPr>
          <w:p>
            <w:r>
              <w:rPr>
                <w:rFonts w:ascii="DejaVu Sans" w:hAnsi="DejaVu Sans" w:eastAsia="DejaVu Sans"/>
                <w:b/>
                <w:i w:val="0"/>
                <w:color w:val="FFFFFF"/>
                <w:sz w:val="17"/>
              </w:rPr>
              <w:t>Plain meaning</w:t>
            </w:r>
          </w:p>
        </w:tc>
        <w:tc>
          <w:tcPr>
            <w:tcW w:type="dxa" w:w="5035"/>
            <w:shd w:fill="EEF3F8"/>
            <w:tcMar>
              <w:top w:w="90" w:type="dxa"/>
              <w:start w:w="110" w:type="dxa"/>
              <w:bottom w:w="90" w:type="dxa"/>
              <w:end w:w="110" w:type="dxa"/>
            </w:tcMar>
            <w:vAlign w:val="center"/>
          </w:tcPr>
          <w:p>
            <w:r>
              <w:rPr>
                <w:rFonts w:ascii="DejaVu Serif" w:hAnsi="DejaVu Serif" w:eastAsia="DejaVu Serif"/>
                <w:b w:val="0"/>
                <w:i w:val="0"/>
                <w:sz w:val="18"/>
              </w:rPr>
              <w:t>They test necessity of the assumptions, separate a scalar observable from the full state, and show when the factor 1/4 is sharp.</w:t>
            </w:r>
          </w:p>
        </w:tc>
      </w:tr>
      <w:tr>
        <w:tc>
          <w:tcPr>
            <w:tcW w:type="dxa" w:w="5035"/>
            <w:shd w:fill="9C6B1B"/>
            <w:tcMar>
              <w:top w:w="90" w:type="dxa"/>
              <w:start w:w="100" w:type="dxa"/>
              <w:bottom w:w="90" w:type="dxa"/>
              <w:end w:w="100" w:type="dxa"/>
            </w:tcMar>
            <w:vAlign w:val="center"/>
          </w:tcPr>
          <w:p>
            <w:r>
              <w:rPr>
                <w:rFonts w:ascii="DejaVu Sans" w:hAnsi="DejaVu Sans" w:eastAsia="DejaVu Sans"/>
                <w:b/>
                <w:i w:val="0"/>
                <w:color w:val="FFFFFF"/>
                <w:sz w:val="17"/>
              </w:rPr>
              <w:t>Mathematical core</w:t>
            </w:r>
          </w:p>
        </w:tc>
        <w:tc>
          <w:tcPr>
            <w:tcW w:type="dxa" w:w="5035"/>
            <w:shd w:fill="F8F2E5"/>
            <w:tcMar>
              <w:top w:w="90" w:type="dxa"/>
              <w:start w:w="110" w:type="dxa"/>
              <w:bottom w:w="90" w:type="dxa"/>
              <w:end w:w="110" w:type="dxa"/>
            </w:tcMar>
            <w:vAlign w:val="center"/>
          </w:tcPr>
          <w:p>
            <w:r>
              <w:rPr>
                <w:rFonts w:ascii="DejaVu Serif" w:hAnsi="DejaVu Serif" w:eastAsia="DejaVu Serif"/>
                <w:b w:val="0"/>
                <w:i w:val="0"/>
                <w:sz w:val="18"/>
              </w:rPr>
              <w:t>All four constructions are exact finite-dimensional calculations with declared products, norms, triples, associators, structural coordinate, observables, and errors.</w:t>
            </w:r>
          </w:p>
        </w:tc>
      </w:tr>
      <w:tr>
        <w:tc>
          <w:tcPr>
            <w:tcW w:type="dxa" w:w="5035"/>
            <w:shd w:fill="9E2A2B"/>
            <w:tcMar>
              <w:top w:w="90" w:type="dxa"/>
              <w:start w:w="100" w:type="dxa"/>
              <w:bottom w:w="90" w:type="dxa"/>
              <w:end w:w="100" w:type="dxa"/>
            </w:tcMar>
            <w:vAlign w:val="center"/>
          </w:tcPr>
          <w:p>
            <w:r>
              <w:rPr>
                <w:rFonts w:ascii="DejaVu Sans" w:hAnsi="DejaVu Sans" w:eastAsia="DejaVu Sans"/>
                <w:b/>
                <w:i w:val="0"/>
                <w:color w:val="FFFFFF"/>
                <w:sz w:val="17"/>
              </w:rPr>
              <w:t>Boundary of inference</w:t>
            </w:r>
          </w:p>
        </w:tc>
        <w:tc>
          <w:tcPr>
            <w:tcW w:type="dxa" w:w="5035"/>
            <w:shd w:fill="F9EAEA"/>
            <w:tcMar>
              <w:top w:w="90" w:type="dxa"/>
              <w:start w:w="110" w:type="dxa"/>
              <w:bottom w:w="90" w:type="dxa"/>
              <w:end w:w="110" w:type="dxa"/>
            </w:tcMar>
            <w:vAlign w:val="center"/>
          </w:tcPr>
          <w:p>
            <w:r>
              <w:rPr>
                <w:rFonts w:ascii="DejaVu Serif" w:hAnsi="DejaVu Serif" w:eastAsia="DejaVu Serif"/>
                <w:b w:val="0"/>
                <w:i w:val="0"/>
                <w:sz w:val="18"/>
              </w:rPr>
              <w:t>They do not identify the auxiliary algebra with the authorial physical object R-star-R and do not promote any F-hypothesis.</w:t>
            </w:r>
          </w:p>
        </w:tc>
      </w:tr>
    </w:tbl>
    <w:p>
      <w:pPr>
        <w:spacing w:after="40"/>
      </w:pPr>
    </w:p>
    <w:p>
      <w:pPr>
        <w:keepNext/>
        <w:jc w:val="center"/>
      </w:pPr>
      <w:r>
        <w:drawing>
          <wp:inline xmlns:a="http://schemas.openxmlformats.org/drawingml/2006/main" xmlns:pic="http://schemas.openxmlformats.org/drawingml/2006/picture">
            <wp:extent cx="5623560" cy="2510902"/>
            <wp:docPr id="58" name="Picture 58"/>
            <wp:cNvGraphicFramePr>
              <a:graphicFrameLocks noChangeAspect="1"/>
            </wp:cNvGraphicFramePr>
            <a:graphic>
              <a:graphicData uri="http://schemas.openxmlformats.org/drawingml/2006/picture">
                <pic:pic>
                  <pic:nvPicPr>
                    <pic:cNvPr id="0" name="fig_app_a.png"/>
                    <pic:cNvPicPr/>
                  </pic:nvPicPr>
                  <pic:blipFill>
                    <a:blip r:embed="rId70"/>
                    <a:stretch>
                      <a:fillRect/>
                    </a:stretch>
                  </pic:blipFill>
                  <pic:spPr>
                    <a:xfrm>
                      <a:off x="0" y="0"/>
                      <a:ext cx="5623560" cy="2510902"/>
                    </a:xfrm>
                    <a:prstGeom prst="rect"/>
                  </pic:spPr>
                </pic:pic>
              </a:graphicData>
            </a:graphic>
          </wp:inline>
        </w:drawing>
      </w:r>
    </w:p>
    <w:p>
      <w:pPr>
        <w:pStyle w:val="Caption"/>
        <w:spacing w:before="40" w:after="160"/>
        <w:jc w:val="center"/>
      </w:pPr>
      <w:bookmarkStart w:id="1115" w:name="T1_FIG_057"/>
      <w:r>
        <w:t>Figure A.1. Four witness regimes close PO-11 at the abstract theorem-package level.</w:t>
      </w:r>
      <w:bookmarkEnd w:id="1115"/>
    </w:p>
    <w:p>
      <w:pPr>
        <w:pStyle w:val="Heading2"/>
        <w:keepNext/>
      </w:pPr>
      <w:r>
        <w:t>A.0. Common Conventions and Auxiliary Algebra</w:t>
      </w:r>
    </w:p>
    <w:p>
      <w:pPr>
        <w:spacing w:after="80" w:line="269" w:lineRule="auto"/>
        <w:jc w:val="both"/>
      </w:pPr>
      <w:r>
        <w:rPr>
          <w:rFonts w:ascii="DejaVu Serif" w:hAnsi="DejaVu Serif" w:eastAsia="DejaVu Serif"/>
          <w:b w:val="0"/>
          <w:i w:val="0"/>
        </w:rPr>
        <w:t>Let B={b_L,b_R}, where b_L(x,y,z)=(x odot y) odot z and b_R(x,y,z)=x odot (y odot z). The signed protocol coordinate is Dfrak(b_L)=-1/2 and Dfrak(b_R)=+1/2. Hence Delta_D=1, the midpoint estimate is d_hat=0, and e_D=1/2. Relabeling the two bracketings changes the sign of Dfrak but preserves every PN.2 bound.</w:t>
      </w:r>
    </w:p>
    <w:p>
      <w:pPr>
        <w:spacing w:before="80" w:after="100"/>
        <w:jc w:val="center"/>
      </w:pPr>
      <w:r>
        <w:rPr>
          <w:rFonts w:ascii="DejaVu Serif" w:hAnsi="DejaVu Serif" w:eastAsia="DejaVu Serif"/>
          <w:b w:val="0"/>
          <w:i w:val="0"/>
          <w:sz w:val="21"/>
        </w:rPr>
        <w:t>Dfrak(b_L)=-1/2; Dfrak(b_R)=+1/2; Delta_D=1; e_D(d_hat=0)=1/2</w:t>
      </w:r>
      <w:r>
        <w:rPr>
          <w:rFonts w:ascii="DejaVu Serif" w:hAnsi="DejaVu Serif" w:eastAsia="DejaVu Serif"/>
          <w:b w:val="0"/>
          <w:i/>
          <w:color w:val="6B7280"/>
          <w:sz w:val="17"/>
        </w:rPr>
        <w:t xml:space="preserve">    [RU p. 151]</w:t>
      </w:r>
    </w:p>
    <w:p>
      <w:pPr>
        <w:spacing w:after="80" w:line="269" w:lineRule="auto"/>
        <w:jc w:val="both"/>
      </w:pPr>
      <w:r>
        <w:rPr>
          <w:rFonts w:ascii="DejaVu Serif" w:hAnsi="DejaVu Serif" w:eastAsia="DejaVu Serif"/>
          <w:b w:val="0"/>
          <w:i w:val="0"/>
        </w:rPr>
        <w:t>Cases A.2-A.4 use the nonunital real algebra A2=R^2 with basis e1=(1,0), e2=(0,1):</w:t>
      </w:r>
    </w:p>
    <w:p>
      <w:pPr>
        <w:spacing w:before="80" w:after="100"/>
        <w:jc w:val="center"/>
      </w:pPr>
      <w:r>
        <w:rPr>
          <w:rFonts w:ascii="DejaVu Serif" w:hAnsi="DejaVu Serif" w:eastAsia="DejaVu Serif"/>
          <w:b w:val="0"/>
          <w:i w:val="0"/>
          <w:sz w:val="21"/>
        </w:rPr>
        <w:t>e1 odot e1=e2; e2 odot e1=e2; e1 odot e2=-e2; e2 odot e2=0</w:t>
      </w:r>
      <w:r>
        <w:rPr>
          <w:rFonts w:ascii="DejaVu Serif" w:hAnsi="DejaVu Serif" w:eastAsia="DejaVu Serif"/>
          <w:b w:val="0"/>
          <w:i/>
          <w:color w:val="6B7280"/>
          <w:sz w:val="17"/>
        </w:rPr>
        <w:t xml:space="preserve">    [RU p. 151]</w:t>
      </w:r>
    </w:p>
    <w:p>
      <w:pPr>
        <w:spacing w:before="80" w:after="100"/>
        <w:jc w:val="center"/>
      </w:pPr>
      <w:r>
        <w:rPr>
          <w:rFonts w:ascii="DejaVu Serif" w:hAnsi="DejaVu Serif" w:eastAsia="DejaVu Serif"/>
          <w:b w:val="0"/>
          <w:i w:val="0"/>
          <w:sz w:val="21"/>
        </w:rPr>
        <w:t>(alpha,beta) odot (gamma,delta)=(0, alpha gamma + beta gamma - alpha delta)</w:t>
      </w:r>
      <w:r>
        <w:rPr>
          <w:rFonts w:ascii="DejaVu Serif" w:hAnsi="DejaVu Serif" w:eastAsia="DejaVu Serif"/>
          <w:b w:val="0"/>
          <w:i/>
          <w:color w:val="6B7280"/>
          <w:sz w:val="17"/>
        </w:rPr>
        <w:t xml:space="preserve">    [RU p. 151]</w:t>
      </w:r>
    </w:p>
    <w:p>
      <w:pPr>
        <w:spacing w:before="80" w:after="100"/>
        <w:jc w:val="center"/>
      </w:pPr>
      <w:r>
        <w:rPr>
          <w:rFonts w:ascii="DejaVu Serif" w:hAnsi="DejaVu Serif" w:eastAsia="DejaVu Serif"/>
          <w:b w:val="0"/>
          <w:i w:val="0"/>
          <w:sz w:val="21"/>
        </w:rPr>
        <w:t>||(alpha,beta)||=2 sqrt(alpha^2+beta^2)</w:t>
      </w:r>
      <w:r>
        <w:rPr>
          <w:rFonts w:ascii="DejaVu Serif" w:hAnsi="DejaVu Serif" w:eastAsia="DejaVu Serif"/>
          <w:b w:val="0"/>
          <w:i/>
          <w:color w:val="6B7280"/>
          <w:sz w:val="17"/>
        </w:rPr>
        <w:t xml:space="preserve">    [RU p. 151]</w:t>
      </w:r>
    </w:p>
    <w:p>
      <w:pPr>
        <w:spacing w:after="80" w:line="269" w:lineRule="auto"/>
        <w:jc w:val="both"/>
      </w:pPr>
      <w:r>
        <w:rPr>
          <w:rFonts w:ascii="DejaVu Serif" w:hAnsi="DejaVu Serif" w:eastAsia="DejaVu Serif"/>
          <w:b w:val="0"/>
          <w:i w:val="0"/>
        </w:rPr>
        <w:t>The operation is bilinear, closed, continuous, and submultiplicative for the declared norm. Finite dimensionality supplies completeness. A unit is not required for the abstract assumption A1; standard unitalization is possible without changing associator calculations on A2.</w:t>
      </w:r>
    </w:p>
    <w:p>
      <w:pPr>
        <w:pStyle w:val="Heading2"/>
        <w:keepNext/>
      </w:pPr>
      <w:r>
        <w:t>A.1. Associative Zero Example</w:t>
      </w:r>
    </w:p>
    <w:p>
      <w:pPr>
        <w:spacing w:after="80" w:line="269" w:lineRule="auto"/>
        <w:jc w:val="both"/>
      </w:pPr>
      <w:r>
        <w:rPr>
          <w:rFonts w:ascii="DejaVu Serif" w:hAnsi="DejaVu Serif" w:eastAsia="DejaVu Serif"/>
          <w:b w:val="0"/>
          <w:i w:val="0"/>
        </w:rPr>
        <w:t>Take A=R with ordinary multiplication, u=(1,2,3), and S(t)=|t|. Then r_L=r_R=6, K=0, Delta_R=0, Delta_S=0. With s_hat=6, d_hat=0, r_hat=6, one has e_S=0, e_D=1/2, e_R=0 and both PN.2 products equal zero.</w:t>
      </w:r>
    </w:p>
    <w:p>
      <w:pPr>
        <w:spacing w:before="80" w:after="100"/>
        <w:jc w:val="center"/>
      </w:pPr>
      <w:r>
        <w:rPr>
          <w:rFonts w:ascii="DejaVu Serif" w:hAnsi="DejaVu Serif" w:eastAsia="DejaVu Serif"/>
          <w:b w:val="0"/>
          <w:i w:val="0"/>
          <w:sz w:val="21"/>
        </w:rPr>
        <w:t>e_S e_D=0=(1/4) Delta_S Delta_D;   e_R e_D=0=(1/4)||K|| Delta_D</w:t>
      </w:r>
      <w:r>
        <w:rPr>
          <w:rFonts w:ascii="DejaVu Serif" w:hAnsi="DejaVu Serif" w:eastAsia="DejaVu Serif"/>
          <w:b w:val="0"/>
          <w:i/>
          <w:color w:val="6B7280"/>
          <w:sz w:val="17"/>
        </w:rPr>
        <w:t xml:space="preserve">    [RU pp. 151-152]</w:t>
      </w:r>
    </w:p>
    <w:p>
      <w:pPr>
        <w:spacing w:after="80" w:line="269" w:lineRule="auto"/>
        <w:jc w:val="both"/>
      </w:pPr>
      <w:r>
        <w:rPr>
          <w:rFonts w:ascii="DejaVu Serif" w:hAnsi="DejaVu Serif" w:eastAsia="DejaVu Serif"/>
          <w:b w:val="0"/>
          <w:i w:val="0"/>
        </w:rPr>
        <w:t>Status: strict counterexample to every unconditional positive lower bound on a domain containing an associative point. It does not refute the minimax theorem because both right-hand sides vanish.</w:t>
      </w:r>
    </w:p>
    <w:p>
      <w:pPr>
        <w:pStyle w:val="Heading2"/>
        <w:keepNext/>
      </w:pPr>
      <w:r>
        <w:t>A.2. Nonassociative Example with Delta_S=0</w:t>
      </w:r>
    </w:p>
    <w:p>
      <w:pPr>
        <w:spacing w:after="80" w:line="269" w:lineRule="auto"/>
        <w:jc w:val="both"/>
      </w:pPr>
      <w:r>
        <w:rPr>
          <w:rFonts w:ascii="DejaVu Serif" w:hAnsi="DejaVu Serif" w:eastAsia="DejaVu Serif"/>
          <w:b w:val="0"/>
          <w:i w:val="0"/>
        </w:rPr>
        <w:t>For u=(e1,e1,e1), r_L=e2, r_R=-e2, K=2e2 and ||K||=4. Choose the natural but nonseparating scalar observable S(v)=||v||. Then S(r_L)=S(r_R)=2 and Delta_S=0 despite K nonzero.</w:t>
      </w:r>
    </w:p>
    <w:p>
      <w:pPr>
        <w:spacing w:before="80" w:after="100"/>
        <w:jc w:val="center"/>
      </w:pPr>
      <w:r>
        <w:rPr>
          <w:rFonts w:ascii="DejaVu Serif" w:hAnsi="DejaVu Serif" w:eastAsia="DejaVu Serif"/>
          <w:b w:val="0"/>
          <w:i w:val="0"/>
          <w:sz w:val="21"/>
        </w:rPr>
        <w:t>e_S e_D=0=(1/4)Delta_S Delta_D;   e_R e_D=2*(1/2)=1=(1/4)*4*1</w:t>
      </w:r>
      <w:r>
        <w:rPr>
          <w:rFonts w:ascii="DejaVu Serif" w:hAnsi="DejaVu Serif" w:eastAsia="DejaVu Serif"/>
          <w:b w:val="0"/>
          <w:i/>
          <w:color w:val="6B7280"/>
          <w:sz w:val="17"/>
        </w:rPr>
        <w:t xml:space="preserve">    [RU pp. 152-153]</w:t>
      </w:r>
    </w:p>
    <w:p>
      <w:pPr>
        <w:spacing w:after="80" w:line="269" w:lineRule="auto"/>
        <w:jc w:val="both"/>
      </w:pPr>
      <w:r>
        <w:rPr>
          <w:rFonts w:ascii="DejaVu Serif" w:hAnsi="DejaVu Serif" w:eastAsia="DejaVu Serif"/>
          <w:b w:val="0"/>
          <w:i w:val="0"/>
        </w:rPr>
        <w:t>Status: exact counterexample to replacing the full-state gap ||K|| by the difference of output norms. PN.2-R remains sharp.</w:t>
      </w:r>
    </w:p>
    <w:p>
      <w:pPr>
        <w:pStyle w:val="Heading2"/>
        <w:keepNext/>
      </w:pPr>
      <w:r>
        <w:t>A.3. Global c-Separation with c=1</w:t>
      </w:r>
    </w:p>
    <w:p>
      <w:pPr>
        <w:spacing w:after="80" w:line="269" w:lineRule="auto"/>
        <w:jc w:val="both"/>
      </w:pPr>
      <w:r>
        <w:rPr>
          <w:rFonts w:ascii="DejaVu Serif" w:hAnsi="DejaVu Serif" w:eastAsia="DejaVu Serif"/>
          <w:b w:val="0"/>
          <w:i w:val="0"/>
        </w:rPr>
        <w:t>Define S(alpha e1+beta e2)=2 beta. Every bracketed result lies on R e2, so for K=k e2 one has Delta_S=|S(K)|=2|k|=||K||. Thus S is globally c-separating on A2^3 with the exact constant c=1.</w:t>
      </w:r>
    </w:p>
    <w:p>
      <w:pPr>
        <w:spacing w:after="80" w:line="269" w:lineRule="auto"/>
        <w:jc w:val="both"/>
      </w:pPr>
      <w:r>
        <w:rPr>
          <w:rFonts w:ascii="DejaVu Serif" w:hAnsi="DejaVu Serif" w:eastAsia="DejaVu Serif"/>
          <w:b w:val="0"/>
          <w:i w:val="0"/>
        </w:rPr>
        <w:t>For u=(e1,2e1,3e1), r_L=6e2, r_R=-6e2, K=12e2, ||K||=Delta_S=24. Midpoint estimates give e_S=e_R=12 and e_D=1/2.</w:t>
      </w:r>
    </w:p>
    <w:p>
      <w:pPr>
        <w:spacing w:before="80" w:after="100"/>
        <w:jc w:val="center"/>
      </w:pPr>
      <w:r>
        <w:rPr>
          <w:rFonts w:ascii="DejaVu Serif" w:hAnsi="DejaVu Serif" w:eastAsia="DejaVu Serif"/>
          <w:b w:val="0"/>
          <w:i w:val="0"/>
          <w:sz w:val="21"/>
        </w:rPr>
        <w:t>e_S e_D=6=(c/4)||K||Delta_D;   e_R e_D=6=(1/4)||K||Delta_D</w:t>
      </w:r>
      <w:r>
        <w:rPr>
          <w:rFonts w:ascii="DejaVu Serif" w:hAnsi="DejaVu Serif" w:eastAsia="DejaVu Serif"/>
          <w:b w:val="0"/>
          <w:i/>
          <w:color w:val="6B7280"/>
          <w:sz w:val="17"/>
        </w:rPr>
        <w:t xml:space="preserve">    [RU pp. 153-154]</w:t>
      </w:r>
    </w:p>
    <w:p>
      <w:pPr>
        <w:spacing w:after="80" w:line="269" w:lineRule="auto"/>
        <w:jc w:val="both"/>
      </w:pPr>
      <w:r>
        <w:rPr>
          <w:rFonts w:ascii="DejaVu Serif" w:hAnsi="DejaVu Serif" w:eastAsia="DejaVu Serif"/>
          <w:b w:val="0"/>
          <w:i w:val="0"/>
        </w:rPr>
        <w:t>Status: proves exact global separation for this observable and auxiliary algebra and shows that the coefficient 1/4 cannot be improved in general.</w:t>
      </w:r>
    </w:p>
    <w:p>
      <w:pPr>
        <w:pStyle w:val="Heading2"/>
        <w:keepNext/>
      </w:pPr>
      <w:r>
        <w:t>A.4. Exact Positive epsilon-minus on a Compact Domain</w:t>
      </w:r>
    </w:p>
    <w:p>
      <w:pPr>
        <w:spacing w:before="80" w:after="100"/>
        <w:jc w:val="center"/>
      </w:pPr>
      <w:r>
        <w:rPr>
          <w:rFonts w:ascii="DejaVu Serif" w:hAnsi="DejaVu Serif" w:eastAsia="DejaVu Serif"/>
          <w:b w:val="0"/>
          <w:i w:val="0"/>
          <w:sz w:val="21"/>
        </w:rPr>
        <w:t>Omega={a,p,r in [1,2]; b,q,s in [-1/4,1/4]} subset A2^3</w:t>
      </w:r>
      <w:r>
        <w:rPr>
          <w:rFonts w:ascii="DejaVu Serif" w:hAnsi="DejaVu Serif" w:eastAsia="DejaVu Serif"/>
          <w:b w:val="0"/>
          <w:i/>
          <w:color w:val="6B7280"/>
          <w:sz w:val="17"/>
        </w:rPr>
        <w:t xml:space="preserve">    [RU p. 154]</w:t>
      </w:r>
    </w:p>
    <w:p>
      <w:pPr>
        <w:spacing w:before="80" w:after="100"/>
        <w:jc w:val="center"/>
      </w:pPr>
      <w:r>
        <w:rPr>
          <w:rFonts w:ascii="DejaVu Serif" w:hAnsi="DejaVu Serif" w:eastAsia="DejaVu Serif"/>
          <w:b w:val="0"/>
          <w:i w:val="0"/>
          <w:sz w:val="21"/>
        </w:rPr>
        <w:t>K(x,y,z)=(0, 2apr+bpr-aps)=(0,p[(2a+b)r-as])</w:t>
      </w:r>
      <w:r>
        <w:rPr>
          <w:rFonts w:ascii="DejaVu Serif" w:hAnsi="DejaVu Serif" w:eastAsia="DejaVu Serif"/>
          <w:b w:val="0"/>
          <w:i/>
          <w:color w:val="6B7280"/>
          <w:sz w:val="17"/>
        </w:rPr>
        <w:t xml:space="preserve">    [RU p. 154]</w:t>
      </w:r>
    </w:p>
    <w:p>
      <w:pPr>
        <w:spacing w:after="80" w:line="269" w:lineRule="auto"/>
        <w:jc w:val="both"/>
      </w:pPr>
      <w:r>
        <w:rPr>
          <w:rFonts w:ascii="DejaVu Serif" w:hAnsi="DejaVu Serif" w:eastAsia="DejaVu Serif"/>
          <w:b w:val="0"/>
          <w:i w:val="0"/>
        </w:rPr>
        <w:t>The parameter q cancels identically. On Omega, g=a(2r-s)+br is minimized at a=1, b=-1/4, r=1, s=1/4, where g=3/2. Since p&gt;=1, inf ||K||=2*(3/2)=3. For m=1 this gives the exact epsilon_minus=3.</w:t>
      </w:r>
    </w:p>
    <w:p>
      <w:pPr>
        <w:spacing w:before="80" w:after="100"/>
        <w:jc w:val="center"/>
      </w:pPr>
      <w:r>
        <w:rPr>
          <w:rFonts w:ascii="DejaVu Serif" w:hAnsi="DejaVu Serif" w:eastAsia="DejaVu Serif"/>
          <w:b w:val="0"/>
          <w:i w:val="0"/>
          <w:sz w:val="21"/>
        </w:rPr>
        <w:t>epsilon_minus=inf_(u in Omega)||K(u)||/m(u)=3;   c=1;   kappa_Omega=3/4</w:t>
      </w:r>
      <w:r>
        <w:rPr>
          <w:rFonts w:ascii="DejaVu Serif" w:hAnsi="DejaVu Serif" w:eastAsia="DejaVu Serif"/>
          <w:b w:val="0"/>
          <w:i/>
          <w:color w:val="6B7280"/>
          <w:sz w:val="17"/>
        </w:rPr>
        <w:t xml:space="preserve">    [RU pp. 154-155]</w:t>
      </w:r>
    </w:p>
    <w:p>
      <w:pPr>
        <w:spacing w:after="80" w:line="269" w:lineRule="auto"/>
        <w:jc w:val="both"/>
      </w:pPr>
      <w:r>
        <w:rPr>
          <w:rFonts w:ascii="DejaVu Serif" w:hAnsi="DejaVu Serif" w:eastAsia="DejaVu Serif"/>
          <w:b w:val="0"/>
          <w:i w:val="0"/>
        </w:rPr>
        <w:t>The witness u_star=(e1-(1/4)e2,e1,e1+(1/4)e2) attains equality: r_L=(3/4)e2, r_R=-(3/4)e2, K=(3/2)e2, ||K||=Delta_S=3, and e_S=e_R=3/2.</w:t>
      </w:r>
    </w:p>
    <w:p>
      <w:pPr>
        <w:spacing w:before="80" w:after="100"/>
        <w:jc w:val="center"/>
      </w:pPr>
      <w:r>
        <w:rPr>
          <w:rFonts w:ascii="DejaVu Serif" w:hAnsi="DejaVu Serif" w:eastAsia="DejaVu Serif"/>
          <w:b w:val="0"/>
          <w:i w:val="0"/>
          <w:sz w:val="21"/>
        </w:rPr>
        <w:t>e_S e_D=e_R e_D=3/4=(epsilon_minus Delta_D/4)m(u_star)</w:t>
      </w:r>
      <w:r>
        <w:rPr>
          <w:rFonts w:ascii="DejaVu Serif" w:hAnsi="DejaVu Serif" w:eastAsia="DejaVu Serif"/>
          <w:b w:val="0"/>
          <w:i/>
          <w:color w:val="6B7280"/>
          <w:sz w:val="17"/>
        </w:rPr>
        <w:t xml:space="preserve">    [RU pp. 155-156]</w:t>
      </w:r>
    </w:p>
    <w:p>
      <w:pPr>
        <w:pStyle w:val="Heading2"/>
        <w:keepNext/>
      </w:pPr>
      <w:r>
        <w:t>A.5. PO-11 Closure and Status Boundary</w:t>
      </w:r>
    </w:p>
    <w:tbl>
      <w:tblPr>
        <w:tblStyle w:val="TableGrid"/>
        <w:tblW w:type="auto" w:w="0"/>
        <w:jc w:val="center"/>
        <w:tblLook w:firstColumn="1" w:firstRow="1" w:lastColumn="0" w:lastRow="0" w:noHBand="0" w:noVBand="1" w:val="04A0"/>
      </w:tblPr>
      <w:tblGrid>
        <w:gridCol w:w="2517"/>
        <w:gridCol w:w="2517"/>
        <w:gridCol w:w="2517"/>
        <w:gridCol w:w="2517"/>
      </w:tblGrid>
      <w:tr>
        <w:trPr>
          <w:tblHeader w:val="true"/>
        </w:trPr>
        <w:tc>
          <w:tcPr>
            <w:tcW w:type="dxa" w:w="113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Case</w:t>
            </w:r>
          </w:p>
        </w:tc>
        <w:tc>
          <w:tcPr>
            <w:tcW w:type="dxa" w:w="2835"/>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Associator / observable</w:t>
            </w:r>
          </w:p>
        </w:tc>
        <w:tc>
          <w:tcPr>
            <w:tcW w:type="dxa" w:w="2835"/>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Exact result</w:t>
            </w:r>
          </w:p>
        </w:tc>
        <w:tc>
          <w:tcPr>
            <w:tcW w:type="dxa" w:w="238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Status</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6"/>
              </w:rPr>
              <w:t>A.1</w:t>
            </w:r>
          </w:p>
        </w:tc>
        <w:tc>
          <w:tcPr>
            <w:tcW w:type="dxa" w:w="2835"/>
            <w:tcMar>
              <w:top w:w="90" w:type="dxa"/>
              <w:start w:w="110" w:type="dxa"/>
              <w:bottom w:w="90" w:type="dxa"/>
              <w:end w:w="110" w:type="dxa"/>
            </w:tcMar>
            <w:vAlign w:val="center"/>
          </w:tcPr>
          <w:p>
            <w:pPr>
              <w:jc w:val="left"/>
            </w:pPr>
            <w:r>
              <w:rPr>
                <w:rFonts w:ascii="DejaVu Serif" w:hAnsi="DejaVu Serif" w:eastAsia="DejaVu Serif"/>
                <w:b w:val="0"/>
                <w:i w:val="0"/>
                <w:sz w:val="16"/>
              </w:rPr>
              <w:t>K=0; Delta_S=0</w:t>
            </w:r>
          </w:p>
        </w:tc>
        <w:tc>
          <w:tcPr>
            <w:tcW w:type="dxa" w:w="2835"/>
            <w:tcMar>
              <w:top w:w="90" w:type="dxa"/>
              <w:start w:w="110" w:type="dxa"/>
              <w:bottom w:w="90" w:type="dxa"/>
              <w:end w:w="110" w:type="dxa"/>
            </w:tcMar>
            <w:vAlign w:val="center"/>
          </w:tcPr>
          <w:p>
            <w:pPr>
              <w:jc w:val="left"/>
            </w:pPr>
            <w:r>
              <w:rPr>
                <w:rFonts w:ascii="DejaVu Serif" w:hAnsi="DejaVu Serif" w:eastAsia="DejaVu Serif"/>
                <w:b w:val="0"/>
                <w:i w:val="0"/>
                <w:sz w:val="16"/>
              </w:rPr>
              <w:t>both bounds 0=0</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6"/>
              </w:rPr>
              <w:t>associative counterexample</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A.2</w:t>
            </w:r>
          </w:p>
        </w:tc>
        <w:tc>
          <w:tcPr>
            <w:tcW w:type="dxa" w:w="28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K!=0; norm observable</w:t>
            </w:r>
          </w:p>
        </w:tc>
        <w:tc>
          <w:tcPr>
            <w:tcW w:type="dxa" w:w="28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Delta_S=0; PN.2-R 1=1</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6"/>
              </w:rPr>
              <w:t>scalar nonseparation</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6"/>
              </w:rPr>
              <w:t>A.3</w:t>
            </w:r>
          </w:p>
        </w:tc>
        <w:tc>
          <w:tcPr>
            <w:tcW w:type="dxa" w:w="2835"/>
            <w:tcMar>
              <w:top w:w="90" w:type="dxa"/>
              <w:start w:w="110" w:type="dxa"/>
              <w:bottom w:w="90" w:type="dxa"/>
              <w:end w:w="110" w:type="dxa"/>
            </w:tcMar>
            <w:vAlign w:val="center"/>
          </w:tcPr>
          <w:p>
            <w:pPr>
              <w:jc w:val="left"/>
            </w:pPr>
            <w:r>
              <w:rPr>
                <w:rFonts w:ascii="DejaVu Serif" w:hAnsi="DejaVu Serif" w:eastAsia="DejaVu Serif"/>
                <w:b w:val="0"/>
                <w:i w:val="0"/>
                <w:sz w:val="16"/>
              </w:rPr>
              <w:t>linear S_sep</w:t>
            </w:r>
          </w:p>
        </w:tc>
        <w:tc>
          <w:tcPr>
            <w:tcW w:type="dxa" w:w="2835"/>
            <w:tcMar>
              <w:top w:w="90" w:type="dxa"/>
              <w:start w:w="110" w:type="dxa"/>
              <w:bottom w:w="90" w:type="dxa"/>
              <w:end w:w="110" w:type="dxa"/>
            </w:tcMar>
            <w:vAlign w:val="center"/>
          </w:tcPr>
          <w:p>
            <w:pPr>
              <w:jc w:val="left"/>
            </w:pPr>
            <w:r>
              <w:rPr>
                <w:rFonts w:ascii="DejaVu Serif" w:hAnsi="DejaVu Serif" w:eastAsia="DejaVu Serif"/>
                <w:b w:val="0"/>
                <w:i w:val="0"/>
                <w:sz w:val="16"/>
              </w:rPr>
              <w:t>c=1; both bounds 6=6</w:t>
            </w:r>
          </w:p>
        </w:tc>
        <w:tc>
          <w:tcPr>
            <w:tcW w:type="dxa" w:w="2381"/>
            <w:tcMar>
              <w:top w:w="90" w:type="dxa"/>
              <w:start w:w="110" w:type="dxa"/>
              <w:bottom w:w="90" w:type="dxa"/>
              <w:end w:w="110" w:type="dxa"/>
            </w:tcMar>
            <w:vAlign w:val="center"/>
          </w:tcPr>
          <w:p>
            <w:pPr>
              <w:jc w:val="left"/>
            </w:pPr>
            <w:r>
              <w:rPr>
                <w:rFonts w:ascii="DejaVu Serif" w:hAnsi="DejaVu Serif" w:eastAsia="DejaVu Serif"/>
                <w:b w:val="0"/>
                <w:i w:val="0"/>
                <w:sz w:val="16"/>
              </w:rPr>
              <w:t>sharp global separation</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A.4</w:t>
            </w:r>
          </w:p>
        </w:tc>
        <w:tc>
          <w:tcPr>
            <w:tcW w:type="dxa" w:w="28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compact Omega</w:t>
            </w:r>
          </w:p>
        </w:tc>
        <w:tc>
          <w:tcPr>
            <w:tcW w:type="dxa" w:w="2835"/>
            <w:tcMar>
              <w:top w:w="90" w:type="dxa"/>
              <w:start w:w="110" w:type="dxa"/>
              <w:bottom w:w="90" w:type="dxa"/>
              <w:end w:w="110" w:type="dxa"/>
            </w:tcMar>
            <w:vAlign w:val="center"/>
            <w:shd w:fill="F4F7FA"/>
          </w:tcPr>
          <w:p>
            <w:pPr>
              <w:jc w:val="left"/>
            </w:pPr>
            <w:r>
              <w:rPr>
                <w:rFonts w:ascii="DejaVu Serif" w:hAnsi="DejaVu Serif" w:eastAsia="DejaVu Serif"/>
                <w:b w:val="0"/>
                <w:i w:val="0"/>
                <w:sz w:val="16"/>
              </w:rPr>
              <w:t>epsilon_minus=3; both bounds 3/4=3/4</w:t>
            </w:r>
          </w:p>
        </w:tc>
        <w:tc>
          <w:tcPr>
            <w:tcW w:type="dxa" w:w="2381"/>
            <w:tcMar>
              <w:top w:w="90" w:type="dxa"/>
              <w:start w:w="110" w:type="dxa"/>
              <w:bottom w:w="90" w:type="dxa"/>
              <w:end w:w="110" w:type="dxa"/>
            </w:tcMar>
            <w:vAlign w:val="center"/>
            <w:shd w:fill="F4F7FA"/>
          </w:tcPr>
          <w:p>
            <w:pPr>
              <w:jc w:val="left"/>
            </w:pPr>
            <w:r>
              <w:rPr>
                <w:rFonts w:ascii="DejaVu Serif" w:hAnsi="DejaVu Serif" w:eastAsia="DejaVu Serif"/>
                <w:b w:val="0"/>
                <w:i w:val="0"/>
                <w:sz w:val="16"/>
              </w:rPr>
              <w:t>uniform exact domain</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PO-11 STATUS. </w:t>
            </w:r>
            <w:r>
              <w:rPr>
                <w:rFonts w:ascii="DejaVu Serif" w:hAnsi="DejaVu Serif" w:eastAsia="DejaVu Serif"/>
                <w:b w:val="0"/>
                <w:i w:val="0"/>
                <w:sz w:val="18"/>
              </w:rPr>
              <w:t>CLOSED-ABSTRACT for the canonical PN.2 theorem package. The appendix proves necessity and sharpness inside the declared auxiliary models. PO-1-PO-10 for physical R-star-R, physical meanings of Dfrak and S, hbar calibration, PN.1, and F-1-F-14 remain open.</w:t>
            </w:r>
          </w:p>
        </w:tc>
      </w:tr>
    </w:tbl>
    <w:p>
      <w:pPr>
        <w:spacing w:after="40"/>
      </w:pPr>
    </w:p>
    <w:p>
      <w:pPr>
        <w:pStyle w:val="Heading1"/>
        <w:keepNext/>
      </w:pPr>
      <w:bookmarkStart w:id="1053" w:name="T1_APP_B"/>
      <w:r>
        <w:t>Appendix B. Computable Certificate for PO-12</w:t>
      </w:r>
      <w:bookmarkEnd w:id="1053"/>
    </w:p>
    <w:p>
      <w:pPr>
        <w:pStyle w:val="Heading2"/>
        <w:keepNext/>
      </w:pPr>
      <w:r>
        <w:t>B.0. Purpose and Status Boundary</w:t>
      </w:r>
    </w:p>
    <w:p>
      <w:pPr>
        <w:spacing w:after="80" w:line="269" w:lineRule="auto"/>
        <w:jc w:val="both"/>
      </w:pPr>
      <w:r>
        <w:rPr>
          <w:rFonts w:ascii="DejaVu Serif" w:hAnsi="DejaVu Serif" w:eastAsia="DejaVu Serif"/>
          <w:b w:val="0"/>
          <w:i w:val="0"/>
        </w:rPr>
        <w:t>The Russian source records the reproducible certificate PN2-PO12-A2-v1.0 for A2 and the four Appendix A cases. This English derivative translates the certificate record. It does not assert a new independent replay of the archive.</w:t>
      </w:r>
    </w:p>
    <w:p>
      <w:pPr>
        <w:pStyle w:val="Heading2"/>
        <w:keepNext/>
      </w:pPr>
      <w:r>
        <w:t>B.1. Identifier, Environment, and Files</w:t>
      </w:r>
    </w:p>
    <w:tbl>
      <w:tblPr>
        <w:tblStyle w:val="TableGrid"/>
        <w:tblW w:type="auto" w:w="0"/>
        <w:jc w:val="center"/>
        <w:tblLook w:firstColumn="1" w:firstRow="1" w:lastColumn="0" w:lastRow="0" w:noHBand="0" w:noVBand="1" w:val="04A0"/>
      </w:tblPr>
      <w:tblGrid>
        <w:gridCol w:w="5035"/>
        <w:gridCol w:w="5035"/>
      </w:tblGrid>
      <w:tr>
        <w:trPr>
          <w:tblHeader w:val="true"/>
        </w:trPr>
        <w:tc>
          <w:tcPr>
            <w:tcW w:type="dxa" w:w="243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Field</w:t>
            </w:r>
          </w:p>
        </w:tc>
        <w:tc>
          <w:tcPr>
            <w:tcW w:type="dxa" w:w="6746"/>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Recorded value</w:t>
            </w:r>
          </w:p>
        </w:tc>
      </w:tr>
      <w:tr>
        <w:tc>
          <w:tcPr>
            <w:tcW w:type="dxa" w:w="2438"/>
            <w:tcMar>
              <w:top w:w="90" w:type="dxa"/>
              <w:start w:w="110" w:type="dxa"/>
              <w:bottom w:w="90" w:type="dxa"/>
              <w:end w:w="110" w:type="dxa"/>
            </w:tcMar>
            <w:vAlign w:val="center"/>
          </w:tcPr>
          <w:p>
            <w:pPr>
              <w:jc w:val="center"/>
            </w:pPr>
            <w:r>
              <w:rPr>
                <w:rFonts w:ascii="DejaVu Serif" w:hAnsi="DejaVu Serif" w:eastAsia="DejaVu Serif"/>
                <w:b w:val="0"/>
                <w:i w:val="0"/>
                <w:sz w:val="16"/>
              </w:rPr>
              <w:t>Identifier</w:t>
            </w:r>
          </w:p>
        </w:tc>
        <w:tc>
          <w:tcPr>
            <w:tcW w:type="dxa" w:w="6746"/>
            <w:tcMar>
              <w:top w:w="90" w:type="dxa"/>
              <w:start w:w="110" w:type="dxa"/>
              <w:bottom w:w="90" w:type="dxa"/>
              <w:end w:w="110" w:type="dxa"/>
            </w:tcMar>
            <w:vAlign w:val="center"/>
          </w:tcPr>
          <w:p>
            <w:pPr>
              <w:jc w:val="left"/>
            </w:pPr>
            <w:r>
              <w:rPr>
                <w:rFonts w:ascii="DejaVu Serif" w:hAnsi="DejaVu Serif" w:eastAsia="DejaVu Serif"/>
                <w:b w:val="0"/>
                <w:i w:val="0"/>
                <w:sz w:val="16"/>
              </w:rPr>
              <w:t>PN2-PO12-A2-v1.0</w:t>
            </w:r>
          </w:p>
        </w:tc>
      </w:tr>
      <w:tr>
        <w:tc>
          <w:tcPr>
            <w:tcW w:type="dxa" w:w="2438"/>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Archive</w:t>
            </w:r>
          </w:p>
        </w:tc>
        <w:tc>
          <w:tcPr>
            <w:tcW w:type="dxa" w:w="6746"/>
            <w:tcMar>
              <w:top w:w="90" w:type="dxa"/>
              <w:start w:w="110" w:type="dxa"/>
              <w:bottom w:w="90" w:type="dxa"/>
              <w:end w:w="110" w:type="dxa"/>
            </w:tcMar>
            <w:vAlign w:val="center"/>
            <w:shd w:fill="F4F7FA"/>
          </w:tcPr>
          <w:p>
            <w:pPr>
              <w:jc w:val="left"/>
            </w:pPr>
            <w:r>
              <w:rPr>
                <w:rFonts w:ascii="DejaVu Serif" w:hAnsi="DejaVu Serif" w:eastAsia="DejaVu Serif"/>
                <w:b w:val="0"/>
                <w:i w:val="0"/>
                <w:sz w:val="16"/>
              </w:rPr>
              <w:t>pn2_po12_cert_v1.0.zip</w:t>
            </w:r>
          </w:p>
        </w:tc>
      </w:tr>
      <w:tr>
        <w:tc>
          <w:tcPr>
            <w:tcW w:type="dxa" w:w="2438"/>
            <w:tcMar>
              <w:top w:w="90" w:type="dxa"/>
              <w:start w:w="110" w:type="dxa"/>
              <w:bottom w:w="90" w:type="dxa"/>
              <w:end w:w="110" w:type="dxa"/>
            </w:tcMar>
            <w:vAlign w:val="center"/>
          </w:tcPr>
          <w:p>
            <w:pPr>
              <w:jc w:val="center"/>
            </w:pPr>
            <w:r>
              <w:rPr>
                <w:rFonts w:ascii="DejaVu Serif" w:hAnsi="DejaVu Serif" w:eastAsia="DejaVu Serif"/>
                <w:b w:val="0"/>
                <w:i w:val="0"/>
                <w:sz w:val="16"/>
              </w:rPr>
              <w:t>Environment</w:t>
            </w:r>
          </w:p>
        </w:tc>
        <w:tc>
          <w:tcPr>
            <w:tcW w:type="dxa" w:w="6746"/>
            <w:tcMar>
              <w:top w:w="90" w:type="dxa"/>
              <w:start w:w="110" w:type="dxa"/>
              <w:bottom w:w="90" w:type="dxa"/>
              <w:end w:w="110" w:type="dxa"/>
            </w:tcMar>
            <w:vAlign w:val="center"/>
          </w:tcPr>
          <w:p>
            <w:pPr>
              <w:jc w:val="left"/>
            </w:pPr>
            <w:r>
              <w:rPr>
                <w:rFonts w:ascii="DejaVu Serif" w:hAnsi="DejaVu Serif" w:eastAsia="DejaVu Serif"/>
                <w:b w:val="0"/>
                <w:i w:val="0"/>
                <w:sz w:val="16"/>
              </w:rPr>
              <w:t>Python 3.10 or newer; standard library only</w:t>
            </w:r>
          </w:p>
        </w:tc>
      </w:tr>
      <w:tr>
        <w:tc>
          <w:tcPr>
            <w:tcW w:type="dxa" w:w="2438"/>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Core</w:t>
            </w:r>
          </w:p>
        </w:tc>
        <w:tc>
          <w:tcPr>
            <w:tcW w:type="dxa" w:w="6746"/>
            <w:tcMar>
              <w:top w:w="90" w:type="dxa"/>
              <w:start w:w="110" w:type="dxa"/>
              <w:bottom w:w="90" w:type="dxa"/>
              <w:end w:w="110" w:type="dxa"/>
            </w:tcMar>
            <w:vAlign w:val="center"/>
            <w:shd w:fill="F4F7FA"/>
          </w:tcPr>
          <w:p>
            <w:pPr>
              <w:jc w:val="left"/>
            </w:pPr>
            <w:r>
              <w:rPr>
                <w:rFonts w:ascii="DejaVu Serif" w:hAnsi="DejaVu Serif" w:eastAsia="DejaVu Serif"/>
                <w:b w:val="0"/>
                <w:i w:val="0"/>
                <w:sz w:val="16"/>
              </w:rPr>
              <w:t>pn2_cert.py</w:t>
            </w:r>
          </w:p>
        </w:tc>
      </w:tr>
      <w:tr>
        <w:tc>
          <w:tcPr>
            <w:tcW w:type="dxa" w:w="2438"/>
            <w:tcMar>
              <w:top w:w="90" w:type="dxa"/>
              <w:start w:w="110" w:type="dxa"/>
              <w:bottom w:w="90" w:type="dxa"/>
              <w:end w:w="110" w:type="dxa"/>
            </w:tcMar>
            <w:vAlign w:val="center"/>
          </w:tcPr>
          <w:p>
            <w:pPr>
              <w:jc w:val="center"/>
            </w:pPr>
            <w:r>
              <w:rPr>
                <w:rFonts w:ascii="DejaVu Serif" w:hAnsi="DejaVu Serif" w:eastAsia="DejaVu Serif"/>
                <w:b w:val="0"/>
                <w:i w:val="0"/>
                <w:sz w:val="16"/>
              </w:rPr>
              <w:t>Tests</w:t>
            </w:r>
          </w:p>
        </w:tc>
        <w:tc>
          <w:tcPr>
            <w:tcW w:type="dxa" w:w="6746"/>
            <w:tcMar>
              <w:top w:w="90" w:type="dxa"/>
              <w:start w:w="110" w:type="dxa"/>
              <w:bottom w:w="90" w:type="dxa"/>
              <w:end w:w="110" w:type="dxa"/>
            </w:tcMar>
            <w:vAlign w:val="center"/>
          </w:tcPr>
          <w:p>
            <w:pPr>
              <w:jc w:val="left"/>
            </w:pPr>
            <w:r>
              <w:rPr>
                <w:rFonts w:ascii="DejaVu Serif" w:hAnsi="DejaVu Serif" w:eastAsia="DejaVu Serif"/>
                <w:b w:val="0"/>
                <w:i w:val="0"/>
                <w:sz w:val="16"/>
              </w:rPr>
              <w:t>test_pn2_cert.py</w:t>
            </w:r>
          </w:p>
        </w:tc>
      </w:tr>
      <w:tr>
        <w:tc>
          <w:tcPr>
            <w:tcW w:type="dxa" w:w="2438"/>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Machine specification</w:t>
            </w:r>
          </w:p>
        </w:tc>
        <w:tc>
          <w:tcPr>
            <w:tcW w:type="dxa" w:w="6746"/>
            <w:tcMar>
              <w:top w:w="90" w:type="dxa"/>
              <w:start w:w="110" w:type="dxa"/>
              <w:bottom w:w="90" w:type="dxa"/>
              <w:end w:w="110" w:type="dxa"/>
            </w:tcMar>
            <w:vAlign w:val="center"/>
            <w:shd w:fill="F4F7FA"/>
          </w:tcPr>
          <w:p>
            <w:pPr>
              <w:jc w:val="left"/>
            </w:pPr>
            <w:r>
              <w:rPr>
                <w:rFonts w:ascii="DejaVu Serif" w:hAnsi="DejaVu Serif" w:eastAsia="DejaVu Serif"/>
                <w:b w:val="0"/>
                <w:i w:val="0"/>
                <w:sz w:val="16"/>
              </w:rPr>
              <w:t>manifest.json</w:t>
            </w:r>
          </w:p>
        </w:tc>
      </w:tr>
      <w:tr>
        <w:tc>
          <w:tcPr>
            <w:tcW w:type="dxa" w:w="2438"/>
            <w:tcMar>
              <w:top w:w="90" w:type="dxa"/>
              <w:start w:w="110" w:type="dxa"/>
              <w:bottom w:w="90" w:type="dxa"/>
              <w:end w:w="110" w:type="dxa"/>
            </w:tcMar>
            <w:vAlign w:val="center"/>
          </w:tcPr>
          <w:p>
            <w:pPr>
              <w:jc w:val="center"/>
            </w:pPr>
            <w:r>
              <w:rPr>
                <w:rFonts w:ascii="DejaVu Serif" w:hAnsi="DejaVu Serif" w:eastAsia="DejaVu Serif"/>
                <w:b w:val="0"/>
                <w:i w:val="0"/>
                <w:sz w:val="16"/>
              </w:rPr>
              <w:t>Results</w:t>
            </w:r>
          </w:p>
        </w:tc>
        <w:tc>
          <w:tcPr>
            <w:tcW w:type="dxa" w:w="6746"/>
            <w:tcMar>
              <w:top w:w="90" w:type="dxa"/>
              <w:start w:w="110" w:type="dxa"/>
              <w:bottom w:w="90" w:type="dxa"/>
              <w:end w:w="110" w:type="dxa"/>
            </w:tcMar>
            <w:vAlign w:val="center"/>
          </w:tcPr>
          <w:p>
            <w:pPr>
              <w:jc w:val="left"/>
            </w:pPr>
            <w:r>
              <w:rPr>
                <w:rFonts w:ascii="DejaVu Serif" w:hAnsi="DejaVu Serif" w:eastAsia="DejaVu Serif"/>
                <w:b w:val="0"/>
                <w:i w:val="0"/>
                <w:sz w:val="16"/>
              </w:rPr>
              <w:t>results.json and values.tsv</w:t>
            </w:r>
          </w:p>
        </w:tc>
      </w:tr>
      <w:tr>
        <w:tc>
          <w:tcPr>
            <w:tcW w:type="dxa" w:w="2438"/>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Deterministic builder</w:t>
            </w:r>
          </w:p>
        </w:tc>
        <w:tc>
          <w:tcPr>
            <w:tcW w:type="dxa" w:w="6746"/>
            <w:tcMar>
              <w:top w:w="90" w:type="dxa"/>
              <w:start w:w="110" w:type="dxa"/>
              <w:bottom w:w="90" w:type="dxa"/>
              <w:end w:w="110" w:type="dxa"/>
            </w:tcMar>
            <w:vAlign w:val="center"/>
            <w:shd w:fill="F4F7FA"/>
          </w:tcPr>
          <w:p>
            <w:pPr>
              <w:jc w:val="left"/>
            </w:pPr>
            <w:r>
              <w:rPr>
                <w:rFonts w:ascii="DejaVu Serif" w:hAnsi="DejaVu Serif" w:eastAsia="DejaVu Serif"/>
                <w:b w:val="0"/>
                <w:i w:val="0"/>
                <w:sz w:val="16"/>
              </w:rPr>
              <w:t>build_bundle.py</w:t>
            </w:r>
          </w:p>
        </w:tc>
      </w:tr>
      <w:tr>
        <w:tc>
          <w:tcPr>
            <w:tcW w:type="dxa" w:w="2438"/>
            <w:tcMar>
              <w:top w:w="90" w:type="dxa"/>
              <w:start w:w="110" w:type="dxa"/>
              <w:bottom w:w="90" w:type="dxa"/>
              <w:end w:w="110" w:type="dxa"/>
            </w:tcMar>
            <w:vAlign w:val="center"/>
          </w:tcPr>
          <w:p>
            <w:pPr>
              <w:jc w:val="center"/>
            </w:pPr>
            <w:r>
              <w:rPr>
                <w:rFonts w:ascii="DejaVu Serif" w:hAnsi="DejaVu Serif" w:eastAsia="DejaVu Serif"/>
                <w:b w:val="0"/>
                <w:i w:val="0"/>
                <w:sz w:val="16"/>
              </w:rPr>
              <w:t>Instructions</w:t>
            </w:r>
          </w:p>
        </w:tc>
        <w:tc>
          <w:tcPr>
            <w:tcW w:type="dxa" w:w="6746"/>
            <w:tcMar>
              <w:top w:w="90" w:type="dxa"/>
              <w:start w:w="110" w:type="dxa"/>
              <w:bottom w:w="90" w:type="dxa"/>
              <w:end w:w="110" w:type="dxa"/>
            </w:tcMar>
            <w:vAlign w:val="center"/>
          </w:tcPr>
          <w:p>
            <w:pPr>
              <w:jc w:val="left"/>
            </w:pPr>
            <w:r>
              <w:rPr>
                <w:rFonts w:ascii="DejaVu Serif" w:hAnsi="DejaVu Serif" w:eastAsia="DejaVu Serif"/>
                <w:b w:val="0"/>
                <w:i w:val="0"/>
                <w:sz w:val="16"/>
              </w:rPr>
              <w:t>README_RU.md</w:t>
            </w:r>
          </w:p>
        </w:tc>
      </w:tr>
      <w:tr>
        <w:tc>
          <w:tcPr>
            <w:tcW w:type="dxa" w:w="2438"/>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Digests</w:t>
            </w:r>
          </w:p>
        </w:tc>
        <w:tc>
          <w:tcPr>
            <w:tcW w:type="dxa" w:w="6746"/>
            <w:tcMar>
              <w:top w:w="90" w:type="dxa"/>
              <w:start w:w="110" w:type="dxa"/>
              <w:bottom w:w="90" w:type="dxa"/>
              <w:end w:w="110" w:type="dxa"/>
            </w:tcMar>
            <w:vAlign w:val="center"/>
            <w:shd w:fill="F4F7FA"/>
          </w:tcPr>
          <w:p>
            <w:pPr>
              <w:jc w:val="left"/>
            </w:pPr>
            <w:r>
              <w:rPr>
                <w:rFonts w:ascii="DejaVu Serif" w:hAnsi="DejaVu Serif" w:eastAsia="DejaVu Serif"/>
                <w:b w:val="0"/>
                <w:i w:val="0"/>
                <w:sz w:val="16"/>
              </w:rPr>
              <w:t>SHA256SUMS.txt</w:t>
            </w:r>
          </w:p>
        </w:tc>
      </w:tr>
    </w:tbl>
    <w:p>
      <w:pPr>
        <w:spacing w:after="40"/>
      </w:pPr>
    </w:p>
    <w:p>
      <w:pPr>
        <w:pStyle w:val="Heading2"/>
        <w:keepNext/>
      </w:pPr>
      <w:r>
        <w:t>B.2. Structural Constants and Associator Tensor</w:t>
      </w:r>
    </w:p>
    <w:p>
      <w:pPr>
        <w:spacing w:before="80" w:after="100"/>
        <w:jc w:val="center"/>
      </w:pPr>
      <w:r>
        <w:rPr>
          <w:rFonts w:ascii="DejaVu Serif" w:hAnsi="DejaVu Serif" w:eastAsia="DejaVu Serif"/>
          <w:b w:val="0"/>
          <w:i w:val="0"/>
          <w:sz w:val="21"/>
        </w:rPr>
        <w:t>C[2,1,1]=1; C[2,2,1]=1; C[2,1,2]=-1; all other C[k,i,j]=0</w:t>
      </w:r>
      <w:r>
        <w:rPr>
          <w:rFonts w:ascii="DejaVu Serif" w:hAnsi="DejaVu Serif" w:eastAsia="DejaVu Serif"/>
          <w:b w:val="0"/>
          <w:i/>
          <w:color w:val="6B7280"/>
          <w:sz w:val="17"/>
        </w:rPr>
        <w:t xml:space="preserve">    [RU p. 156]</w:t>
      </w:r>
    </w:p>
    <w:p>
      <w:pPr>
        <w:spacing w:before="80" w:after="100"/>
        <w:jc w:val="center"/>
      </w:pPr>
      <w:r>
        <w:rPr>
          <w:rFonts w:ascii="DejaVu Serif" w:hAnsi="DejaVu Serif" w:eastAsia="DejaVu Serif"/>
          <w:b w:val="0"/>
          <w:i w:val="0"/>
          <w:sz w:val="21"/>
        </w:rPr>
        <w:t>A[m,i,j,k]=sum_l(C[l,i,j]C[m,l,k]-C[l,j,k]C[m,i,l])</w:t>
      </w:r>
      <w:r>
        <w:rPr>
          <w:rFonts w:ascii="DejaVu Serif" w:hAnsi="DejaVu Serif" w:eastAsia="DejaVu Serif"/>
          <w:b w:val="0"/>
          <w:i/>
          <w:color w:val="6B7280"/>
          <w:sz w:val="17"/>
        </w:rPr>
        <w:t xml:space="preserve">    [RU p. 156]</w:t>
      </w:r>
    </w:p>
    <w:p>
      <w:pPr>
        <w:spacing w:after="80" w:line="269" w:lineRule="auto"/>
        <w:jc w:val="both"/>
      </w:pPr>
      <w:r>
        <w:rPr>
          <w:rFonts w:ascii="DejaVu Serif" w:hAnsi="DejaVu Serif" w:eastAsia="DejaVu Serif"/>
          <w:b w:val="0"/>
          <w:i w:val="0"/>
        </w:rPr>
        <w:t>The only nonzero associator components are A[2,1,1,1]=2, A[2,2,1,1]=1, and A[2,1,1,2]=-1. Therefore the implementation obtains K(x,y,z)=(0,2apr+bpr-aps) exactly.</w:t>
      </w:r>
    </w:p>
    <w:p>
      <w:pPr>
        <w:pStyle w:val="Heading2"/>
        <w:keepNext/>
      </w:pPr>
      <w:r>
        <w:t>B.3. Exact Norm Handling, Dfrak, Observables, and Errors</w:t>
      </w:r>
    </w:p>
    <w:p>
      <w:pPr>
        <w:spacing w:after="80" w:line="269" w:lineRule="auto"/>
        <w:jc w:val="both"/>
      </w:pPr>
      <w:r>
        <w:rPr>
          <w:rFonts w:ascii="DejaVu Serif" w:hAnsi="DejaVu Serif" w:eastAsia="DejaVu Serif"/>
          <w:b w:val="0"/>
          <w:i w:val="0"/>
        </w:rPr>
        <w:t>The certificate stores the exact squared norm 4(alpha^2+beta^2). On the multiplication and associator image R e2, it uses ||(0,beta)||=2|beta|, avoiding irrational rounding in all certified equalities. The fixed coordinate gives Delta_D=1 and e_D=1/2. S_norm is used for A.2 and S_sep(alpha,beta)=2 beta for A.3-A.4.</w:t>
      </w:r>
    </w:p>
    <w:p>
      <w:pPr>
        <w:pStyle w:val="Heading2"/>
        <w:keepNext/>
      </w:pPr>
      <w:r>
        <w:t>B.4. Expected / Obtained Matrix</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907"/>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Case</w:t>
            </w:r>
          </w:p>
        </w:tc>
        <w:tc>
          <w:tcPr>
            <w:tcW w:type="dxa" w:w="7257"/>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Expected and source-recorded obtained values</w:t>
            </w:r>
          </w:p>
        </w:tc>
        <w:tc>
          <w:tcPr>
            <w:tcW w:type="dxa" w:w="1020"/>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Verdict</w:t>
            </w:r>
          </w:p>
        </w:tc>
      </w:tr>
      <w:tr>
        <w:tc>
          <w:tcPr>
            <w:tcW w:type="dxa" w:w="907"/>
            <w:tcMar>
              <w:top w:w="90" w:type="dxa"/>
              <w:start w:w="110" w:type="dxa"/>
              <w:bottom w:w="90" w:type="dxa"/>
              <w:end w:w="110" w:type="dxa"/>
            </w:tcMar>
            <w:vAlign w:val="center"/>
          </w:tcPr>
          <w:p>
            <w:pPr>
              <w:jc w:val="center"/>
            </w:pPr>
            <w:r>
              <w:rPr>
                <w:rFonts w:ascii="DejaVu Serif" w:hAnsi="DejaVu Serif" w:eastAsia="DejaVu Serif"/>
                <w:b w:val="0"/>
                <w:i w:val="0"/>
                <w:sz w:val="15"/>
              </w:rPr>
              <w:t>A.1</w:t>
            </w:r>
          </w:p>
        </w:tc>
        <w:tc>
          <w:tcPr>
            <w:tcW w:type="dxa" w:w="7257"/>
            <w:tcMar>
              <w:top w:w="90" w:type="dxa"/>
              <w:start w:w="110" w:type="dxa"/>
              <w:bottom w:w="90" w:type="dxa"/>
              <w:end w:w="110" w:type="dxa"/>
            </w:tcMar>
            <w:vAlign w:val="center"/>
          </w:tcPr>
          <w:p>
            <w:pPr>
              <w:jc w:val="left"/>
            </w:pPr>
            <w:r>
              <w:rPr>
                <w:rFonts w:ascii="DejaVu Serif" w:hAnsi="DejaVu Serif" w:eastAsia="DejaVu Serif"/>
                <w:b w:val="0"/>
                <w:i w:val="0"/>
                <w:sz w:val="15"/>
              </w:rPr>
              <w:t>r_L=r_R=6; K=0; ||K||=Delta_S=e_S=e_R=0; e_D=1/2; bounds 0=0</w:t>
            </w:r>
          </w:p>
        </w:tc>
        <w:tc>
          <w:tcPr>
            <w:tcW w:type="dxa" w:w="1020"/>
            <w:tcMar>
              <w:top w:w="90" w:type="dxa"/>
              <w:start w:w="110" w:type="dxa"/>
              <w:bottom w:w="90" w:type="dxa"/>
              <w:end w:w="110" w:type="dxa"/>
            </w:tcMar>
            <w:vAlign w:val="center"/>
          </w:tcPr>
          <w:p>
            <w:pPr>
              <w:jc w:val="left"/>
            </w:pPr>
            <w:r>
              <w:rPr>
                <w:rFonts w:ascii="DejaVu Serif" w:hAnsi="DejaVu Serif" w:eastAsia="DejaVu Serif"/>
                <w:b w:val="0"/>
                <w:i w:val="0"/>
                <w:sz w:val="15"/>
              </w:rPr>
              <w:t>PASS</w:t>
            </w:r>
          </w:p>
        </w:tc>
      </w:tr>
      <w:tr>
        <w:tc>
          <w:tcPr>
            <w:tcW w:type="dxa" w:w="907"/>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A.2</w:t>
            </w:r>
          </w:p>
        </w:tc>
        <w:tc>
          <w:tcPr>
            <w:tcW w:type="dxa" w:w="7257"/>
            <w:tcMar>
              <w:top w:w="90" w:type="dxa"/>
              <w:start w:w="110" w:type="dxa"/>
              <w:bottom w:w="90" w:type="dxa"/>
              <w:end w:w="110" w:type="dxa"/>
            </w:tcMar>
            <w:vAlign w:val="center"/>
            <w:shd w:fill="F4F7FA"/>
          </w:tcPr>
          <w:p>
            <w:pPr>
              <w:jc w:val="left"/>
            </w:pPr>
            <w:r>
              <w:rPr>
                <w:rFonts w:ascii="DejaVu Serif" w:hAnsi="DejaVu Serif" w:eastAsia="DejaVu Serif"/>
                <w:b w:val="0"/>
                <w:i w:val="0"/>
                <w:sz w:val="15"/>
              </w:rPr>
              <w:t>r_L=(0,1); r_R=(0,-1); K=(0,2); ||K||=4; Delta_S=e_S=0; e_R=2; PN.2-R 1=1</w:t>
            </w:r>
          </w:p>
        </w:tc>
        <w:tc>
          <w:tcPr>
            <w:tcW w:type="dxa" w:w="1020"/>
            <w:tcMar>
              <w:top w:w="90" w:type="dxa"/>
              <w:start w:w="110" w:type="dxa"/>
              <w:bottom w:w="90" w:type="dxa"/>
              <w:end w:w="110" w:type="dxa"/>
            </w:tcMar>
            <w:vAlign w:val="center"/>
            <w:shd w:fill="F4F7FA"/>
          </w:tcPr>
          <w:p>
            <w:pPr>
              <w:jc w:val="left"/>
            </w:pPr>
            <w:r>
              <w:rPr>
                <w:rFonts w:ascii="DejaVu Serif" w:hAnsi="DejaVu Serif" w:eastAsia="DejaVu Serif"/>
                <w:b w:val="0"/>
                <w:i w:val="0"/>
                <w:sz w:val="15"/>
              </w:rPr>
              <w:t>PASS</w:t>
            </w:r>
          </w:p>
        </w:tc>
      </w:tr>
      <w:tr>
        <w:tc>
          <w:tcPr>
            <w:tcW w:type="dxa" w:w="907"/>
            <w:tcMar>
              <w:top w:w="90" w:type="dxa"/>
              <w:start w:w="110" w:type="dxa"/>
              <w:bottom w:w="90" w:type="dxa"/>
              <w:end w:w="110" w:type="dxa"/>
            </w:tcMar>
            <w:vAlign w:val="center"/>
          </w:tcPr>
          <w:p>
            <w:pPr>
              <w:jc w:val="center"/>
            </w:pPr>
            <w:r>
              <w:rPr>
                <w:rFonts w:ascii="DejaVu Serif" w:hAnsi="DejaVu Serif" w:eastAsia="DejaVu Serif"/>
                <w:b w:val="0"/>
                <w:i w:val="0"/>
                <w:sz w:val="15"/>
              </w:rPr>
              <w:t>A.3</w:t>
            </w:r>
          </w:p>
        </w:tc>
        <w:tc>
          <w:tcPr>
            <w:tcW w:type="dxa" w:w="7257"/>
            <w:tcMar>
              <w:top w:w="90" w:type="dxa"/>
              <w:start w:w="110" w:type="dxa"/>
              <w:bottom w:w="90" w:type="dxa"/>
              <w:end w:w="110" w:type="dxa"/>
            </w:tcMar>
            <w:vAlign w:val="center"/>
          </w:tcPr>
          <w:p>
            <w:pPr>
              <w:jc w:val="left"/>
            </w:pPr>
            <w:r>
              <w:rPr>
                <w:rFonts w:ascii="DejaVu Serif" w:hAnsi="DejaVu Serif" w:eastAsia="DejaVu Serif"/>
                <w:b w:val="0"/>
                <w:i w:val="0"/>
                <w:sz w:val="15"/>
              </w:rPr>
              <w:t>r_L=(0,6); r_R=(0,-6); K=(0,12); ||K||=Delta_S=24; c=1; e_S=e_R=12; bounds 6=6</w:t>
            </w:r>
          </w:p>
        </w:tc>
        <w:tc>
          <w:tcPr>
            <w:tcW w:type="dxa" w:w="1020"/>
            <w:tcMar>
              <w:top w:w="90" w:type="dxa"/>
              <w:start w:w="110" w:type="dxa"/>
              <w:bottom w:w="90" w:type="dxa"/>
              <w:end w:w="110" w:type="dxa"/>
            </w:tcMar>
            <w:vAlign w:val="center"/>
          </w:tcPr>
          <w:p>
            <w:pPr>
              <w:jc w:val="left"/>
            </w:pPr>
            <w:r>
              <w:rPr>
                <w:rFonts w:ascii="DejaVu Serif" w:hAnsi="DejaVu Serif" w:eastAsia="DejaVu Serif"/>
                <w:b w:val="0"/>
                <w:i w:val="0"/>
                <w:sz w:val="15"/>
              </w:rPr>
              <w:t>PASS</w:t>
            </w:r>
          </w:p>
        </w:tc>
      </w:tr>
      <w:tr>
        <w:tc>
          <w:tcPr>
            <w:tcW w:type="dxa" w:w="907"/>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A.4</w:t>
            </w:r>
          </w:p>
        </w:tc>
        <w:tc>
          <w:tcPr>
            <w:tcW w:type="dxa" w:w="7257"/>
            <w:tcMar>
              <w:top w:w="90" w:type="dxa"/>
              <w:start w:w="110" w:type="dxa"/>
              <w:bottom w:w="90" w:type="dxa"/>
              <w:end w:w="110" w:type="dxa"/>
            </w:tcMar>
            <w:vAlign w:val="center"/>
            <w:shd w:fill="F4F7FA"/>
          </w:tcPr>
          <w:p>
            <w:pPr>
              <w:jc w:val="left"/>
            </w:pPr>
            <w:r>
              <w:rPr>
                <w:rFonts w:ascii="DejaVu Serif" w:hAnsi="DejaVu Serif" w:eastAsia="DejaVu Serif"/>
                <w:b w:val="0"/>
                <w:i w:val="0"/>
                <w:sz w:val="15"/>
              </w:rPr>
              <w:t>r_L=(0,3/4); r_R=(0,-3/4); K=(0,3/2); ||K||=Delta_S=epsilon-=3; kappa=3/4; bounds 3/4=3/4</w:t>
            </w:r>
          </w:p>
        </w:tc>
        <w:tc>
          <w:tcPr>
            <w:tcW w:type="dxa" w:w="1020"/>
            <w:tcMar>
              <w:top w:w="90" w:type="dxa"/>
              <w:start w:w="110" w:type="dxa"/>
              <w:bottom w:w="90" w:type="dxa"/>
              <w:end w:w="110" w:type="dxa"/>
            </w:tcMar>
            <w:vAlign w:val="center"/>
            <w:shd w:fill="F4F7FA"/>
          </w:tcPr>
          <w:p>
            <w:pPr>
              <w:jc w:val="left"/>
            </w:pPr>
            <w:r>
              <w:rPr>
                <w:rFonts w:ascii="DejaVu Serif" w:hAnsi="DejaVu Serif" w:eastAsia="DejaVu Serif"/>
                <w:b w:val="0"/>
                <w:i w:val="0"/>
                <w:sz w:val="15"/>
              </w:rPr>
              <w:t>PASS</w:t>
            </w:r>
          </w:p>
        </w:tc>
      </w:tr>
    </w:tbl>
    <w:p>
      <w:pPr>
        <w:spacing w:after="40"/>
      </w:pPr>
    </w:p>
    <w:p>
      <w:pPr>
        <w:pStyle w:val="Heading2"/>
        <w:keepNext/>
      </w:pPr>
      <w:r>
        <w:t>B.5. Certification of c=1 and epsilon-minus=3</w:t>
      </w:r>
    </w:p>
    <w:p>
      <w:pPr>
        <w:spacing w:after="80" w:line="269" w:lineRule="auto"/>
        <w:jc w:val="both"/>
      </w:pPr>
      <w:r>
        <w:rPr>
          <w:rFonts w:ascii="DejaVu Serif" w:hAnsi="DejaVu Serif" w:eastAsia="DejaVu Serif"/>
          <w:b w:val="0"/>
          <w:i w:val="0"/>
        </w:rPr>
        <w:t>Because K always lies in R e2, Delta_S=|S_sep(K)|=||K|| identically. Hence c=1 on A2^3 and is sharp on any domain containing a nonzero K witness. For Omega, the exact interval proof gives ||K||&gt;=3, while u_star attains 3. The certificate also checks 729 rational grid points and includes an outside-domain point with p=1/2 yielding ||K||=3/2, confirming domain dependence.</w:t>
      </w:r>
    </w:p>
    <w:p>
      <w:pPr>
        <w:pStyle w:val="Heading2"/>
        <w:keepNext/>
      </w:pPr>
      <w:r>
        <w:t>B.6. Source-Recorded Commands</w:t>
      </w:r>
    </w:p>
    <w:p>
      <w:pPr>
        <w:spacing w:before="80" w:after="100"/>
        <w:jc w:val="center"/>
      </w:pPr>
      <w:r>
        <w:rPr>
          <w:rFonts w:ascii="DejaVu Serif" w:hAnsi="DejaVu Serif" w:eastAsia="DejaVu Serif"/>
          <w:b w:val="0"/>
          <w:i w:val="0"/>
          <w:sz w:val="21"/>
        </w:rPr>
        <w:t>python3 pn2_cert.py --report</w:t>
      </w:r>
      <w:r>
        <w:rPr>
          <w:rFonts w:ascii="DejaVu Serif" w:hAnsi="DejaVu Serif" w:eastAsia="DejaVu Serif"/>
          <w:b w:val="0"/>
          <w:i/>
          <w:color w:val="6B7280"/>
          <w:sz w:val="17"/>
        </w:rPr>
        <w:t xml:space="preserve">    [source command]</w:t>
      </w:r>
    </w:p>
    <w:p>
      <w:pPr>
        <w:spacing w:before="80" w:after="100"/>
        <w:jc w:val="center"/>
      </w:pPr>
      <w:r>
        <w:rPr>
          <w:rFonts w:ascii="DejaVu Serif" w:hAnsi="DejaVu Serif" w:eastAsia="DejaVu Serif"/>
          <w:b w:val="0"/>
          <w:i w:val="0"/>
          <w:sz w:val="21"/>
        </w:rPr>
        <w:t>python3 -m unittest -v test_pn2_cert.py</w:t>
      </w:r>
      <w:r>
        <w:rPr>
          <w:rFonts w:ascii="DejaVu Serif" w:hAnsi="DejaVu Serif" w:eastAsia="DejaVu Serif"/>
          <w:b w:val="0"/>
          <w:i/>
          <w:color w:val="6B7280"/>
          <w:sz w:val="17"/>
        </w:rPr>
        <w:t xml:space="preserve">    [source command]</w:t>
      </w:r>
    </w:p>
    <w:p>
      <w:pPr>
        <w:spacing w:before="80" w:after="100"/>
        <w:jc w:val="center"/>
      </w:pPr>
      <w:r>
        <w:rPr>
          <w:rFonts w:ascii="DejaVu Serif" w:hAnsi="DejaVu Serif" w:eastAsia="DejaVu Serif"/>
          <w:b w:val="0"/>
          <w:i w:val="0"/>
          <w:sz w:val="21"/>
        </w:rPr>
        <w:t>python3 build_bundle.py</w:t>
      </w:r>
      <w:r>
        <w:rPr>
          <w:rFonts w:ascii="DejaVu Serif" w:hAnsi="DejaVu Serif" w:eastAsia="DejaVu Serif"/>
          <w:b w:val="0"/>
          <w:i/>
          <w:color w:val="6B7280"/>
          <w:sz w:val="17"/>
        </w:rPr>
        <w:t xml:space="preserve">    [source command]</w:t>
      </w:r>
    </w:p>
    <w:p>
      <w:pPr>
        <w:spacing w:before="80" w:after="100"/>
        <w:jc w:val="center"/>
      </w:pPr>
      <w:r>
        <w:rPr>
          <w:rFonts w:ascii="DejaVu Serif" w:hAnsi="DejaVu Serif" w:eastAsia="DejaVu Serif"/>
          <w:b w:val="0"/>
          <w:i w:val="0"/>
          <w:sz w:val="21"/>
        </w:rPr>
        <w:t>sha256sum -c SHA256SUMS.txt</w:t>
      </w:r>
      <w:r>
        <w:rPr>
          <w:rFonts w:ascii="DejaVu Serif" w:hAnsi="DejaVu Serif" w:eastAsia="DejaVu Serif"/>
          <w:b w:val="0"/>
          <w:i/>
          <w:color w:val="6B7280"/>
          <w:sz w:val="17"/>
        </w:rPr>
        <w:t xml:space="preserve">    [source command]</w:t>
      </w:r>
    </w:p>
    <w:p>
      <w:pPr>
        <w:spacing w:after="80" w:line="269" w:lineRule="auto"/>
        <w:jc w:val="both"/>
      </w:pPr>
      <w:r>
        <w:rPr>
          <w:rFonts w:ascii="DejaVu Serif" w:hAnsi="DejaVu Serif" w:eastAsia="DejaVu Serif"/>
          <w:b w:val="0"/>
          <w:i w:val="0"/>
        </w:rPr>
        <w:t>Expected source-reported outcome: PASS; Ran 11 tests; OK; every values.tsv row has PASS.</w:t>
      </w:r>
    </w:p>
    <w:p>
      <w:pPr>
        <w:pStyle w:val="Heading2"/>
        <w:keepNext/>
      </w:pPr>
      <w:r>
        <w:t>B.7. SHA-256 Ledger</w:t>
      </w:r>
    </w:p>
    <w:tbl>
      <w:tblPr>
        <w:tblStyle w:val="TableGrid"/>
        <w:tblW w:type="auto" w:w="0"/>
        <w:jc w:val="center"/>
        <w:tblLook w:firstColumn="1" w:firstRow="1" w:lastColumn="0" w:lastRow="0" w:noHBand="0" w:noVBand="1" w:val="04A0"/>
      </w:tblPr>
      <w:tblGrid>
        <w:gridCol w:w="5035"/>
        <w:gridCol w:w="5035"/>
      </w:tblGrid>
      <w:tr>
        <w:trPr>
          <w:tblHeader w:val="true"/>
        </w:trPr>
        <w:tc>
          <w:tcPr>
            <w:tcW w:type="dxa" w:w="255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Object</w:t>
            </w:r>
          </w:p>
        </w:tc>
        <w:tc>
          <w:tcPr>
            <w:tcW w:type="dxa" w:w="6633"/>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SHA-256</w:t>
            </w:r>
          </w:p>
        </w:tc>
      </w:tr>
      <w:tr>
        <w:tc>
          <w:tcPr>
            <w:tcW w:type="dxa" w:w="2551"/>
            <w:tcMar>
              <w:top w:w="90" w:type="dxa"/>
              <w:start w:w="110" w:type="dxa"/>
              <w:bottom w:w="90" w:type="dxa"/>
              <w:end w:w="110" w:type="dxa"/>
            </w:tcMar>
            <w:vAlign w:val="center"/>
          </w:tcPr>
          <w:p>
            <w:pPr>
              <w:jc w:val="center"/>
            </w:pPr>
            <w:r>
              <w:rPr>
                <w:rFonts w:ascii="DejaVu Serif" w:hAnsi="DejaVu Serif" w:eastAsia="DejaVu Serif"/>
                <w:b w:val="0"/>
                <w:i w:val="0"/>
                <w:sz w:val="15"/>
              </w:rPr>
              <w:t>pn2_po12_cert_v1.0.zip</w:t>
            </w:r>
          </w:p>
        </w:tc>
        <w:tc>
          <w:tcPr>
            <w:tcW w:type="dxa" w:w="6633"/>
            <w:tcMar>
              <w:top w:w="90" w:type="dxa"/>
              <w:start w:w="110" w:type="dxa"/>
              <w:bottom w:w="90" w:type="dxa"/>
              <w:end w:w="110" w:type="dxa"/>
            </w:tcMar>
            <w:vAlign w:val="center"/>
          </w:tcPr>
          <w:p>
            <w:pPr>
              <w:jc w:val="left"/>
            </w:pPr>
            <w:r>
              <w:rPr>
                <w:rFonts w:ascii="DejaVu Serif" w:hAnsi="DejaVu Serif" w:eastAsia="DejaVu Serif"/>
                <w:b w:val="0"/>
                <w:i w:val="0"/>
                <w:sz w:val="15"/>
              </w:rPr>
              <w:t>bbcb2715a3e5ab7688dfe1ad317a68f23b163ae10915982216111142ce7da2ad</w:t>
            </w:r>
          </w:p>
        </w:tc>
      </w:tr>
      <w:tr>
        <w:tc>
          <w:tcPr>
            <w:tcW w:type="dxa" w:w="2551"/>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README_RU.md</w:t>
            </w:r>
          </w:p>
        </w:tc>
        <w:tc>
          <w:tcPr>
            <w:tcW w:type="dxa" w:w="6633"/>
            <w:tcMar>
              <w:top w:w="90" w:type="dxa"/>
              <w:start w:w="110" w:type="dxa"/>
              <w:bottom w:w="90" w:type="dxa"/>
              <w:end w:w="110" w:type="dxa"/>
            </w:tcMar>
            <w:vAlign w:val="center"/>
            <w:shd w:fill="F4F7FA"/>
          </w:tcPr>
          <w:p>
            <w:pPr>
              <w:jc w:val="left"/>
            </w:pPr>
            <w:r>
              <w:rPr>
                <w:rFonts w:ascii="DejaVu Serif" w:hAnsi="DejaVu Serif" w:eastAsia="DejaVu Serif"/>
                <w:b w:val="0"/>
                <w:i w:val="0"/>
                <w:sz w:val="15"/>
              </w:rPr>
              <w:t>4e08346221388e5b70ae64a649ca1146653e6b9df8f608d80a4f4e22a6c0df62</w:t>
            </w:r>
          </w:p>
        </w:tc>
      </w:tr>
      <w:tr>
        <w:tc>
          <w:tcPr>
            <w:tcW w:type="dxa" w:w="2551"/>
            <w:tcMar>
              <w:top w:w="90" w:type="dxa"/>
              <w:start w:w="110" w:type="dxa"/>
              <w:bottom w:w="90" w:type="dxa"/>
              <w:end w:w="110" w:type="dxa"/>
            </w:tcMar>
            <w:vAlign w:val="center"/>
          </w:tcPr>
          <w:p>
            <w:pPr>
              <w:jc w:val="center"/>
            </w:pPr>
            <w:r>
              <w:rPr>
                <w:rFonts w:ascii="DejaVu Serif" w:hAnsi="DejaVu Serif" w:eastAsia="DejaVu Serif"/>
                <w:b w:val="0"/>
                <w:i w:val="0"/>
                <w:sz w:val="15"/>
              </w:rPr>
              <w:t>build_bundle.py</w:t>
            </w:r>
          </w:p>
        </w:tc>
        <w:tc>
          <w:tcPr>
            <w:tcW w:type="dxa" w:w="6633"/>
            <w:tcMar>
              <w:top w:w="90" w:type="dxa"/>
              <w:start w:w="110" w:type="dxa"/>
              <w:bottom w:w="90" w:type="dxa"/>
              <w:end w:w="110" w:type="dxa"/>
            </w:tcMar>
            <w:vAlign w:val="center"/>
          </w:tcPr>
          <w:p>
            <w:pPr>
              <w:jc w:val="left"/>
            </w:pPr>
            <w:r>
              <w:rPr>
                <w:rFonts w:ascii="DejaVu Serif" w:hAnsi="DejaVu Serif" w:eastAsia="DejaVu Serif"/>
                <w:b w:val="0"/>
                <w:i w:val="0"/>
                <w:sz w:val="15"/>
              </w:rPr>
              <w:t>e75160342cc59a1207fcb62a356c72b455a1c91d4e553564c5a3edde2f8c52cb</w:t>
            </w:r>
          </w:p>
        </w:tc>
      </w:tr>
      <w:tr>
        <w:tc>
          <w:tcPr>
            <w:tcW w:type="dxa" w:w="2551"/>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manifest.json</w:t>
            </w:r>
          </w:p>
        </w:tc>
        <w:tc>
          <w:tcPr>
            <w:tcW w:type="dxa" w:w="6633"/>
            <w:tcMar>
              <w:top w:w="90" w:type="dxa"/>
              <w:start w:w="110" w:type="dxa"/>
              <w:bottom w:w="90" w:type="dxa"/>
              <w:end w:w="110" w:type="dxa"/>
            </w:tcMar>
            <w:vAlign w:val="center"/>
            <w:shd w:fill="F4F7FA"/>
          </w:tcPr>
          <w:p>
            <w:pPr>
              <w:jc w:val="left"/>
            </w:pPr>
            <w:r>
              <w:rPr>
                <w:rFonts w:ascii="DejaVu Serif" w:hAnsi="DejaVu Serif" w:eastAsia="DejaVu Serif"/>
                <w:b w:val="0"/>
                <w:i w:val="0"/>
                <w:sz w:val="15"/>
              </w:rPr>
              <w:t>87c39b11cfb6bbc27659e20e84c914b60851cb4caa481d3056695dca7dcddf69</w:t>
            </w:r>
          </w:p>
        </w:tc>
      </w:tr>
      <w:tr>
        <w:tc>
          <w:tcPr>
            <w:tcW w:type="dxa" w:w="2551"/>
            <w:tcMar>
              <w:top w:w="90" w:type="dxa"/>
              <w:start w:w="110" w:type="dxa"/>
              <w:bottom w:w="90" w:type="dxa"/>
              <w:end w:w="110" w:type="dxa"/>
            </w:tcMar>
            <w:vAlign w:val="center"/>
          </w:tcPr>
          <w:p>
            <w:pPr>
              <w:jc w:val="center"/>
            </w:pPr>
            <w:r>
              <w:rPr>
                <w:rFonts w:ascii="DejaVu Serif" w:hAnsi="DejaVu Serif" w:eastAsia="DejaVu Serif"/>
                <w:b w:val="0"/>
                <w:i w:val="0"/>
                <w:sz w:val="15"/>
              </w:rPr>
              <w:t>pn2_cert.py</w:t>
            </w:r>
          </w:p>
        </w:tc>
        <w:tc>
          <w:tcPr>
            <w:tcW w:type="dxa" w:w="6633"/>
            <w:tcMar>
              <w:top w:w="90" w:type="dxa"/>
              <w:start w:w="110" w:type="dxa"/>
              <w:bottom w:w="90" w:type="dxa"/>
              <w:end w:w="110" w:type="dxa"/>
            </w:tcMar>
            <w:vAlign w:val="center"/>
          </w:tcPr>
          <w:p>
            <w:pPr>
              <w:jc w:val="left"/>
            </w:pPr>
            <w:r>
              <w:rPr>
                <w:rFonts w:ascii="DejaVu Serif" w:hAnsi="DejaVu Serif" w:eastAsia="DejaVu Serif"/>
                <w:b w:val="0"/>
                <w:i w:val="0"/>
                <w:sz w:val="15"/>
              </w:rPr>
              <w:t>97880a92707f718d0282c87afd6e0d3e291aa7226cc836a0817b1e71d25a0113</w:t>
            </w:r>
          </w:p>
        </w:tc>
      </w:tr>
      <w:tr>
        <w:tc>
          <w:tcPr>
            <w:tcW w:type="dxa" w:w="2551"/>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results.json</w:t>
            </w:r>
          </w:p>
        </w:tc>
        <w:tc>
          <w:tcPr>
            <w:tcW w:type="dxa" w:w="6633"/>
            <w:tcMar>
              <w:top w:w="90" w:type="dxa"/>
              <w:start w:w="110" w:type="dxa"/>
              <w:bottom w:w="90" w:type="dxa"/>
              <w:end w:w="110" w:type="dxa"/>
            </w:tcMar>
            <w:vAlign w:val="center"/>
            <w:shd w:fill="F4F7FA"/>
          </w:tcPr>
          <w:p>
            <w:pPr>
              <w:jc w:val="left"/>
            </w:pPr>
            <w:r>
              <w:rPr>
                <w:rFonts w:ascii="DejaVu Serif" w:hAnsi="DejaVu Serif" w:eastAsia="DejaVu Serif"/>
                <w:b w:val="0"/>
                <w:i w:val="0"/>
                <w:sz w:val="15"/>
              </w:rPr>
              <w:t>2baa4af2480ea6fcfcbab0afa3d455ced8b5aa4280d92fb3602c80d532c9dd7b</w:t>
            </w:r>
          </w:p>
        </w:tc>
      </w:tr>
      <w:tr>
        <w:tc>
          <w:tcPr>
            <w:tcW w:type="dxa" w:w="2551"/>
            <w:tcMar>
              <w:top w:w="90" w:type="dxa"/>
              <w:start w:w="110" w:type="dxa"/>
              <w:bottom w:w="90" w:type="dxa"/>
              <w:end w:w="110" w:type="dxa"/>
            </w:tcMar>
            <w:vAlign w:val="center"/>
          </w:tcPr>
          <w:p>
            <w:pPr>
              <w:jc w:val="center"/>
            </w:pPr>
            <w:r>
              <w:rPr>
                <w:rFonts w:ascii="DejaVu Serif" w:hAnsi="DejaVu Serif" w:eastAsia="DejaVu Serif"/>
                <w:b w:val="0"/>
                <w:i w:val="0"/>
                <w:sz w:val="15"/>
              </w:rPr>
              <w:t>test_pn2_cert.py</w:t>
            </w:r>
          </w:p>
        </w:tc>
        <w:tc>
          <w:tcPr>
            <w:tcW w:type="dxa" w:w="6633"/>
            <w:tcMar>
              <w:top w:w="90" w:type="dxa"/>
              <w:start w:w="110" w:type="dxa"/>
              <w:bottom w:w="90" w:type="dxa"/>
              <w:end w:w="110" w:type="dxa"/>
            </w:tcMar>
            <w:vAlign w:val="center"/>
          </w:tcPr>
          <w:p>
            <w:pPr>
              <w:jc w:val="left"/>
            </w:pPr>
            <w:r>
              <w:rPr>
                <w:rFonts w:ascii="DejaVu Serif" w:hAnsi="DejaVu Serif" w:eastAsia="DejaVu Serif"/>
                <w:b w:val="0"/>
                <w:i w:val="0"/>
                <w:sz w:val="15"/>
              </w:rPr>
              <w:t>51c1b090bb47ada673d711b931be112c63f367d3b39afaafe48a25007d973bcd</w:t>
            </w:r>
          </w:p>
        </w:tc>
      </w:tr>
      <w:tr>
        <w:tc>
          <w:tcPr>
            <w:tcW w:type="dxa" w:w="2551"/>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values.tsv</w:t>
            </w:r>
          </w:p>
        </w:tc>
        <w:tc>
          <w:tcPr>
            <w:tcW w:type="dxa" w:w="6633"/>
            <w:tcMar>
              <w:top w:w="90" w:type="dxa"/>
              <w:start w:w="110" w:type="dxa"/>
              <w:bottom w:w="90" w:type="dxa"/>
              <w:end w:w="110" w:type="dxa"/>
            </w:tcMar>
            <w:vAlign w:val="center"/>
            <w:shd w:fill="F4F7FA"/>
          </w:tcPr>
          <w:p>
            <w:pPr>
              <w:jc w:val="left"/>
            </w:pPr>
            <w:r>
              <w:rPr>
                <w:rFonts w:ascii="DejaVu Serif" w:hAnsi="DejaVu Serif" w:eastAsia="DejaVu Serif"/>
                <w:b w:val="0"/>
                <w:i w:val="0"/>
                <w:sz w:val="15"/>
              </w:rPr>
              <w:t>758aa6a68abd42b98e6f90e8f39c889379cf2aeb847dc345be21c7394f9134f2</w:t>
            </w:r>
          </w:p>
        </w:tc>
      </w:tr>
    </w:tbl>
    <w:p>
      <w:pPr>
        <w:spacing w:after="40"/>
      </w:pPr>
    </w:p>
    <w:p>
      <w:pPr>
        <w:pStyle w:val="Heading2"/>
        <w:keepNext/>
      </w:pPr>
      <w:r>
        <w:t>B.8. Exact Coverage and Non-Coverage</w:t>
      </w:r>
    </w:p>
    <w:p>
      <w:pPr>
        <w:pStyle w:val="ListBullet"/>
      </w:pPr>
      <w:r>
        <w:rPr>
          <w:rFonts w:ascii="DejaVu Serif" w:hAnsi="DejaVu Serif" w:eastAsia="DejaVu Serif"/>
          <w:b w:val="0"/>
          <w:i w:val="0"/>
          <w:sz w:val="18"/>
        </w:rPr>
        <w:t>Establishes the published A2 structural constants, product, associator, and all four exact examples.</w:t>
      </w:r>
    </w:p>
    <w:p>
      <w:pPr>
        <w:pStyle w:val="ListBullet"/>
      </w:pPr>
      <w:r>
        <w:rPr>
          <w:rFonts w:ascii="DejaVu Serif" w:hAnsi="DejaVu Serif" w:eastAsia="DejaVu Serif"/>
          <w:b w:val="0"/>
          <w:i w:val="0"/>
          <w:sz w:val="18"/>
        </w:rPr>
        <w:t>Establishes Delta_D=1, e_D=1/2, global c=1, exact epsilon_minus=3, kappa_Omega=3/4, and equality cases.</w:t>
      </w:r>
    </w:p>
    <w:p>
      <w:pPr>
        <w:pStyle w:val="ListBullet"/>
      </w:pPr>
      <w:r>
        <w:rPr>
          <w:rFonts w:ascii="DejaVu Serif" w:hAnsi="DejaVu Serif" w:eastAsia="DejaVu Serif"/>
          <w:b w:val="0"/>
          <w:i w:val="0"/>
          <w:sz w:val="18"/>
        </w:rPr>
        <w:t>Records deterministic rebuild properties of the source package using the Python standard library.</w:t>
      </w:r>
    </w:p>
    <w:p>
      <w:pPr>
        <w:pStyle w:val="ListBullet"/>
      </w:pPr>
      <w:r>
        <w:rPr>
          <w:rFonts w:ascii="DejaVu Serif" w:hAnsi="DejaVu Serif" w:eastAsia="DejaVu Serif"/>
          <w:b w:val="0"/>
          <w:i w:val="0"/>
          <w:sz w:val="18"/>
        </w:rPr>
        <w:t>Does not identify A2 with physical R-star-R or establish physical meanings of Dfrak, S, c, epsilon_minus, or kappa.</w:t>
      </w:r>
    </w:p>
    <w:p>
      <w:pPr>
        <w:pStyle w:val="ListBullet"/>
      </w:pPr>
      <w:r>
        <w:rPr>
          <w:rFonts w:ascii="DejaVu Serif" w:hAnsi="DejaVu Serif" w:eastAsia="DejaVu Serif"/>
          <w:b w:val="0"/>
          <w:i w:val="0"/>
          <w:sz w:val="18"/>
        </w:rPr>
        <w:t>Does not close PO-1-PO-10, connect the model to hbar or PN.1, validate F-1-F-14, or establish universal physical validity.</w:t>
      </w: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PO-12 STATUS. </w:t>
            </w:r>
            <w:r>
              <w:rPr>
                <w:rFonts w:ascii="DejaVu Serif" w:hAnsi="DejaVu Serif" w:eastAsia="DejaVu Serif"/>
                <w:b w:val="0"/>
                <w:i w:val="0"/>
                <w:sz w:val="18"/>
              </w:rPr>
              <w:t>CLOSED-ABSTRACT / NUM-SOURCE for the four auxiliary examples. Independent replay and transfer to physical R-star-R remain OPEN.</w:t>
            </w:r>
          </w:p>
        </w:tc>
      </w:tr>
    </w:tbl>
    <w:p>
      <w:pPr>
        <w:spacing w:after="40"/>
      </w:pPr>
    </w:p>
    <w:p>
      <w:pPr>
        <w:pStyle w:val="Heading1"/>
        <w:keepNext/>
      </w:pPr>
      <w:bookmarkStart w:id="1054" w:name="T1_APP_C"/>
      <w:r>
        <w:t>Appendix C. Full Genealogy of the Canonical Construction</w:t>
      </w:r>
      <w:bookmarkEnd w:id="1054"/>
    </w:p>
    <w:p>
      <w:pPr>
        <w:spacing w:after="80" w:line="269" w:lineRule="auto"/>
        <w:jc w:val="both"/>
      </w:pPr>
      <w:r>
        <w:rPr>
          <w:rFonts w:ascii="DejaVu Serif" w:hAnsi="DejaVu Serif" w:eastAsia="DejaVu Serif"/>
          <w:b w:val="0"/>
          <w:i w:val="0"/>
        </w:rPr>
        <w:t>The purpose of this appendix is to show the dependency chain from the earlier monograph 5.0 to Chapters 47-52. Symbols are normalized, but the order of conceptual dependence is preserved.</w:t>
      </w:r>
    </w:p>
    <w:p>
      <w:pPr>
        <w:pStyle w:val="Heading2"/>
        <w:keepNext/>
      </w:pPr>
      <w:r>
        <w:t>C.1. Reper and the Harmonic Criterion</w:t>
      </w:r>
    </w:p>
    <w:p>
      <w:pPr>
        <w:spacing w:before="80" w:after="100"/>
        <w:jc w:val="center"/>
      </w:pPr>
      <w:r>
        <w:rPr>
          <w:rFonts w:ascii="DejaVu Serif" w:hAnsi="DejaVu Serif" w:eastAsia="DejaVu Serif"/>
          <w:b w:val="0"/>
          <w:i w:val="0"/>
          <w:sz w:val="21"/>
        </w:rPr>
        <w:t>F055  Rep_i=(R_i,I_i,U_i;D_i)</w:t>
      </w:r>
      <w:r>
        <w:rPr>
          <w:rFonts w:ascii="DejaVu Serif" w:hAnsi="DejaVu Serif" w:eastAsia="DejaVu Serif"/>
          <w:b w:val="0"/>
          <w:i/>
          <w:color w:val="6B7280"/>
          <w:sz w:val="17"/>
        </w:rPr>
        <w:t xml:space="preserve">    [RU p. 223]</w:t>
      </w:r>
    </w:p>
    <w:p>
      <w:pPr>
        <w:spacing w:before="80" w:after="100"/>
        <w:jc w:val="center"/>
      </w:pPr>
      <w:r>
        <w:rPr>
          <w:rFonts w:ascii="DejaVu Serif" w:hAnsi="DejaVu Serif" w:eastAsia="DejaVu Serif"/>
          <w:b w:val="0"/>
          <w:i w:val="0"/>
          <w:sz w:val="21"/>
        </w:rPr>
        <w:t>F056  Truth(Rep) iff cr(U,I;R,D)=-1</w:t>
      </w:r>
      <w:r>
        <w:rPr>
          <w:rFonts w:ascii="DejaVu Serif" w:hAnsi="DejaVu Serif" w:eastAsia="DejaVu Serif"/>
          <w:b w:val="0"/>
          <w:i/>
          <w:color w:val="6B7280"/>
          <w:sz w:val="17"/>
        </w:rPr>
        <w:t xml:space="preserve">    [RU p. 223]</w:t>
      </w:r>
    </w:p>
    <w:p>
      <w:pPr>
        <w:spacing w:before="80" w:after="100"/>
        <w:jc w:val="center"/>
      </w:pPr>
      <w:r>
        <w:rPr>
          <w:rFonts w:ascii="DejaVu Serif" w:hAnsi="DejaVu Serif" w:eastAsia="DejaVu Serif"/>
          <w:b w:val="0"/>
          <w:i w:val="0"/>
          <w:sz w:val="21"/>
        </w:rPr>
        <w:t>F057  lambda=((U-R)(I-D))/((U-D)(I-R))</w:t>
      </w:r>
      <w:r>
        <w:rPr>
          <w:rFonts w:ascii="DejaVu Serif" w:hAnsi="DejaVu Serif" w:eastAsia="DejaVu Serif"/>
          <w:b w:val="0"/>
          <w:i/>
          <w:color w:val="6B7280"/>
          <w:sz w:val="17"/>
        </w:rPr>
        <w:t xml:space="preserve">    [RU p. 223]</w:t>
      </w:r>
    </w:p>
    <w:p>
      <w:pPr>
        <w:spacing w:before="80" w:after="100"/>
        <w:jc w:val="center"/>
      </w:pPr>
      <w:r>
        <w:rPr>
          <w:rFonts w:ascii="DejaVu Serif" w:hAnsi="DejaVu Serif" w:eastAsia="DejaVu Serif"/>
          <w:b w:val="0"/>
          <w:i w:val="0"/>
          <w:sz w:val="21"/>
        </w:rPr>
        <w:t>F058  delta_truth=|lambda+1|</w:t>
      </w:r>
      <w:r>
        <w:rPr>
          <w:rFonts w:ascii="DejaVu Serif" w:hAnsi="DejaVu Serif" w:eastAsia="DejaVu Serif"/>
          <w:b w:val="0"/>
          <w:i/>
          <w:color w:val="6B7280"/>
          <w:sz w:val="17"/>
        </w:rPr>
        <w:t xml:space="preserve">    [RU p. 223]</w:t>
      </w:r>
    </w:p>
    <w:p>
      <w:pPr>
        <w:spacing w:after="80" w:line="269" w:lineRule="auto"/>
        <w:jc w:val="both"/>
      </w:pPr>
      <w:r>
        <w:rPr>
          <w:rFonts w:ascii="DejaVu Serif" w:hAnsi="DejaVu Serif" w:eastAsia="DejaVu Serif"/>
          <w:b w:val="0"/>
          <w:i w:val="0"/>
        </w:rPr>
        <w:t>In the frozen Volume I, Truth in the historical expression names an internal harmonic gate. Publication still requires provenance, valid Dom and D, a matched null where applicable, CGI&lt;1 as a necessary diagnostic, and independent validation.</w:t>
      </w:r>
    </w:p>
    <w:p>
      <w:pPr>
        <w:pStyle w:val="Heading2"/>
        <w:keepNext/>
      </w:pPr>
      <w:r>
        <w:t>C.2. KPF/RPHD Architectural Extension</w:t>
      </w:r>
    </w:p>
    <w:p>
      <w:pPr>
        <w:spacing w:before="80" w:after="100"/>
        <w:jc w:val="center"/>
      </w:pPr>
      <w:r>
        <w:rPr>
          <w:rFonts w:ascii="DejaVu Serif" w:hAnsi="DejaVu Serif" w:eastAsia="DejaVu Serif"/>
          <w:b w:val="0"/>
          <w:i w:val="0"/>
          <w:sz w:val="21"/>
        </w:rPr>
        <w:t>F059  KPF/RPHD v1.0 = Reper v1.0 + Limit-Causal v1.0 + (Xi,Delta,Upsilon)+T_cs^L+CGI</w:t>
      </w:r>
      <w:r>
        <w:rPr>
          <w:rFonts w:ascii="DejaVu Serif" w:hAnsi="DejaVu Serif" w:eastAsia="DejaVu Serif"/>
          <w:b w:val="0"/>
          <w:i/>
          <w:color w:val="6B7280"/>
          <w:sz w:val="17"/>
        </w:rPr>
        <w:t xml:space="preserve">    [RU p. 223]</w:t>
      </w:r>
    </w:p>
    <w:p>
      <w:pPr>
        <w:spacing w:after="80" w:line="269" w:lineRule="auto"/>
        <w:jc w:val="both"/>
      </w:pPr>
      <w:r>
        <w:rPr>
          <w:rFonts w:ascii="DejaVu Serif" w:hAnsi="DejaVu Serif" w:eastAsia="DejaVu Serif"/>
          <w:b w:val="0"/>
          <w:i w:val="0"/>
        </w:rPr>
        <w:t>The plus sign is an architectural module composition, not vector-space addition. Each module has its own type, domain, and gate.</w:t>
      </w:r>
    </w:p>
    <w:p>
      <w:pPr>
        <w:pStyle w:val="Heading2"/>
        <w:keepNext/>
      </w:pPr>
      <w:r>
        <w:t>C.3. Packet Transformation and Causal Assembly</w:t>
      </w:r>
    </w:p>
    <w:p>
      <w:pPr>
        <w:spacing w:before="80" w:after="100"/>
        <w:jc w:val="center"/>
      </w:pPr>
      <w:r>
        <w:rPr>
          <w:rFonts w:ascii="DejaVu Serif" w:hAnsi="DejaVu Serif" w:eastAsia="DejaVu Serif"/>
          <w:b w:val="0"/>
          <w:i w:val="0"/>
          <w:sz w:val="21"/>
        </w:rPr>
        <w:t>F060  T_pack=T_change*T_action</w:t>
      </w:r>
      <w:r>
        <w:rPr>
          <w:rFonts w:ascii="DejaVu Serif" w:hAnsi="DejaVu Serif" w:eastAsia="DejaVu Serif"/>
          <w:b w:val="0"/>
          <w:i/>
          <w:color w:val="6B7280"/>
          <w:sz w:val="17"/>
        </w:rPr>
        <w:t xml:space="preserve">    [RU p. 223]</w:t>
      </w:r>
    </w:p>
    <w:p>
      <w:pPr>
        <w:spacing w:before="80" w:after="100"/>
        <w:jc w:val="center"/>
      </w:pPr>
      <w:r>
        <w:rPr>
          <w:rFonts w:ascii="DejaVu Serif" w:hAnsi="DejaVu Serif" w:eastAsia="DejaVu Serif"/>
          <w:b w:val="0"/>
          <w:i w:val="0"/>
          <w:sz w:val="21"/>
        </w:rPr>
        <w:t>F061  T_cs^L=T_cs+T_{Delta|L}+T_{Xi|L}+T_{Upsilon|L}+S_{P@S}</w:t>
      </w:r>
      <w:r>
        <w:rPr>
          <w:rFonts w:ascii="DejaVu Serif" w:hAnsi="DejaVu Serif" w:eastAsia="DejaVu Serif"/>
          <w:b w:val="0"/>
          <w:i/>
          <w:color w:val="6B7280"/>
          <w:sz w:val="17"/>
        </w:rPr>
        <w:t xml:space="preserve">    [RU p. 223]</w:t>
      </w:r>
    </w:p>
    <w:p>
      <w:pPr>
        <w:pStyle w:val="Heading2"/>
        <w:keepNext/>
      </w:pPr>
      <w:r>
        <w:t>C.4. Historical Forecast Chain</w:t>
      </w:r>
    </w:p>
    <w:p>
      <w:pPr>
        <w:spacing w:before="80" w:after="100"/>
        <w:jc w:val="center"/>
      </w:pPr>
      <w:r>
        <w:rPr>
          <w:rFonts w:ascii="DejaVu Serif" w:hAnsi="DejaVu Serif" w:eastAsia="DejaVu Serif"/>
          <w:b w:val="0"/>
          <w:i w:val="0"/>
          <w:sz w:val="21"/>
        </w:rPr>
        <w:t>F062  Forecast=Pi_L[Upsilon_L o Delta_L o Xi_L(RBD_lambda)], CGI&lt;1</w:t>
      </w:r>
      <w:r>
        <w:rPr>
          <w:rFonts w:ascii="DejaVu Serif" w:hAnsi="DejaVu Serif" w:eastAsia="DejaVu Serif"/>
          <w:b w:val="0"/>
          <w:i/>
          <w:color w:val="6B7280"/>
          <w:sz w:val="17"/>
        </w:rPr>
        <w:t xml:space="preserve">    [RU p. 223]</w:t>
      </w:r>
    </w:p>
    <w:p>
      <w:pPr>
        <w:spacing w:after="80" w:line="269" w:lineRule="auto"/>
        <w:jc w:val="both"/>
      </w:pPr>
      <w:r>
        <w:rPr>
          <w:rFonts w:ascii="DejaVu Serif" w:hAnsi="DejaVu Serif" w:eastAsia="DejaVu Serif"/>
          <w:b w:val="0"/>
          <w:i w:val="0"/>
        </w:rPr>
        <w:t>Pi_L is now read as projection into the registered admissible-limit set. CGI&lt;1 is necessary for the internal gate but is not sufficient for truth-layer promotion or physical realization.</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255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Historical node</w:t>
            </w:r>
          </w:p>
        </w:tc>
        <w:tc>
          <w:tcPr>
            <w:tcW w:type="dxa" w:w="3969"/>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v196i14 deepening</w:t>
            </w:r>
          </w:p>
        </w:tc>
        <w:tc>
          <w:tcPr>
            <w:tcW w:type="dxa" w:w="2665"/>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Result</w:t>
            </w:r>
          </w:p>
        </w:tc>
      </w:tr>
      <w:tr>
        <w:tc>
          <w:tcPr>
            <w:tcW w:type="dxa" w:w="2551"/>
            <w:tcMar>
              <w:top w:w="90" w:type="dxa"/>
              <w:start w:w="110" w:type="dxa"/>
              <w:bottom w:w="90" w:type="dxa"/>
              <w:end w:w="110" w:type="dxa"/>
            </w:tcMar>
            <w:vAlign w:val="center"/>
          </w:tcPr>
          <w:p>
            <w:pPr>
              <w:jc w:val="center"/>
            </w:pPr>
            <w:r>
              <w:rPr>
                <w:rFonts w:ascii="DejaVu Serif" w:hAnsi="DejaVu Serif" w:eastAsia="DejaVu Serif"/>
                <w:b w:val="0"/>
                <w:i w:val="0"/>
                <w:sz w:val="16"/>
              </w:rPr>
              <w:t>Rep(R,I,U;D)</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6"/>
              </w:rPr>
              <w:t>typed PackCert object</w:t>
            </w:r>
          </w:p>
        </w:tc>
        <w:tc>
          <w:tcPr>
            <w:tcW w:type="dxa" w:w="2665"/>
            <w:tcMar>
              <w:top w:w="90" w:type="dxa"/>
              <w:start w:w="110" w:type="dxa"/>
              <w:bottom w:w="90" w:type="dxa"/>
              <w:end w:w="110" w:type="dxa"/>
            </w:tcMar>
            <w:vAlign w:val="center"/>
          </w:tcPr>
          <w:p>
            <w:pPr>
              <w:jc w:val="left"/>
            </w:pPr>
            <w:r>
              <w:rPr>
                <w:rFonts w:ascii="DejaVu Serif" w:hAnsi="DejaVu Serif" w:eastAsia="DejaVu Serif"/>
                <w:b w:val="0"/>
                <w:i w:val="0"/>
                <w:sz w:val="16"/>
              </w:rPr>
              <w:t>Chapter 47</w:t>
            </w:r>
          </w:p>
        </w:tc>
      </w:tr>
      <w:tr>
        <w:tc>
          <w:tcPr>
            <w:tcW w:type="dxa" w:w="255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cross-ratio=-1</w:t>
            </w:r>
          </w:p>
        </w:tc>
        <w:tc>
          <w:tcPr>
            <w:tcW w:type="dxa" w:w="3969"/>
            <w:tcMar>
              <w:top w:w="90" w:type="dxa"/>
              <w:start w:w="110" w:type="dxa"/>
              <w:bottom w:w="90" w:type="dxa"/>
              <w:end w:w="110" w:type="dxa"/>
            </w:tcMar>
            <w:vAlign w:val="center"/>
            <w:shd w:fill="F4F7FA"/>
          </w:tcPr>
          <w:p>
            <w:pPr>
              <w:jc w:val="left"/>
            </w:pPr>
            <w:r>
              <w:rPr>
                <w:rFonts w:ascii="DejaVu Serif" w:hAnsi="DejaVu Serif" w:eastAsia="DejaVu Serif"/>
                <w:b w:val="0"/>
                <w:i w:val="0"/>
                <w:sz w:val="16"/>
              </w:rPr>
              <w:t>PGL2 invariance and harmonic conjugate</w:t>
            </w:r>
          </w:p>
        </w:tc>
        <w:tc>
          <w:tcPr>
            <w:tcW w:type="dxa" w:w="2665"/>
            <w:tcMar>
              <w:top w:w="90" w:type="dxa"/>
              <w:start w:w="110" w:type="dxa"/>
              <w:bottom w:w="90" w:type="dxa"/>
              <w:end w:w="110" w:type="dxa"/>
            </w:tcMar>
            <w:vAlign w:val="center"/>
            <w:shd w:fill="F4F7FA"/>
          </w:tcPr>
          <w:p>
            <w:pPr>
              <w:jc w:val="left"/>
            </w:pPr>
            <w:r>
              <w:rPr>
                <w:rFonts w:ascii="DejaVu Serif" w:hAnsi="DejaVu Serif" w:eastAsia="DejaVu Serif"/>
                <w:b w:val="0"/>
                <w:i w:val="0"/>
                <w:sz w:val="16"/>
              </w:rPr>
              <w:t>Chapter 48</w:t>
            </w:r>
          </w:p>
        </w:tc>
      </w:tr>
      <w:tr>
        <w:tc>
          <w:tcPr>
            <w:tcW w:type="dxa" w:w="2551"/>
            <w:tcMar>
              <w:top w:w="90" w:type="dxa"/>
              <w:start w:w="110" w:type="dxa"/>
              <w:bottom w:w="90" w:type="dxa"/>
              <w:end w:w="110" w:type="dxa"/>
            </w:tcMar>
            <w:vAlign w:val="center"/>
          </w:tcPr>
          <w:p>
            <w:pPr>
              <w:jc w:val="center"/>
            </w:pPr>
            <w:r>
              <w:rPr>
                <w:rFonts w:ascii="DejaVu Serif" w:hAnsi="DejaVu Serif" w:eastAsia="DejaVu Serif"/>
                <w:b w:val="0"/>
                <w:i w:val="0"/>
                <w:sz w:val="16"/>
              </w:rPr>
              <w:t>Pi_L</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6"/>
              </w:rPr>
              <w:t>five-limit lattice</w:t>
            </w:r>
          </w:p>
        </w:tc>
        <w:tc>
          <w:tcPr>
            <w:tcW w:type="dxa" w:w="2665"/>
            <w:tcMar>
              <w:top w:w="90" w:type="dxa"/>
              <w:start w:w="110" w:type="dxa"/>
              <w:bottom w:w="90" w:type="dxa"/>
              <w:end w:w="110" w:type="dxa"/>
            </w:tcMar>
            <w:vAlign w:val="center"/>
          </w:tcPr>
          <w:p>
            <w:pPr>
              <w:jc w:val="left"/>
            </w:pPr>
            <w:r>
              <w:rPr>
                <w:rFonts w:ascii="DejaVu Serif" w:hAnsi="DejaVu Serif" w:eastAsia="DejaVu Serif"/>
                <w:b w:val="0"/>
                <w:i w:val="0"/>
                <w:sz w:val="16"/>
              </w:rPr>
              <w:t>Chapter 49</w:t>
            </w:r>
          </w:p>
        </w:tc>
      </w:tr>
      <w:tr>
        <w:tc>
          <w:tcPr>
            <w:tcW w:type="dxa" w:w="255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T_change</w:t>
            </w:r>
          </w:p>
        </w:tc>
        <w:tc>
          <w:tcPr>
            <w:tcW w:type="dxa" w:w="3969"/>
            <w:tcMar>
              <w:top w:w="90" w:type="dxa"/>
              <w:start w:w="110" w:type="dxa"/>
              <w:bottom w:w="90" w:type="dxa"/>
              <w:end w:w="110" w:type="dxa"/>
            </w:tcMar>
            <w:vAlign w:val="center"/>
            <w:shd w:fill="F4F7FA"/>
          </w:tcPr>
          <w:p>
            <w:pPr>
              <w:jc w:val="left"/>
            </w:pPr>
            <w:r>
              <w:rPr>
                <w:rFonts w:ascii="DejaVu Serif" w:hAnsi="DejaVu Serif" w:eastAsia="DejaVu Serif"/>
                <w:b w:val="0"/>
                <w:i w:val="0"/>
                <w:sz w:val="16"/>
              </w:rPr>
              <w:t>stable versioned rebuilding</w:t>
            </w:r>
          </w:p>
        </w:tc>
        <w:tc>
          <w:tcPr>
            <w:tcW w:type="dxa" w:w="2665"/>
            <w:tcMar>
              <w:top w:w="90" w:type="dxa"/>
              <w:start w:w="110" w:type="dxa"/>
              <w:bottom w:w="90" w:type="dxa"/>
              <w:end w:w="110" w:type="dxa"/>
            </w:tcMar>
            <w:vAlign w:val="center"/>
            <w:shd w:fill="F4F7FA"/>
          </w:tcPr>
          <w:p>
            <w:pPr>
              <w:jc w:val="left"/>
            </w:pPr>
            <w:r>
              <w:rPr>
                <w:rFonts w:ascii="DejaVu Serif" w:hAnsi="DejaVu Serif" w:eastAsia="DejaVu Serif"/>
                <w:b w:val="0"/>
                <w:i w:val="0"/>
                <w:sz w:val="16"/>
              </w:rPr>
              <w:t>Chapter 50</w:t>
            </w:r>
          </w:p>
        </w:tc>
      </w:tr>
      <w:tr>
        <w:tc>
          <w:tcPr>
            <w:tcW w:type="dxa" w:w="2551"/>
            <w:tcMar>
              <w:top w:w="90" w:type="dxa"/>
              <w:start w:w="110" w:type="dxa"/>
              <w:bottom w:w="90" w:type="dxa"/>
              <w:end w:w="110" w:type="dxa"/>
            </w:tcMar>
            <w:vAlign w:val="center"/>
          </w:tcPr>
          <w:p>
            <w:pPr>
              <w:jc w:val="center"/>
            </w:pPr>
            <w:r>
              <w:rPr>
                <w:rFonts w:ascii="DejaVu Serif" w:hAnsi="DejaVu Serif" w:eastAsia="DejaVu Serif"/>
                <w:b w:val="0"/>
                <w:i w:val="0"/>
                <w:sz w:val="16"/>
              </w:rPr>
              <w:t>RBD_lambda</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6"/>
              </w:rPr>
              <w:t>substochastic contraction</w:t>
            </w:r>
          </w:p>
        </w:tc>
        <w:tc>
          <w:tcPr>
            <w:tcW w:type="dxa" w:w="2665"/>
            <w:tcMar>
              <w:top w:w="90" w:type="dxa"/>
              <w:start w:w="110" w:type="dxa"/>
              <w:bottom w:w="90" w:type="dxa"/>
              <w:end w:w="110" w:type="dxa"/>
            </w:tcMar>
            <w:vAlign w:val="center"/>
          </w:tcPr>
          <w:p>
            <w:pPr>
              <w:jc w:val="left"/>
            </w:pPr>
            <w:r>
              <w:rPr>
                <w:rFonts w:ascii="DejaVu Serif" w:hAnsi="DejaVu Serif" w:eastAsia="DejaVu Serif"/>
                <w:b w:val="0"/>
                <w:i w:val="0"/>
                <w:sz w:val="16"/>
              </w:rPr>
              <w:t>Chapter 51</w:t>
            </w:r>
          </w:p>
        </w:tc>
      </w:tr>
      <w:tr>
        <w:tc>
          <w:tcPr>
            <w:tcW w:type="dxa" w:w="255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Forecast / CGI</w:t>
            </w:r>
          </w:p>
        </w:tc>
        <w:tc>
          <w:tcPr>
            <w:tcW w:type="dxa" w:w="3969"/>
            <w:tcMar>
              <w:top w:w="90" w:type="dxa"/>
              <w:start w:w="110" w:type="dxa"/>
              <w:bottom w:w="90" w:type="dxa"/>
              <w:end w:w="110" w:type="dxa"/>
            </w:tcMar>
            <w:vAlign w:val="center"/>
            <w:shd w:fill="F4F7FA"/>
          </w:tcPr>
          <w:p>
            <w:pPr>
              <w:jc w:val="left"/>
            </w:pPr>
            <w:r>
              <w:rPr>
                <w:rFonts w:ascii="DejaVu Serif" w:hAnsi="DejaVu Serif" w:eastAsia="DejaVu Serif"/>
                <w:b w:val="0"/>
                <w:i w:val="0"/>
                <w:sz w:val="16"/>
              </w:rPr>
              <w:t>conditional master theorem</w:t>
            </w:r>
          </w:p>
        </w:tc>
        <w:tc>
          <w:tcPr>
            <w:tcW w:type="dxa" w:w="2665"/>
            <w:tcMar>
              <w:top w:w="90" w:type="dxa"/>
              <w:start w:w="110" w:type="dxa"/>
              <w:bottom w:w="90" w:type="dxa"/>
              <w:end w:w="110" w:type="dxa"/>
            </w:tcMar>
            <w:vAlign w:val="center"/>
            <w:shd w:fill="F4F7FA"/>
          </w:tcPr>
          <w:p>
            <w:pPr>
              <w:jc w:val="left"/>
            </w:pPr>
            <w:r>
              <w:rPr>
                <w:rFonts w:ascii="DejaVu Serif" w:hAnsi="DejaVu Serif" w:eastAsia="DejaVu Serif"/>
                <w:b w:val="0"/>
                <w:i w:val="0"/>
                <w:sz w:val="16"/>
              </w:rPr>
              <w:t>Chapter 52</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Genealogy does not weaken the novelty of a strict continuation. It shows where an intuition first received a name and where that name later acquired proof obligations.</w:t>
            </w:r>
          </w:p>
        </w:tc>
      </w:tr>
    </w:tbl>
    <w:p>
      <w:pPr>
        <w:spacing w:after="40"/>
      </w:pPr>
    </w:p>
    <w:p>
      <w:pPr>
        <w:pStyle w:val="Heading1"/>
        <w:keepNext/>
      </w:pPr>
      <w:bookmarkStart w:id="1055" w:name="T1_APP_D"/>
      <w:r>
        <w:t>Appendix D. PN.2: Negative Statements and Repair</w:t>
      </w:r>
      <w:bookmarkEnd w:id="1055"/>
    </w:p>
    <w:p>
      <w:pPr>
        <w:pStyle w:val="Heading2"/>
        <w:keepNext/>
      </w:pPr>
      <w:r>
        <w:t>D.1. No Global Machine from an Untyped Input</w:t>
      </w:r>
    </w:p>
    <w:p>
      <w:pPr>
        <w:spacing w:before="80" w:after="100"/>
        <w:jc w:val="center"/>
      </w:pPr>
      <w:r>
        <w:rPr>
          <w:rFonts w:ascii="DejaVu Serif" w:hAnsi="DejaVu Serif" w:eastAsia="DejaVu Serif"/>
          <w:b w:val="0"/>
          <w:i w:val="0"/>
          <w:sz w:val="21"/>
        </w:rPr>
        <w:t>F063  X alone does not determine (size(X),dim(X)) without D_X and a type contract</w:t>
      </w:r>
      <w:r>
        <w:rPr>
          <w:rFonts w:ascii="DejaVu Serif" w:hAnsi="DejaVu Serif" w:eastAsia="DejaVu Serif"/>
          <w:b w:val="0"/>
          <w:i/>
          <w:color w:val="6B7280"/>
          <w:sz w:val="17"/>
        </w:rPr>
        <w:t xml:space="preserve">    [RU p. 225]</w:t>
      </w:r>
    </w:p>
    <w:p>
      <w:pPr>
        <w:spacing w:after="80" w:line="269" w:lineRule="auto"/>
        <w:jc w:val="both"/>
      </w:pPr>
      <w:r>
        <w:rPr>
          <w:rFonts w:ascii="DejaVu Serif" w:hAnsi="DejaVu Serif" w:eastAsia="DejaVu Serif"/>
          <w:b w:val="0"/>
          <w:i w:val="0"/>
        </w:rPr>
        <w:t>A diagonal argument selects two admissible interpretations of the same visible X with different target values. A single machine sees the same input and must fail in at least one interpretation.</w:t>
      </w:r>
    </w:p>
    <w:p>
      <w:pPr>
        <w:pStyle w:val="Heading2"/>
        <w:keepNext/>
      </w:pPr>
      <w:r>
        <w:t>D.2. A Triple Does Not Determine a Reper</w:t>
      </w:r>
    </w:p>
    <w:p>
      <w:pPr>
        <w:spacing w:before="80" w:after="100"/>
        <w:jc w:val="center"/>
      </w:pPr>
      <w:r>
        <w:rPr>
          <w:rFonts w:ascii="DejaVu Serif" w:hAnsi="DejaVu Serif" w:eastAsia="DejaVu Serif"/>
          <w:b w:val="0"/>
          <w:i w:val="0"/>
          <w:sz w:val="21"/>
        </w:rPr>
        <w:t>F064  (R,I,U) does not determine a Reper</w:t>
      </w:r>
      <w:r>
        <w:rPr>
          <w:rFonts w:ascii="DejaVu Serif" w:hAnsi="DejaVu Serif" w:eastAsia="DejaVu Serif"/>
          <w:b w:val="0"/>
          <w:i/>
          <w:color w:val="6B7280"/>
          <w:sz w:val="17"/>
        </w:rPr>
        <w:t xml:space="preserve">    [RU p. 225]</w:t>
      </w:r>
    </w:p>
    <w:p>
      <w:pPr>
        <w:spacing w:before="80" w:after="100"/>
        <w:jc w:val="center"/>
      </w:pPr>
      <w:r>
        <w:rPr>
          <w:rFonts w:ascii="DejaVu Serif" w:hAnsi="DejaVu Serif" w:eastAsia="DejaVu Serif"/>
          <w:b w:val="0"/>
          <w:i w:val="0"/>
          <w:sz w:val="21"/>
        </w:rPr>
        <w:t>F065  (R,I,U;D0) -&gt; Reper if ValidRep=1</w:t>
      </w:r>
      <w:r>
        <w:rPr>
          <w:rFonts w:ascii="DejaVu Serif" w:hAnsi="DejaVu Serif" w:eastAsia="DejaVu Serif"/>
          <w:b w:val="0"/>
          <w:i/>
          <w:color w:val="6B7280"/>
          <w:sz w:val="17"/>
        </w:rPr>
        <w:t xml:space="preserve">    [RU p. 225]</w:t>
      </w:r>
    </w:p>
    <w:p>
      <w:pPr>
        <w:spacing w:after="80" w:line="269" w:lineRule="auto"/>
        <w:jc w:val="both"/>
      </w:pPr>
      <w:r>
        <w:rPr>
          <w:rFonts w:ascii="DejaVu Serif" w:hAnsi="DejaVu Serif" w:eastAsia="DejaVu Serif"/>
          <w:b w:val="0"/>
          <w:i w:val="0"/>
        </w:rPr>
        <w:t>Without D0 the cross-ratio is not defined and harmonic authorization is unavailable. Any procedure that reconstructs D0 must expose the reconstruction rule as an adapter and include it in the matched-null comparison.</w:t>
      </w:r>
    </w:p>
    <w:p>
      <w:pPr>
        <w:pStyle w:val="Heading2"/>
        <w:keepNext/>
      </w:pPr>
      <w:r>
        <w:t>D.3. Hole and Versioned Repair</w:t>
      </w:r>
    </w:p>
    <w:p>
      <w:pPr>
        <w:spacing w:before="80" w:after="100"/>
        <w:jc w:val="center"/>
      </w:pPr>
      <w:r>
        <w:rPr>
          <w:rFonts w:ascii="DejaVu Serif" w:hAnsi="DejaVu Serif" w:eastAsia="DejaVu Serif"/>
          <w:b w:val="0"/>
          <w:i w:val="0"/>
          <w:sz w:val="21"/>
        </w:rPr>
        <w:t>F066  Hole(P)={k in Required(P): missing(k) or invalid(k)}</w:t>
      </w:r>
      <w:r>
        <w:rPr>
          <w:rFonts w:ascii="DejaVu Serif" w:hAnsi="DejaVu Serif" w:eastAsia="DejaVu Serif"/>
          <w:b w:val="0"/>
          <w:i/>
          <w:color w:val="6B7280"/>
          <w:sz w:val="17"/>
        </w:rPr>
        <w:t xml:space="preserve">    [RU p. 225]</w:t>
      </w:r>
    </w:p>
    <w:p>
      <w:pPr>
        <w:spacing w:before="80" w:after="100"/>
        <w:jc w:val="center"/>
      </w:pPr>
      <w:r>
        <w:rPr>
          <w:rFonts w:ascii="DejaVu Serif" w:hAnsi="DejaVu Serif" w:eastAsia="DejaVu Serif"/>
          <w:b w:val="0"/>
          <w:i w:val="0"/>
          <w:sz w:val="21"/>
        </w:rPr>
        <w:t>F067  Repair(P,h)=(P-prime, revision-edge P-&gt;P-prime, certificate h)</w:t>
      </w:r>
      <w:r>
        <w:rPr>
          <w:rFonts w:ascii="DejaVu Serif" w:hAnsi="DejaVu Serif" w:eastAsia="DejaVu Serif"/>
          <w:b w:val="0"/>
          <w:i/>
          <w:color w:val="6B7280"/>
          <w:sz w:val="17"/>
        </w:rPr>
        <w:t xml:space="preserve">    [RU p. 225]</w:t>
      </w:r>
    </w:p>
    <w:p>
      <w:pPr>
        <w:spacing w:before="80" w:after="100"/>
        <w:jc w:val="center"/>
      </w:pPr>
      <w:r>
        <w:rPr>
          <w:rFonts w:ascii="DejaVu Serif" w:hAnsi="DejaVu Serif" w:eastAsia="DejaVu Serif"/>
          <w:b w:val="0"/>
          <w:i w:val="0"/>
          <w:sz w:val="21"/>
        </w:rPr>
        <w:t>F068  Hole(P)=empty iff completeness-gate(P)=1</w:t>
      </w:r>
      <w:r>
        <w:rPr>
          <w:rFonts w:ascii="DejaVu Serif" w:hAnsi="DejaVu Serif" w:eastAsia="DejaVu Serif"/>
          <w:b w:val="0"/>
          <w:i/>
          <w:color w:val="6B7280"/>
          <w:sz w:val="17"/>
        </w:rPr>
        <w:t xml:space="preserve">    [RU p. 225]</w:t>
      </w:r>
    </w:p>
    <w:p>
      <w:pPr>
        <w:spacing w:before="100" w:after="60"/>
      </w:pPr>
      <w:r>
        <w:rPr>
          <w:rFonts w:ascii="DejaVu Serif" w:hAnsi="DejaVu Serif" w:eastAsia="DejaVu Serif"/>
          <w:b/>
          <w:i w:val="0"/>
          <w:color w:val="173B63"/>
        </w:rPr>
        <w:t xml:space="preserve">Theorem D.1 - Impossibility of a traceless repair [THM]. </w:t>
      </w:r>
      <w:r>
        <w:rPr>
          <w:rFonts w:ascii="DejaVu Serif" w:hAnsi="DejaVu Serif" w:eastAsia="DejaVu Serif"/>
          <w:b w:val="0"/>
          <w:i w:val="0"/>
        </w:rPr>
        <w:t>In PackCert there is no admissible morphism that maps a packet with a nonempty Hole and no new witness h to complete-PASS.</w:t>
      </w:r>
    </w:p>
    <w:p>
      <w:pPr>
        <w:ind w:left="283" w:right="113"/>
        <w:jc w:val="both"/>
      </w:pPr>
      <w:r>
        <w:rPr>
          <w:rFonts w:ascii="DejaVu Serif" w:hAnsi="DejaVu Serif" w:eastAsia="DejaVu Serif"/>
          <w:b/>
          <w:i/>
        </w:rPr>
        <w:t xml:space="preserve">Proof. </w:t>
      </w:r>
      <w:r>
        <w:rPr>
          <w:rFonts w:ascii="DejaVu Serif" w:hAnsi="DejaVu Serif" w:eastAsia="DejaVu Serif"/>
          <w:b w:val="0"/>
          <w:i/>
        </w:rPr>
        <w:t>A nonempty Hole creates a mandatory Block. Block is absorbing under every ordinary morphism. Only a separate repair object may supply the missing witness and create a new version.</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A negative theorem does not close knowledge. It identifies which question was underdefined. Repair begins not with a stronger answer, but with a more complete input.</w:t>
            </w:r>
          </w:p>
        </w:tc>
      </w:tr>
    </w:tbl>
    <w:p>
      <w:pPr>
        <w:spacing w:after="40"/>
      </w:pPr>
    </w:p>
    <w:p>
      <w:pPr>
        <w:pStyle w:val="Heading1"/>
        <w:keepNext/>
      </w:pPr>
      <w:bookmarkStart w:id="1056" w:name="T1_APP_E"/>
      <w:r>
        <w:t>Appendix E. Executable Ten-Stage Atlas Protocol</w:t>
      </w:r>
      <w:bookmarkEnd w:id="1056"/>
    </w:p>
    <w:p>
      <w:pPr>
        <w:spacing w:after="80" w:line="269" w:lineRule="auto"/>
        <w:jc w:val="both"/>
      </w:pPr>
      <w:r>
        <w:rPr>
          <w:rFonts w:ascii="DejaVu Serif" w:hAnsi="DejaVu Serif" w:eastAsia="DejaVu Serif"/>
          <w:b w:val="0"/>
          <w:i w:val="0"/>
        </w:rPr>
        <w:t>The protocol reproduces the ten stages of predictive_protocol_v2_0.csv. Every stage has a typed input, output, and blocking condition. Reordering the stages creates a new protocol_id.</w:t>
      </w:r>
    </w:p>
    <w:p>
      <w:pPr>
        <w:keepNext/>
        <w:jc w:val="center"/>
      </w:pPr>
      <w:r>
        <w:drawing>
          <wp:inline xmlns:a="http://schemas.openxmlformats.org/drawingml/2006/main" xmlns:pic="http://schemas.openxmlformats.org/drawingml/2006/picture">
            <wp:extent cx="5623560" cy="2510902"/>
            <wp:docPr id="59" name="Picture 59"/>
            <wp:cNvGraphicFramePr>
              <a:graphicFrameLocks noChangeAspect="1"/>
            </wp:cNvGraphicFramePr>
            <a:graphic>
              <a:graphicData uri="http://schemas.openxmlformats.org/drawingml/2006/picture">
                <pic:pic>
                  <pic:nvPicPr>
                    <pic:cNvPr id="0" name="fig_app_e.png"/>
                    <pic:cNvPicPr/>
                  </pic:nvPicPr>
                  <pic:blipFill>
                    <a:blip r:embed="rId71"/>
                    <a:stretch>
                      <a:fillRect/>
                    </a:stretch>
                  </pic:blipFill>
                  <pic:spPr>
                    <a:xfrm>
                      <a:off x="0" y="0"/>
                      <a:ext cx="5623560" cy="2510902"/>
                    </a:xfrm>
                    <a:prstGeom prst="rect"/>
                  </pic:spPr>
                </pic:pic>
              </a:graphicData>
            </a:graphic>
          </wp:inline>
        </w:drawing>
      </w:r>
    </w:p>
    <w:p>
      <w:pPr>
        <w:pStyle w:val="Caption"/>
        <w:spacing w:before="40" w:after="160"/>
        <w:jc w:val="center"/>
      </w:pPr>
      <w:bookmarkStart w:id="1116" w:name="T1_FIG_058"/>
      <w:r>
        <w:t>Figure E.1. Ten-stage Atlas route with hash continuity, Block propagation, and publication gate.</w:t>
      </w:r>
      <w:bookmarkEnd w:id="1116"/>
    </w:p>
    <w:tbl>
      <w:tblPr>
        <w:tblStyle w:val="TableGrid"/>
        <w:tblW w:type="auto" w:w="0"/>
        <w:jc w:val="center"/>
        <w:tblLook w:firstColumn="1" w:firstRow="1" w:lastColumn="0" w:lastRow="0" w:noHBand="0" w:noVBand="1" w:val="04A0"/>
      </w:tblPr>
      <w:tblGrid>
        <w:gridCol w:w="2517"/>
        <w:gridCol w:w="2517"/>
        <w:gridCol w:w="2517"/>
        <w:gridCol w:w="2517"/>
      </w:tblGrid>
      <w:tr>
        <w:trPr>
          <w:tblHeader w:val="true"/>
        </w:trPr>
        <w:tc>
          <w:tcPr>
            <w:tcW w:type="dxa" w:w="45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w:t>
            </w:r>
          </w:p>
        </w:tc>
        <w:tc>
          <w:tcPr>
            <w:tcW w:type="dxa" w:w="198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Stage</w:t>
            </w:r>
          </w:p>
        </w:tc>
        <w:tc>
          <w:tcPr>
            <w:tcW w:type="dxa" w:w="4252"/>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Input -&gt; output</w:t>
            </w:r>
          </w:p>
        </w:tc>
        <w:tc>
          <w:tcPr>
            <w:tcW w:type="dxa" w:w="249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Block</w:t>
            </w:r>
          </w:p>
        </w:tc>
      </w:tr>
      <w:tr>
        <w:tc>
          <w:tcPr>
            <w:tcW w:type="dxa" w:w="454"/>
            <w:tcMar>
              <w:top w:w="90" w:type="dxa"/>
              <w:start w:w="110" w:type="dxa"/>
              <w:bottom w:w="90" w:type="dxa"/>
              <w:end w:w="110" w:type="dxa"/>
            </w:tcMar>
            <w:vAlign w:val="center"/>
          </w:tcPr>
          <w:p>
            <w:pPr>
              <w:jc w:val="center"/>
            </w:pPr>
            <w:r>
              <w:rPr>
                <w:rFonts w:ascii="DejaVu Serif" w:hAnsi="DejaVu Serif" w:eastAsia="DejaVu Serif"/>
                <w:b w:val="0"/>
                <w:i w:val="0"/>
                <w:sz w:val="15"/>
              </w:rPr>
              <w:t>1</w:t>
            </w:r>
          </w:p>
        </w:tc>
        <w:tc>
          <w:tcPr>
            <w:tcW w:type="dxa" w:w="1984"/>
            <w:tcMar>
              <w:top w:w="90" w:type="dxa"/>
              <w:start w:w="110" w:type="dxa"/>
              <w:bottom w:w="90" w:type="dxa"/>
              <w:end w:w="110" w:type="dxa"/>
            </w:tcMar>
            <w:vAlign w:val="center"/>
          </w:tcPr>
          <w:p>
            <w:pPr>
              <w:jc w:val="left"/>
            </w:pPr>
            <w:r>
              <w:rPr>
                <w:rFonts w:ascii="DejaVu Serif" w:hAnsi="DejaVu Serif" w:eastAsia="DejaVu Serif"/>
                <w:b w:val="0"/>
                <w:i w:val="0"/>
                <w:sz w:val="15"/>
              </w:rPr>
              <w:t>InputEventStateLimit</w:t>
            </w:r>
          </w:p>
        </w:tc>
        <w:tc>
          <w:tcPr>
            <w:tcW w:type="dxa" w:w="4252"/>
            <w:tcMar>
              <w:top w:w="90" w:type="dxa"/>
              <w:start w:w="110" w:type="dxa"/>
              <w:bottom w:w="90" w:type="dxa"/>
              <w:end w:w="110" w:type="dxa"/>
            </w:tcMar>
            <w:vAlign w:val="center"/>
          </w:tcPr>
          <w:p>
            <w:pPr>
              <w:jc w:val="left"/>
            </w:pPr>
            <w:r>
              <w:rPr>
                <w:rFonts w:ascii="DejaVu Serif" w:hAnsi="DejaVu Serif" w:eastAsia="DejaVu Serif"/>
                <w:b w:val="0"/>
                <w:i w:val="0"/>
                <w:sz w:val="15"/>
              </w:rPr>
              <w:t>C@C, context -&gt; typed input</w:t>
            </w:r>
          </w:p>
        </w:tc>
        <w:tc>
          <w:tcPr>
            <w:tcW w:type="dxa" w:w="2494"/>
            <w:tcMar>
              <w:top w:w="90" w:type="dxa"/>
              <w:start w:w="110" w:type="dxa"/>
              <w:bottom w:w="90" w:type="dxa"/>
              <w:end w:w="110" w:type="dxa"/>
            </w:tcMar>
            <w:vAlign w:val="center"/>
          </w:tcPr>
          <w:p>
            <w:pPr>
              <w:jc w:val="left"/>
            </w:pPr>
            <w:r>
              <w:rPr>
                <w:rFonts w:ascii="DejaVu Serif" w:hAnsi="DejaVu Serif" w:eastAsia="DejaVu Serif"/>
                <w:b w:val="0"/>
                <w:i w:val="0"/>
                <w:sz w:val="15"/>
              </w:rPr>
              <w:t>missing type/time</w:t>
            </w:r>
          </w:p>
        </w:tc>
      </w:tr>
      <w:tr>
        <w:tc>
          <w:tcPr>
            <w:tcW w:type="dxa" w:w="454"/>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2</w:t>
            </w:r>
          </w:p>
        </w:tc>
        <w:tc>
          <w:tcPr>
            <w:tcW w:type="dxa" w:w="1984"/>
            <w:tcMar>
              <w:top w:w="90" w:type="dxa"/>
              <w:start w:w="110" w:type="dxa"/>
              <w:bottom w:w="90" w:type="dxa"/>
              <w:end w:w="110" w:type="dxa"/>
            </w:tcMar>
            <w:vAlign w:val="center"/>
            <w:shd w:fill="F4F7FA"/>
          </w:tcPr>
          <w:p>
            <w:pPr>
              <w:jc w:val="left"/>
            </w:pPr>
            <w:r>
              <w:rPr>
                <w:rFonts w:ascii="DejaVu Serif" w:hAnsi="DejaVu Serif" w:eastAsia="DejaVu Serif"/>
                <w:b w:val="0"/>
                <w:i w:val="0"/>
                <w:sz w:val="15"/>
              </w:rPr>
              <w:t>LimitGate</w:t>
            </w:r>
          </w:p>
        </w:tc>
        <w:tc>
          <w:tcPr>
            <w:tcW w:type="dxa" w:w="4252"/>
            <w:tcMar>
              <w:top w:w="90" w:type="dxa"/>
              <w:start w:w="110" w:type="dxa"/>
              <w:bottom w:w="90" w:type="dxa"/>
              <w:end w:w="110" w:type="dxa"/>
            </w:tcMar>
            <w:vAlign w:val="center"/>
            <w:shd w:fill="F4F7FA"/>
          </w:tcPr>
          <w:p>
            <w:pPr>
              <w:jc w:val="left"/>
            </w:pPr>
            <w:r>
              <w:rPr>
                <w:rFonts w:ascii="DejaVu Serif" w:hAnsi="DejaVu Serif" w:eastAsia="DejaVu Serif"/>
                <w:b w:val="0"/>
                <w:i w:val="0"/>
                <w:sz w:val="15"/>
              </w:rPr>
              <w:t>typed input, L -&gt; admissible input</w:t>
            </w:r>
          </w:p>
        </w:tc>
        <w:tc>
          <w:tcPr>
            <w:tcW w:type="dxa" w:w="2494"/>
            <w:tcMar>
              <w:top w:w="90" w:type="dxa"/>
              <w:start w:w="110" w:type="dxa"/>
              <w:bottom w:w="90" w:type="dxa"/>
              <w:end w:w="110" w:type="dxa"/>
            </w:tcMar>
            <w:vAlign w:val="center"/>
            <w:shd w:fill="F4F7FA"/>
          </w:tcPr>
          <w:p>
            <w:pPr>
              <w:jc w:val="left"/>
            </w:pPr>
            <w:r>
              <w:rPr>
                <w:rFonts w:ascii="DejaVu Serif" w:hAnsi="DejaVu Serif" w:eastAsia="DejaVu Serif"/>
                <w:b w:val="0"/>
                <w:i w:val="0"/>
                <w:sz w:val="15"/>
              </w:rPr>
              <w:t>limit unknown/violated</w:t>
            </w:r>
          </w:p>
        </w:tc>
      </w:tr>
      <w:tr>
        <w:tc>
          <w:tcPr>
            <w:tcW w:type="dxa" w:w="454"/>
            <w:tcMar>
              <w:top w:w="90" w:type="dxa"/>
              <w:start w:w="110" w:type="dxa"/>
              <w:bottom w:w="90" w:type="dxa"/>
              <w:end w:w="110" w:type="dxa"/>
            </w:tcMar>
            <w:vAlign w:val="center"/>
          </w:tcPr>
          <w:p>
            <w:pPr>
              <w:jc w:val="center"/>
            </w:pPr>
            <w:r>
              <w:rPr>
                <w:rFonts w:ascii="DejaVu Serif" w:hAnsi="DejaVu Serif" w:eastAsia="DejaVu Serif"/>
                <w:b w:val="0"/>
                <w:i w:val="0"/>
                <w:sz w:val="15"/>
              </w:rPr>
              <w:t>3</w:t>
            </w:r>
          </w:p>
        </w:tc>
        <w:tc>
          <w:tcPr>
            <w:tcW w:type="dxa" w:w="1984"/>
            <w:tcMar>
              <w:top w:w="90" w:type="dxa"/>
              <w:start w:w="110" w:type="dxa"/>
              <w:bottom w:w="90" w:type="dxa"/>
              <w:end w:w="110" w:type="dxa"/>
            </w:tcMar>
            <w:vAlign w:val="center"/>
          </w:tcPr>
          <w:p>
            <w:pPr>
              <w:jc w:val="left"/>
            </w:pPr>
            <w:r>
              <w:rPr>
                <w:rFonts w:ascii="DejaVu Serif" w:hAnsi="DejaVu Serif" w:eastAsia="DejaVu Serif"/>
                <w:b w:val="0"/>
                <w:i w:val="0"/>
                <w:sz w:val="15"/>
              </w:rPr>
              <w:t>ReperSearch</w:t>
            </w:r>
          </w:p>
        </w:tc>
        <w:tc>
          <w:tcPr>
            <w:tcW w:type="dxa" w:w="4252"/>
            <w:tcMar>
              <w:top w:w="90" w:type="dxa"/>
              <w:start w:w="110" w:type="dxa"/>
              <w:bottom w:w="90" w:type="dxa"/>
              <w:end w:w="110" w:type="dxa"/>
            </w:tcMar>
            <w:vAlign w:val="center"/>
          </w:tcPr>
          <w:p>
            <w:pPr>
              <w:jc w:val="left"/>
            </w:pPr>
            <w:r>
              <w:rPr>
                <w:rFonts w:ascii="DejaVu Serif" w:hAnsi="DejaVu Serif" w:eastAsia="DejaVu Serif"/>
                <w:b w:val="0"/>
                <w:i w:val="0"/>
                <w:sz w:val="15"/>
              </w:rPr>
              <w:t>RBD, input -&gt; candidates</w:t>
            </w:r>
          </w:p>
        </w:tc>
        <w:tc>
          <w:tcPr>
            <w:tcW w:type="dxa" w:w="2494"/>
            <w:tcMar>
              <w:top w:w="90" w:type="dxa"/>
              <w:start w:w="110" w:type="dxa"/>
              <w:bottom w:w="90" w:type="dxa"/>
              <w:end w:w="110" w:type="dxa"/>
            </w:tcMar>
            <w:vAlign w:val="center"/>
          </w:tcPr>
          <w:p>
            <w:pPr>
              <w:jc w:val="left"/>
            </w:pPr>
            <w:r>
              <w:rPr>
                <w:rFonts w:ascii="DejaVu Serif" w:hAnsi="DejaVu Serif" w:eastAsia="DejaVu Serif"/>
                <w:b w:val="0"/>
                <w:i w:val="0"/>
                <w:sz w:val="15"/>
              </w:rPr>
              <w:t>no typed route</w:t>
            </w:r>
          </w:p>
        </w:tc>
      </w:tr>
      <w:tr>
        <w:tc>
          <w:tcPr>
            <w:tcW w:type="dxa" w:w="454"/>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4</w:t>
            </w:r>
          </w:p>
        </w:tc>
        <w:tc>
          <w:tcPr>
            <w:tcW w:type="dxa" w:w="1984"/>
            <w:tcMar>
              <w:top w:w="90" w:type="dxa"/>
              <w:start w:w="110" w:type="dxa"/>
              <w:bottom w:w="90" w:type="dxa"/>
              <w:end w:w="110" w:type="dxa"/>
            </w:tcMar>
            <w:vAlign w:val="center"/>
            <w:shd w:fill="F4F7FA"/>
          </w:tcPr>
          <w:p>
            <w:pPr>
              <w:jc w:val="left"/>
            </w:pPr>
            <w:r>
              <w:rPr>
                <w:rFonts w:ascii="DejaVu Serif" w:hAnsi="DejaVu Serif" w:eastAsia="DejaVu Serif"/>
                <w:b w:val="0"/>
                <w:i w:val="0"/>
                <w:sz w:val="15"/>
              </w:rPr>
              <w:t>LambdaClosure</w:t>
            </w:r>
          </w:p>
        </w:tc>
        <w:tc>
          <w:tcPr>
            <w:tcW w:type="dxa" w:w="4252"/>
            <w:tcMar>
              <w:top w:w="90" w:type="dxa"/>
              <w:start w:w="110" w:type="dxa"/>
              <w:bottom w:w="90" w:type="dxa"/>
              <w:end w:w="110" w:type="dxa"/>
            </w:tcMar>
            <w:vAlign w:val="center"/>
            <w:shd w:fill="F4F7FA"/>
          </w:tcPr>
          <w:p>
            <w:pPr>
              <w:jc w:val="left"/>
            </w:pPr>
            <w:r>
              <w:rPr>
                <w:rFonts w:ascii="DejaVu Serif" w:hAnsi="DejaVu Serif" w:eastAsia="DejaVu Serif"/>
                <w:b w:val="0"/>
                <w:i w:val="0"/>
                <w:sz w:val="15"/>
              </w:rPr>
              <w:t>candidates -&gt; lambda, delta</w:t>
            </w:r>
          </w:p>
        </w:tc>
        <w:tc>
          <w:tcPr>
            <w:tcW w:type="dxa" w:w="2494"/>
            <w:tcMar>
              <w:top w:w="90" w:type="dxa"/>
              <w:start w:w="110" w:type="dxa"/>
              <w:bottom w:w="90" w:type="dxa"/>
              <w:end w:w="110" w:type="dxa"/>
            </w:tcMar>
            <w:vAlign w:val="center"/>
            <w:shd w:fill="F4F7FA"/>
          </w:tcPr>
          <w:p>
            <w:pPr>
              <w:jc w:val="left"/>
            </w:pPr>
            <w:r>
              <w:rPr>
                <w:rFonts w:ascii="DejaVu Serif" w:hAnsi="DejaVu Serif" w:eastAsia="DejaVu Serif"/>
                <w:b w:val="0"/>
                <w:i w:val="0"/>
                <w:sz w:val="15"/>
              </w:rPr>
              <w:t>denominator/provenance</w:t>
            </w:r>
          </w:p>
        </w:tc>
      </w:tr>
      <w:tr>
        <w:tc>
          <w:tcPr>
            <w:tcW w:type="dxa" w:w="454"/>
            <w:tcMar>
              <w:top w:w="90" w:type="dxa"/>
              <w:start w:w="110" w:type="dxa"/>
              <w:bottom w:w="90" w:type="dxa"/>
              <w:end w:w="110" w:type="dxa"/>
            </w:tcMar>
            <w:vAlign w:val="center"/>
          </w:tcPr>
          <w:p>
            <w:pPr>
              <w:jc w:val="center"/>
            </w:pPr>
            <w:r>
              <w:rPr>
                <w:rFonts w:ascii="DejaVu Serif" w:hAnsi="DejaVu Serif" w:eastAsia="DejaVu Serif"/>
                <w:b w:val="0"/>
                <w:i w:val="0"/>
                <w:sz w:val="15"/>
              </w:rPr>
              <w:t>5</w:t>
            </w:r>
          </w:p>
        </w:tc>
        <w:tc>
          <w:tcPr>
            <w:tcW w:type="dxa" w:w="1984"/>
            <w:tcMar>
              <w:top w:w="90" w:type="dxa"/>
              <w:start w:w="110" w:type="dxa"/>
              <w:bottom w:w="90" w:type="dxa"/>
              <w:end w:w="110" w:type="dxa"/>
            </w:tcMar>
            <w:vAlign w:val="center"/>
          </w:tcPr>
          <w:p>
            <w:pPr>
              <w:jc w:val="left"/>
            </w:pPr>
            <w:r>
              <w:rPr>
                <w:rFonts w:ascii="DejaVu Serif" w:hAnsi="DejaVu Serif" w:eastAsia="DejaVu Serif"/>
                <w:b w:val="0"/>
                <w:i w:val="0"/>
                <w:sz w:val="15"/>
              </w:rPr>
              <w:t>ForecastBuild</w:t>
            </w:r>
          </w:p>
        </w:tc>
        <w:tc>
          <w:tcPr>
            <w:tcW w:type="dxa" w:w="4252"/>
            <w:tcMar>
              <w:top w:w="90" w:type="dxa"/>
              <w:start w:w="110" w:type="dxa"/>
              <w:bottom w:w="90" w:type="dxa"/>
              <w:end w:w="110" w:type="dxa"/>
            </w:tcMar>
            <w:vAlign w:val="center"/>
          </w:tcPr>
          <w:p>
            <w:pPr>
              <w:jc w:val="left"/>
            </w:pPr>
            <w:r>
              <w:rPr>
                <w:rFonts w:ascii="DejaVu Serif" w:hAnsi="DejaVu Serif" w:eastAsia="DejaVu Serif"/>
                <w:b w:val="0"/>
                <w:i w:val="0"/>
                <w:sz w:val="15"/>
              </w:rPr>
              <w:t>gated Repers -&gt; C_L(x)</w:t>
            </w:r>
          </w:p>
        </w:tc>
        <w:tc>
          <w:tcPr>
            <w:tcW w:type="dxa" w:w="2494"/>
            <w:tcMar>
              <w:top w:w="90" w:type="dxa"/>
              <w:start w:w="110" w:type="dxa"/>
              <w:bottom w:w="90" w:type="dxa"/>
              <w:end w:w="110" w:type="dxa"/>
            </w:tcMar>
            <w:vAlign w:val="center"/>
          </w:tcPr>
          <w:p>
            <w:pPr>
              <w:jc w:val="left"/>
            </w:pPr>
            <w:r>
              <w:rPr>
                <w:rFonts w:ascii="DejaVu Serif" w:hAnsi="DejaVu Serif" w:eastAsia="DejaVu Serif"/>
                <w:b w:val="0"/>
                <w:i w:val="0"/>
                <w:sz w:val="15"/>
              </w:rPr>
              <w:t>empty -&gt; ABSTAIN</w:t>
            </w:r>
          </w:p>
        </w:tc>
      </w:tr>
      <w:tr>
        <w:tc>
          <w:tcPr>
            <w:tcW w:type="dxa" w:w="454"/>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6</w:t>
            </w:r>
          </w:p>
        </w:tc>
        <w:tc>
          <w:tcPr>
            <w:tcW w:type="dxa" w:w="1984"/>
            <w:tcMar>
              <w:top w:w="90" w:type="dxa"/>
              <w:start w:w="110" w:type="dxa"/>
              <w:bottom w:w="90" w:type="dxa"/>
              <w:end w:w="110" w:type="dxa"/>
            </w:tcMar>
            <w:vAlign w:val="center"/>
            <w:shd w:fill="F4F7FA"/>
          </w:tcPr>
          <w:p>
            <w:pPr>
              <w:jc w:val="left"/>
            </w:pPr>
            <w:r>
              <w:rPr>
                <w:rFonts w:ascii="DejaVu Serif" w:hAnsi="DejaVu Serif" w:eastAsia="DejaVu Serif"/>
                <w:b w:val="0"/>
                <w:i w:val="0"/>
                <w:sz w:val="15"/>
              </w:rPr>
              <w:t>FactAttach</w:t>
            </w:r>
          </w:p>
        </w:tc>
        <w:tc>
          <w:tcPr>
            <w:tcW w:type="dxa" w:w="4252"/>
            <w:tcMar>
              <w:top w:w="90" w:type="dxa"/>
              <w:start w:w="110" w:type="dxa"/>
              <w:bottom w:w="90" w:type="dxa"/>
              <w:end w:w="110" w:type="dxa"/>
            </w:tcMar>
            <w:vAlign w:val="center"/>
            <w:shd w:fill="F4F7FA"/>
          </w:tcPr>
          <w:p>
            <w:pPr>
              <w:jc w:val="left"/>
            </w:pPr>
            <w:r>
              <w:rPr>
                <w:rFonts w:ascii="DejaVu Serif" w:hAnsi="DejaVu Serif" w:eastAsia="DejaVu Serif"/>
                <w:b w:val="0"/>
                <w:i w:val="0"/>
                <w:sz w:val="15"/>
              </w:rPr>
              <w:t>new fact -&gt; immutable observation</w:t>
            </w:r>
          </w:p>
        </w:tc>
        <w:tc>
          <w:tcPr>
            <w:tcW w:type="dxa" w:w="2494"/>
            <w:tcMar>
              <w:top w:w="90" w:type="dxa"/>
              <w:start w:w="110" w:type="dxa"/>
              <w:bottom w:w="90" w:type="dxa"/>
              <w:end w:w="110" w:type="dxa"/>
            </w:tcMar>
            <w:vAlign w:val="center"/>
            <w:shd w:fill="F4F7FA"/>
          </w:tcPr>
          <w:p>
            <w:pPr>
              <w:jc w:val="left"/>
            </w:pPr>
            <w:r>
              <w:rPr>
                <w:rFonts w:ascii="DejaVu Serif" w:hAnsi="DejaVu Serif" w:eastAsia="DejaVu Serif"/>
                <w:b w:val="0"/>
                <w:i w:val="0"/>
                <w:sz w:val="15"/>
              </w:rPr>
              <w:t>hash/time missing</w:t>
            </w:r>
          </w:p>
        </w:tc>
      </w:tr>
      <w:tr>
        <w:tc>
          <w:tcPr>
            <w:tcW w:type="dxa" w:w="454"/>
            <w:tcMar>
              <w:top w:w="90" w:type="dxa"/>
              <w:start w:w="110" w:type="dxa"/>
              <w:bottom w:w="90" w:type="dxa"/>
              <w:end w:w="110" w:type="dxa"/>
            </w:tcMar>
            <w:vAlign w:val="center"/>
          </w:tcPr>
          <w:p>
            <w:pPr>
              <w:jc w:val="center"/>
            </w:pPr>
            <w:r>
              <w:rPr>
                <w:rFonts w:ascii="DejaVu Serif" w:hAnsi="DejaVu Serif" w:eastAsia="DejaVu Serif"/>
                <w:b w:val="0"/>
                <w:i w:val="0"/>
                <w:sz w:val="15"/>
              </w:rPr>
              <w:t>7</w:t>
            </w:r>
          </w:p>
        </w:tc>
        <w:tc>
          <w:tcPr>
            <w:tcW w:type="dxa" w:w="1984"/>
            <w:tcMar>
              <w:top w:w="90" w:type="dxa"/>
              <w:start w:w="110" w:type="dxa"/>
              <w:bottom w:w="90" w:type="dxa"/>
              <w:end w:w="110" w:type="dxa"/>
            </w:tcMar>
            <w:vAlign w:val="center"/>
          </w:tcPr>
          <w:p>
            <w:pPr>
              <w:jc w:val="left"/>
            </w:pPr>
            <w:r>
              <w:rPr>
                <w:rFonts w:ascii="DejaVu Serif" w:hAnsi="DejaVu Serif" w:eastAsia="DejaVu Serif"/>
                <w:b w:val="0"/>
                <w:i w:val="0"/>
                <w:sz w:val="15"/>
              </w:rPr>
              <w:t>MismatchDetect</w:t>
            </w:r>
          </w:p>
        </w:tc>
        <w:tc>
          <w:tcPr>
            <w:tcW w:type="dxa" w:w="4252"/>
            <w:tcMar>
              <w:top w:w="90" w:type="dxa"/>
              <w:start w:w="110" w:type="dxa"/>
              <w:bottom w:w="90" w:type="dxa"/>
              <w:end w:w="110" w:type="dxa"/>
            </w:tcMar>
            <w:vAlign w:val="center"/>
          </w:tcPr>
          <w:p>
            <w:pPr>
              <w:jc w:val="left"/>
            </w:pPr>
            <w:r>
              <w:rPr>
                <w:rFonts w:ascii="DejaVu Serif" w:hAnsi="DejaVu Serif" w:eastAsia="DejaVu Serif"/>
                <w:b w:val="0"/>
                <w:i w:val="0"/>
                <w:sz w:val="15"/>
              </w:rPr>
              <w:t>forecast, fact -&gt; mismatch code</w:t>
            </w:r>
          </w:p>
        </w:tc>
        <w:tc>
          <w:tcPr>
            <w:tcW w:type="dxa" w:w="2494"/>
            <w:tcMar>
              <w:top w:w="90" w:type="dxa"/>
              <w:start w:w="110" w:type="dxa"/>
              <w:bottom w:w="90" w:type="dxa"/>
              <w:end w:w="110" w:type="dxa"/>
            </w:tcMar>
            <w:vAlign w:val="center"/>
          </w:tcPr>
          <w:p>
            <w:pPr>
              <w:jc w:val="left"/>
            </w:pPr>
            <w:r>
              <w:rPr>
                <w:rFonts w:ascii="DejaVu Serif" w:hAnsi="DejaVu Serif" w:eastAsia="DejaVu Serif"/>
                <w:b w:val="0"/>
                <w:i w:val="0"/>
                <w:sz w:val="15"/>
              </w:rPr>
              <w:t>loss undefined</w:t>
            </w:r>
          </w:p>
        </w:tc>
      </w:tr>
      <w:tr>
        <w:tc>
          <w:tcPr>
            <w:tcW w:type="dxa" w:w="454"/>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8</w:t>
            </w:r>
          </w:p>
        </w:tc>
        <w:tc>
          <w:tcPr>
            <w:tcW w:type="dxa" w:w="1984"/>
            <w:tcMar>
              <w:top w:w="90" w:type="dxa"/>
              <w:start w:w="110" w:type="dxa"/>
              <w:bottom w:w="90" w:type="dxa"/>
              <w:end w:w="110" w:type="dxa"/>
            </w:tcMar>
            <w:vAlign w:val="center"/>
            <w:shd w:fill="F4F7FA"/>
          </w:tcPr>
          <w:p>
            <w:pPr>
              <w:jc w:val="left"/>
            </w:pPr>
            <w:r>
              <w:rPr>
                <w:rFonts w:ascii="DejaVu Serif" w:hAnsi="DejaVu Serif" w:eastAsia="DejaVu Serif"/>
                <w:b w:val="0"/>
                <w:i w:val="0"/>
                <w:sz w:val="15"/>
              </w:rPr>
              <w:t>NearestRebuild</w:t>
            </w:r>
          </w:p>
        </w:tc>
        <w:tc>
          <w:tcPr>
            <w:tcW w:type="dxa" w:w="4252"/>
            <w:tcMar>
              <w:top w:w="90" w:type="dxa"/>
              <w:start w:w="110" w:type="dxa"/>
              <w:bottom w:w="90" w:type="dxa"/>
              <w:end w:w="110" w:type="dxa"/>
            </w:tcMar>
            <w:vAlign w:val="center"/>
            <w:shd w:fill="F4F7FA"/>
          </w:tcPr>
          <w:p>
            <w:pPr>
              <w:jc w:val="left"/>
            </w:pPr>
            <w:r>
              <w:rPr>
                <w:rFonts w:ascii="DejaVu Serif" w:hAnsi="DejaVu Serif" w:eastAsia="DejaVu Serif"/>
                <w:b w:val="0"/>
                <w:i w:val="0"/>
                <w:sz w:val="15"/>
              </w:rPr>
              <w:t>mismatch, N(r) -&gt; argmin set</w:t>
            </w:r>
          </w:p>
        </w:tc>
        <w:tc>
          <w:tcPr>
            <w:tcW w:type="dxa" w:w="2494"/>
            <w:tcMar>
              <w:top w:w="90" w:type="dxa"/>
              <w:start w:w="110" w:type="dxa"/>
              <w:bottom w:w="90" w:type="dxa"/>
              <w:end w:w="110" w:type="dxa"/>
            </w:tcMar>
            <w:vAlign w:val="center"/>
            <w:shd w:fill="F4F7FA"/>
          </w:tcPr>
          <w:p>
            <w:pPr>
              <w:jc w:val="left"/>
            </w:pPr>
            <w:r>
              <w:rPr>
                <w:rFonts w:ascii="DejaVu Serif" w:hAnsi="DejaVu Serif" w:eastAsia="DejaVu Serif"/>
                <w:b w:val="0"/>
                <w:i w:val="0"/>
                <w:sz w:val="15"/>
              </w:rPr>
              <w:t>candidate registry absent</w:t>
            </w:r>
          </w:p>
        </w:tc>
      </w:tr>
      <w:tr>
        <w:tc>
          <w:tcPr>
            <w:tcW w:type="dxa" w:w="454"/>
            <w:tcMar>
              <w:top w:w="90" w:type="dxa"/>
              <w:start w:w="110" w:type="dxa"/>
              <w:bottom w:w="90" w:type="dxa"/>
              <w:end w:w="110" w:type="dxa"/>
            </w:tcMar>
            <w:vAlign w:val="center"/>
          </w:tcPr>
          <w:p>
            <w:pPr>
              <w:jc w:val="center"/>
            </w:pPr>
            <w:r>
              <w:rPr>
                <w:rFonts w:ascii="DejaVu Serif" w:hAnsi="DejaVu Serif" w:eastAsia="DejaVu Serif"/>
                <w:b w:val="0"/>
                <w:i w:val="0"/>
                <w:sz w:val="15"/>
              </w:rPr>
              <w:t>9</w:t>
            </w:r>
          </w:p>
        </w:tc>
        <w:tc>
          <w:tcPr>
            <w:tcW w:type="dxa" w:w="1984"/>
            <w:tcMar>
              <w:top w:w="90" w:type="dxa"/>
              <w:start w:w="110" w:type="dxa"/>
              <w:bottom w:w="90" w:type="dxa"/>
              <w:end w:w="110" w:type="dxa"/>
            </w:tcMar>
            <w:vAlign w:val="center"/>
          </w:tcPr>
          <w:p>
            <w:pPr>
              <w:jc w:val="left"/>
            </w:pPr>
            <w:r>
              <w:rPr>
                <w:rFonts w:ascii="DejaVu Serif" w:hAnsi="DejaVu Serif" w:eastAsia="DejaVu Serif"/>
                <w:b w:val="0"/>
                <w:i w:val="0"/>
                <w:sz w:val="15"/>
              </w:rPr>
              <w:t>RevisionChain</w:t>
            </w:r>
          </w:p>
        </w:tc>
        <w:tc>
          <w:tcPr>
            <w:tcW w:type="dxa" w:w="4252"/>
            <w:tcMar>
              <w:top w:w="90" w:type="dxa"/>
              <w:start w:w="110" w:type="dxa"/>
              <w:bottom w:w="90" w:type="dxa"/>
              <w:end w:w="110" w:type="dxa"/>
            </w:tcMar>
            <w:vAlign w:val="center"/>
          </w:tcPr>
          <w:p>
            <w:pPr>
              <w:jc w:val="left"/>
            </w:pPr>
            <w:r>
              <w:rPr>
                <w:rFonts w:ascii="DejaVu Serif" w:hAnsi="DejaVu Serif" w:eastAsia="DejaVu Serif"/>
                <w:b w:val="0"/>
                <w:i w:val="0"/>
                <w:sz w:val="15"/>
              </w:rPr>
              <w:t>old, new -&gt; versioned edge</w:t>
            </w:r>
          </w:p>
        </w:tc>
        <w:tc>
          <w:tcPr>
            <w:tcW w:type="dxa" w:w="2494"/>
            <w:tcMar>
              <w:top w:w="90" w:type="dxa"/>
              <w:start w:w="110" w:type="dxa"/>
              <w:bottom w:w="90" w:type="dxa"/>
              <w:end w:w="110" w:type="dxa"/>
            </w:tcMar>
            <w:vAlign w:val="center"/>
          </w:tcPr>
          <w:p>
            <w:pPr>
              <w:jc w:val="left"/>
            </w:pPr>
            <w:r>
              <w:rPr>
                <w:rFonts w:ascii="DejaVu Serif" w:hAnsi="DejaVu Serif" w:eastAsia="DejaVu Serif"/>
                <w:b w:val="0"/>
                <w:i w:val="0"/>
                <w:sz w:val="15"/>
              </w:rPr>
              <w:t>parent/hash absent</w:t>
            </w:r>
          </w:p>
        </w:tc>
      </w:tr>
      <w:tr>
        <w:tc>
          <w:tcPr>
            <w:tcW w:type="dxa" w:w="454"/>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10</w:t>
            </w:r>
          </w:p>
        </w:tc>
        <w:tc>
          <w:tcPr>
            <w:tcW w:type="dxa" w:w="1984"/>
            <w:tcMar>
              <w:top w:w="90" w:type="dxa"/>
              <w:start w:w="110" w:type="dxa"/>
              <w:bottom w:w="90" w:type="dxa"/>
              <w:end w:w="110" w:type="dxa"/>
            </w:tcMar>
            <w:vAlign w:val="center"/>
            <w:shd w:fill="F4F7FA"/>
          </w:tcPr>
          <w:p>
            <w:pPr>
              <w:jc w:val="left"/>
            </w:pPr>
            <w:r>
              <w:rPr>
                <w:rFonts w:ascii="DejaVu Serif" w:hAnsi="DejaVu Serif" w:eastAsia="DejaVu Serif"/>
                <w:b w:val="0"/>
                <w:i w:val="0"/>
                <w:sz w:val="15"/>
              </w:rPr>
              <w:t>PublishSnapshot</w:t>
            </w:r>
          </w:p>
        </w:tc>
        <w:tc>
          <w:tcPr>
            <w:tcW w:type="dxa" w:w="4252"/>
            <w:tcMar>
              <w:top w:w="90" w:type="dxa"/>
              <w:start w:w="110" w:type="dxa"/>
              <w:bottom w:w="90" w:type="dxa"/>
              <w:end w:w="110" w:type="dxa"/>
            </w:tcMar>
            <w:vAlign w:val="center"/>
            <w:shd w:fill="F4F7FA"/>
          </w:tcPr>
          <w:p>
            <w:pPr>
              <w:jc w:val="left"/>
            </w:pPr>
            <w:r>
              <w:rPr>
                <w:rFonts w:ascii="DejaVu Serif" w:hAnsi="DejaVu Serif" w:eastAsia="DejaVu Serif"/>
                <w:b w:val="0"/>
                <w:i w:val="0"/>
                <w:sz w:val="15"/>
              </w:rPr>
              <w:t>certificates -&gt; signed snapshot</w:t>
            </w:r>
          </w:p>
        </w:tc>
        <w:tc>
          <w:tcPr>
            <w:tcW w:type="dxa" w:w="2494"/>
            <w:tcMar>
              <w:top w:w="90" w:type="dxa"/>
              <w:start w:w="110" w:type="dxa"/>
              <w:bottom w:w="90" w:type="dxa"/>
              <w:end w:w="110" w:type="dxa"/>
            </w:tcMar>
            <w:vAlign w:val="center"/>
            <w:shd w:fill="F4F7FA"/>
          </w:tcPr>
          <w:p>
            <w:pPr>
              <w:jc w:val="left"/>
            </w:pPr>
            <w:r>
              <w:rPr>
                <w:rFonts w:ascii="DejaVu Serif" w:hAnsi="DejaVu Serif" w:eastAsia="DejaVu Serif"/>
                <w:b w:val="0"/>
                <w:i w:val="0"/>
                <w:sz w:val="15"/>
              </w:rPr>
              <w:t>publication gate</w:t>
            </w:r>
          </w:p>
        </w:tc>
      </w:tr>
    </w:tbl>
    <w:p>
      <w:pPr>
        <w:spacing w:after="40"/>
      </w:pPr>
    </w:p>
    <w:p>
      <w:pPr>
        <w:pStyle w:val="Heading2"/>
        <w:keepNext/>
      </w:pPr>
      <w:r>
        <w:t>E.1. Protocol Invariants</w:t>
      </w:r>
    </w:p>
    <w:p>
      <w:pPr>
        <w:spacing w:before="80" w:after="100"/>
        <w:jc w:val="center"/>
      </w:pPr>
      <w:r>
        <w:rPr>
          <w:rFonts w:ascii="DejaVu Serif" w:hAnsi="DejaVu Serif" w:eastAsia="DejaVu Serif"/>
          <w:b w:val="0"/>
          <w:i w:val="0"/>
          <w:sz w:val="21"/>
        </w:rPr>
        <w:t>F069  hash(output_k)=hash(input_{k+1})</w:t>
      </w:r>
      <w:r>
        <w:rPr>
          <w:rFonts w:ascii="DejaVu Serif" w:hAnsi="DejaVu Serif" w:eastAsia="DejaVu Serif"/>
          <w:b w:val="0"/>
          <w:i/>
          <w:color w:val="6B7280"/>
          <w:sz w:val="17"/>
        </w:rPr>
        <w:t xml:space="preserve">    [RU p. 226]</w:t>
      </w:r>
    </w:p>
    <w:p>
      <w:pPr>
        <w:spacing w:before="80" w:after="100"/>
        <w:jc w:val="center"/>
      </w:pPr>
      <w:r>
        <w:rPr>
          <w:rFonts w:ascii="DejaVu Serif" w:hAnsi="DejaVu Serif" w:eastAsia="DejaVu Serif"/>
          <w:b w:val="0"/>
          <w:i w:val="0"/>
          <w:sz w:val="21"/>
        </w:rPr>
        <w:t>F070  timestamp(output_k)&lt;=timestamp(output_{k+1})</w:t>
      </w:r>
      <w:r>
        <w:rPr>
          <w:rFonts w:ascii="DejaVu Serif" w:hAnsi="DejaVu Serif" w:eastAsia="DejaVu Serif"/>
          <w:b w:val="0"/>
          <w:i/>
          <w:color w:val="6B7280"/>
          <w:sz w:val="17"/>
        </w:rPr>
        <w:t xml:space="preserve">    [RU p. 226]</w:t>
      </w:r>
    </w:p>
    <w:p>
      <w:pPr>
        <w:spacing w:before="80" w:after="100"/>
        <w:jc w:val="center"/>
      </w:pPr>
      <w:r>
        <w:rPr>
          <w:rFonts w:ascii="DejaVu Serif" w:hAnsi="DejaVu Serif" w:eastAsia="DejaVu Serif"/>
          <w:b w:val="0"/>
          <w:i w:val="0"/>
          <w:sz w:val="21"/>
        </w:rPr>
        <w:t>F071  Block_k=1 =&gt; Block_j=1 for every j&gt;k</w:t>
      </w:r>
      <w:r>
        <w:rPr>
          <w:rFonts w:ascii="DejaVu Serif" w:hAnsi="DejaVu Serif" w:eastAsia="DejaVu Serif"/>
          <w:b w:val="0"/>
          <w:i/>
          <w:color w:val="6B7280"/>
          <w:sz w:val="17"/>
        </w:rPr>
        <w:t xml:space="preserve">    [RU p. 226]</w:t>
      </w:r>
    </w:p>
    <w:p>
      <w:pPr>
        <w:pStyle w:val="Heading2"/>
        <w:keepNext/>
      </w:pPr>
      <w:r>
        <w:t>E.2. Minimal Run Ledger</w:t>
      </w:r>
    </w:p>
    <w:p>
      <w:pPr>
        <w:spacing w:after="80" w:line="269" w:lineRule="auto"/>
        <w:jc w:val="both"/>
      </w:pPr>
      <w:r>
        <w:rPr>
          <w:rFonts w:ascii="DejaVu Serif" w:hAnsi="DejaVu Serif" w:eastAsia="DejaVu Serif"/>
          <w:b w:val="0"/>
          <w:i w:val="0"/>
        </w:rPr>
        <w:t>The ledger stores run_id, stage_id, input_hash, output_hash, code_version, environment_hash, seed, operator, timestamp, status, Block reason, and parent-certificate reference. For sensitive data, a hash and access schema are published instead of the bytes.</w:t>
      </w:r>
    </w:p>
    <w:p>
      <w:pPr>
        <w:pStyle w:val="Heading2"/>
        <w:keepNext/>
      </w:pPr>
      <w:r>
        <w:t>E.3. Read-Only Atlas Snapshot</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3402"/>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File</w:t>
            </w:r>
          </w:p>
        </w:tc>
        <w:tc>
          <w:tcPr>
            <w:tcW w:type="dxa" w:w="113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Rows</w:t>
            </w:r>
          </w:p>
        </w:tc>
        <w:tc>
          <w:tcPr>
            <w:tcW w:type="dxa" w:w="4649"/>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Meaning</w:t>
            </w:r>
          </w:p>
        </w:tc>
      </w:tr>
      <w:tr>
        <w:tc>
          <w:tcPr>
            <w:tcW w:type="dxa" w:w="3402"/>
            <w:tcMar>
              <w:top w:w="90" w:type="dxa"/>
              <w:start w:w="110" w:type="dxa"/>
              <w:bottom w:w="90" w:type="dxa"/>
              <w:end w:w="110" w:type="dxa"/>
            </w:tcMar>
            <w:vAlign w:val="center"/>
          </w:tcPr>
          <w:p>
            <w:pPr>
              <w:jc w:val="center"/>
            </w:pPr>
            <w:r>
              <w:rPr>
                <w:rFonts w:ascii="DejaVu Serif" w:hAnsi="DejaVu Serif" w:eastAsia="DejaVu Serif"/>
                <w:b w:val="0"/>
                <w:i w:val="0"/>
                <w:sz w:val="16"/>
              </w:rPr>
              <w:t>sources.csv</w:t>
            </w:r>
          </w:p>
        </w:tc>
        <w:tc>
          <w:tcPr>
            <w:tcW w:type="dxa" w:w="1134"/>
            <w:tcMar>
              <w:top w:w="90" w:type="dxa"/>
              <w:start w:w="110" w:type="dxa"/>
              <w:bottom w:w="90" w:type="dxa"/>
              <w:end w:w="110" w:type="dxa"/>
            </w:tcMar>
            <w:vAlign w:val="center"/>
          </w:tcPr>
          <w:p>
            <w:pPr>
              <w:jc w:val="left"/>
            </w:pPr>
            <w:r>
              <w:rPr>
                <w:rFonts w:ascii="DejaVu Serif" w:hAnsi="DejaVu Serif" w:eastAsia="DejaVu Serif"/>
                <w:b w:val="0"/>
                <w:i w:val="0"/>
                <w:sz w:val="16"/>
              </w:rPr>
              <w:t>236</w:t>
            </w:r>
          </w:p>
        </w:tc>
        <w:tc>
          <w:tcPr>
            <w:tcW w:type="dxa" w:w="4649"/>
            <w:tcMar>
              <w:top w:w="90" w:type="dxa"/>
              <w:start w:w="110" w:type="dxa"/>
              <w:bottom w:w="90" w:type="dxa"/>
              <w:end w:w="110" w:type="dxa"/>
            </w:tcMar>
            <w:vAlign w:val="center"/>
          </w:tcPr>
          <w:p>
            <w:pPr>
              <w:jc w:val="left"/>
            </w:pPr>
            <w:r>
              <w:rPr>
                <w:rFonts w:ascii="DejaVu Serif" w:hAnsi="DejaVu Serif" w:eastAsia="DejaVu Serif"/>
                <w:b w:val="0"/>
                <w:i w:val="0"/>
                <w:sz w:val="16"/>
              </w:rPr>
              <w:t>sources</w:t>
            </w:r>
          </w:p>
        </w:tc>
      </w:tr>
      <w:tr>
        <w:tc>
          <w:tcPr>
            <w:tcW w:type="dxa" w:w="3402"/>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works.csv</w:t>
            </w:r>
          </w:p>
        </w:tc>
        <w:tc>
          <w:tcPr>
            <w:tcW w:type="dxa" w:w="1134"/>
            <w:tcMar>
              <w:top w:w="90" w:type="dxa"/>
              <w:start w:w="110" w:type="dxa"/>
              <w:bottom w:w="90" w:type="dxa"/>
              <w:end w:w="110" w:type="dxa"/>
            </w:tcMar>
            <w:vAlign w:val="center"/>
            <w:shd w:fill="F4F7FA"/>
          </w:tcPr>
          <w:p>
            <w:pPr>
              <w:jc w:val="left"/>
            </w:pPr>
            <w:r>
              <w:rPr>
                <w:rFonts w:ascii="DejaVu Serif" w:hAnsi="DejaVu Serif" w:eastAsia="DejaVu Serif"/>
                <w:b w:val="0"/>
                <w:i w:val="0"/>
                <w:sz w:val="16"/>
              </w:rPr>
              <w:t>1145</w:t>
            </w:r>
          </w:p>
        </w:tc>
        <w:tc>
          <w:tcPr>
            <w:tcW w:type="dxa" w:w="4649"/>
            <w:tcMar>
              <w:top w:w="90" w:type="dxa"/>
              <w:start w:w="110" w:type="dxa"/>
              <w:bottom w:w="90" w:type="dxa"/>
              <w:end w:w="110" w:type="dxa"/>
            </w:tcMar>
            <w:vAlign w:val="center"/>
            <w:shd w:fill="F4F7FA"/>
          </w:tcPr>
          <w:p>
            <w:pPr>
              <w:jc w:val="left"/>
            </w:pPr>
            <w:r>
              <w:rPr>
                <w:rFonts w:ascii="DejaVu Serif" w:hAnsi="DejaVu Serif" w:eastAsia="DejaVu Serif"/>
                <w:b w:val="0"/>
                <w:i w:val="0"/>
                <w:sz w:val="16"/>
              </w:rPr>
              <w:t>work units</w:t>
            </w:r>
          </w:p>
        </w:tc>
      </w:tr>
      <w:tr>
        <w:tc>
          <w:tcPr>
            <w:tcW w:type="dxa" w:w="3402"/>
            <w:tcMar>
              <w:top w:w="90" w:type="dxa"/>
              <w:start w:w="110" w:type="dxa"/>
              <w:bottom w:w="90" w:type="dxa"/>
              <w:end w:w="110" w:type="dxa"/>
            </w:tcMar>
            <w:vAlign w:val="center"/>
          </w:tcPr>
          <w:p>
            <w:pPr>
              <w:jc w:val="center"/>
            </w:pPr>
            <w:r>
              <w:rPr>
                <w:rFonts w:ascii="DejaVu Serif" w:hAnsi="DejaVu Serif" w:eastAsia="DejaVu Serif"/>
                <w:b w:val="0"/>
                <w:i w:val="0"/>
                <w:sz w:val="16"/>
              </w:rPr>
              <w:t>repers.csv</w:t>
            </w:r>
          </w:p>
        </w:tc>
        <w:tc>
          <w:tcPr>
            <w:tcW w:type="dxa" w:w="1134"/>
            <w:tcMar>
              <w:top w:w="90" w:type="dxa"/>
              <w:start w:w="110" w:type="dxa"/>
              <w:bottom w:w="90" w:type="dxa"/>
              <w:end w:w="110" w:type="dxa"/>
            </w:tcMar>
            <w:vAlign w:val="center"/>
          </w:tcPr>
          <w:p>
            <w:pPr>
              <w:jc w:val="left"/>
            </w:pPr>
            <w:r>
              <w:rPr>
                <w:rFonts w:ascii="DejaVu Serif" w:hAnsi="DejaVu Serif" w:eastAsia="DejaVu Serif"/>
                <w:b w:val="0"/>
                <w:i w:val="0"/>
                <w:sz w:val="16"/>
              </w:rPr>
              <w:t>2212</w:t>
            </w:r>
          </w:p>
        </w:tc>
        <w:tc>
          <w:tcPr>
            <w:tcW w:type="dxa" w:w="4649"/>
            <w:tcMar>
              <w:top w:w="90" w:type="dxa"/>
              <w:start w:w="110" w:type="dxa"/>
              <w:bottom w:w="90" w:type="dxa"/>
              <w:end w:w="110" w:type="dxa"/>
            </w:tcMar>
            <w:vAlign w:val="center"/>
          </w:tcPr>
          <w:p>
            <w:pPr>
              <w:jc w:val="left"/>
            </w:pPr>
            <w:r>
              <w:rPr>
                <w:rFonts w:ascii="DejaVu Serif" w:hAnsi="DejaVu Serif" w:eastAsia="DejaVu Serif"/>
                <w:b w:val="0"/>
                <w:i w:val="0"/>
                <w:sz w:val="16"/>
              </w:rPr>
              <w:t>Reper nodes</w:t>
            </w:r>
          </w:p>
        </w:tc>
      </w:tr>
      <w:tr>
        <w:tc>
          <w:tcPr>
            <w:tcW w:type="dxa" w:w="3402"/>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reper_edges.csv</w:t>
            </w:r>
          </w:p>
        </w:tc>
        <w:tc>
          <w:tcPr>
            <w:tcW w:type="dxa" w:w="1134"/>
            <w:tcMar>
              <w:top w:w="90" w:type="dxa"/>
              <w:start w:w="110" w:type="dxa"/>
              <w:bottom w:w="90" w:type="dxa"/>
              <w:end w:w="110" w:type="dxa"/>
            </w:tcMar>
            <w:vAlign w:val="center"/>
            <w:shd w:fill="F4F7FA"/>
          </w:tcPr>
          <w:p>
            <w:pPr>
              <w:jc w:val="left"/>
            </w:pPr>
            <w:r>
              <w:rPr>
                <w:rFonts w:ascii="DejaVu Serif" w:hAnsi="DejaVu Serif" w:eastAsia="DejaVu Serif"/>
                <w:b w:val="0"/>
                <w:i w:val="0"/>
                <w:sz w:val="16"/>
              </w:rPr>
              <w:t>2478</w:t>
            </w:r>
          </w:p>
        </w:tc>
        <w:tc>
          <w:tcPr>
            <w:tcW w:type="dxa" w:w="4649"/>
            <w:tcMar>
              <w:top w:w="90" w:type="dxa"/>
              <w:start w:w="110" w:type="dxa"/>
              <w:bottom w:w="90" w:type="dxa"/>
              <w:end w:w="110" w:type="dxa"/>
            </w:tcMar>
            <w:vAlign w:val="center"/>
            <w:shd w:fill="F4F7FA"/>
          </w:tcPr>
          <w:p>
            <w:pPr>
              <w:jc w:val="left"/>
            </w:pPr>
            <w:r>
              <w:rPr>
                <w:rFonts w:ascii="DejaVu Serif" w:hAnsi="DejaVu Serif" w:eastAsia="DejaVu Serif"/>
                <w:b w:val="0"/>
                <w:i w:val="0"/>
                <w:sz w:val="16"/>
              </w:rPr>
              <w:t>typed edges</w:t>
            </w:r>
          </w:p>
        </w:tc>
      </w:tr>
      <w:tr>
        <w:tc>
          <w:tcPr>
            <w:tcW w:type="dxa" w:w="3402"/>
            <w:tcMar>
              <w:top w:w="90" w:type="dxa"/>
              <w:start w:w="110" w:type="dxa"/>
              <w:bottom w:w="90" w:type="dxa"/>
              <w:end w:w="110" w:type="dxa"/>
            </w:tcMar>
            <w:vAlign w:val="center"/>
          </w:tcPr>
          <w:p>
            <w:pPr>
              <w:jc w:val="center"/>
            </w:pPr>
            <w:r>
              <w:rPr>
                <w:rFonts w:ascii="DejaVu Serif" w:hAnsi="DejaVu Serif" w:eastAsia="DejaVu Serif"/>
                <w:b w:val="0"/>
                <w:i w:val="0"/>
                <w:sz w:val="16"/>
              </w:rPr>
              <w:t>predictive_protocol_v2_0.csv</w:t>
            </w:r>
          </w:p>
        </w:tc>
        <w:tc>
          <w:tcPr>
            <w:tcW w:type="dxa" w:w="1134"/>
            <w:tcMar>
              <w:top w:w="90" w:type="dxa"/>
              <w:start w:w="110" w:type="dxa"/>
              <w:bottom w:w="90" w:type="dxa"/>
              <w:end w:w="110" w:type="dxa"/>
            </w:tcMar>
            <w:vAlign w:val="center"/>
          </w:tcPr>
          <w:p>
            <w:pPr>
              <w:jc w:val="left"/>
            </w:pPr>
            <w:r>
              <w:rPr>
                <w:rFonts w:ascii="DejaVu Serif" w:hAnsi="DejaVu Serif" w:eastAsia="DejaVu Serif"/>
                <w:b w:val="0"/>
                <w:i w:val="0"/>
                <w:sz w:val="16"/>
              </w:rPr>
              <w:t>10</w:t>
            </w:r>
          </w:p>
        </w:tc>
        <w:tc>
          <w:tcPr>
            <w:tcW w:type="dxa" w:w="4649"/>
            <w:tcMar>
              <w:top w:w="90" w:type="dxa"/>
              <w:start w:w="110" w:type="dxa"/>
              <w:bottom w:w="90" w:type="dxa"/>
              <w:end w:w="110" w:type="dxa"/>
            </w:tcMar>
            <w:vAlign w:val="center"/>
          </w:tcPr>
          <w:p>
            <w:pPr>
              <w:jc w:val="left"/>
            </w:pPr>
            <w:r>
              <w:rPr>
                <w:rFonts w:ascii="DejaVu Serif" w:hAnsi="DejaVu Serif" w:eastAsia="DejaVu Serif"/>
                <w:b w:val="0"/>
                <w:i w:val="0"/>
                <w:sz w:val="16"/>
              </w:rPr>
              <w:t>protocol stages</w:t>
            </w:r>
          </w:p>
        </w:tc>
      </w:tr>
    </w:tbl>
    <w:p>
      <w:pPr>
        <w:spacing w:after="40"/>
      </w:pPr>
    </w:p>
    <w:p>
      <w:pPr>
        <w:spacing w:after="80" w:line="269" w:lineRule="auto"/>
        <w:jc w:val="both"/>
      </w:pPr>
      <w:r>
        <w:rPr>
          <w:rFonts w:ascii="DejaVu Serif" w:hAnsi="DejaVu Serif" w:eastAsia="DejaVu Serif"/>
          <w:b w:val="0"/>
          <w:i w:val="0"/>
        </w:rPr>
        <w:t>The counters describe the attached archive state and must be recomputed for every new version_hash. Counts do not replace semantic validation.</w:t>
      </w:r>
    </w:p>
    <w:p>
      <w:pPr>
        <w:pStyle w:val="Heading2"/>
        <w:keepNext/>
      </w:pPr>
      <w:r>
        <w:t>E.4. Publication Decision</w:t>
      </w:r>
    </w:p>
    <w:p>
      <w:pPr>
        <w:spacing w:before="80" w:after="100"/>
        <w:jc w:val="center"/>
      </w:pPr>
      <w:r>
        <w:rPr>
          <w:rFonts w:ascii="DejaVu Serif" w:hAnsi="DejaVu Serif" w:eastAsia="DejaVu Serif"/>
          <w:b w:val="0"/>
          <w:i w:val="0"/>
          <w:sz w:val="21"/>
        </w:rPr>
        <w:t>F072  Publish iff no-Block and hashes-closed and protocol-frozen and decision-reported</w:t>
      </w:r>
      <w:r>
        <w:rPr>
          <w:rFonts w:ascii="DejaVu Serif" w:hAnsi="DejaVu Serif" w:eastAsia="DejaVu Serif"/>
          <w:b w:val="0"/>
          <w:i/>
          <w:color w:val="6B7280"/>
          <w:sz w:val="17"/>
        </w:rPr>
        <w:t xml:space="preserve">    [RU p. 226]</w:t>
      </w:r>
    </w:p>
    <w:p>
      <w:pPr>
        <w:spacing w:after="80" w:line="269" w:lineRule="auto"/>
        <w:jc w:val="both"/>
      </w:pPr>
      <w:r>
        <w:rPr>
          <w:rFonts w:ascii="DejaVu Serif" w:hAnsi="DejaVu Serif" w:eastAsia="DejaVu Serif"/>
          <w:b w:val="0"/>
          <w:i w:val="0"/>
        </w:rPr>
        <w:t>truth_layer_promotion remains a separate field even when Publish is true. PASS, FAIL, ABSTAIN, and BLOCK are reported under the same rule; otherwise publication would depend on the outcome.</w:t>
      </w:r>
    </w:p>
    <w:p>
      <w:pPr>
        <w:spacing w:before="80" w:after="100"/>
        <w:jc w:val="center"/>
      </w:pPr>
      <w:r>
        <w:rPr>
          <w:rFonts w:ascii="DejaVu Serif" w:hAnsi="DejaVu Serif" w:eastAsia="DejaVu Serif"/>
          <w:b w:val="0"/>
          <w:i w:val="0"/>
          <w:sz w:val="21"/>
        </w:rPr>
        <w:t>RIUD-TETRA-RUN006-029 -&gt; PROOF-OBJ-RUN007-0029 -&gt; FORMAL-CARD-RUN009-006 -&gt; SIGNATURE-REVIEW-RUN013-001</w:t>
      </w:r>
      <w:r>
        <w:rPr>
          <w:rFonts w:ascii="DejaVu Serif" w:hAnsi="DejaVu Serif" w:eastAsia="DejaVu Serif"/>
          <w:b w:val="0"/>
          <w:i/>
          <w:color w:val="6B7280"/>
          <w:sz w:val="17"/>
        </w:rPr>
        <w:t xml:space="preserve">    [RU p. 227]</w:t>
      </w:r>
    </w:p>
    <w:p>
      <w:pPr>
        <w:spacing w:before="80" w:after="100"/>
        <w:jc w:val="center"/>
      </w:pPr>
      <w:r>
        <w:rPr>
          <w:rFonts w:ascii="DejaVu Serif" w:hAnsi="DejaVu Serif" w:eastAsia="DejaVu Serif"/>
          <w:b w:val="0"/>
          <w:i w:val="0"/>
          <w:sz w:val="21"/>
        </w:rPr>
        <w:t>lambda=-0.992736565468; delta_truth=0.007263434532; CGI=0.140948882338; truth_layer_promotion=0</w:t>
      </w:r>
      <w:r>
        <w:rPr>
          <w:rFonts w:ascii="DejaVu Serif" w:hAnsi="DejaVu Serif" w:eastAsia="DejaVu Serif"/>
          <w:b w:val="0"/>
          <w:i/>
          <w:color w:val="6B7280"/>
          <w:sz w:val="17"/>
        </w:rPr>
        <w:t xml:space="preserve">    [RU p. 227]</w:t>
      </w:r>
    </w:p>
    <w:tbl>
      <w:tblPr>
        <w:tblStyle w:val="TableGrid"/>
        <w:tblW w:type="auto" w:w="0"/>
        <w:jc w:val="center"/>
        <w:tblLook w:firstColumn="1" w:firstRow="1" w:lastColumn="0" w:lastRow="0" w:noHBand="0" w:noVBand="1" w:val="04A0"/>
      </w:tblPr>
      <w:tblGrid>
        <w:gridCol w:w="10070"/>
      </w:tblGrid>
      <w:tr>
        <w:tc>
          <w:tcPr>
            <w:tcW w:type="dxa" w:w="10070"/>
            <w:shd w:fill="F8F2E5"/>
            <w:tcMar>
              <w:top w:w="120" w:type="dxa"/>
              <w:start w:w="140" w:type="dxa"/>
              <w:bottom w:w="120" w:type="dxa"/>
              <w:end w:w="140" w:type="dxa"/>
            </w:tcMar>
          </w:tcPr>
          <w:p>
            <w:r>
              <w:rPr>
                <w:rFonts w:ascii="DejaVu Sans" w:hAnsi="DejaVu Sans" w:eastAsia="DejaVu Sans"/>
                <w:b/>
                <w:i w:val="0"/>
                <w:color w:val="9C6B1B"/>
                <w:sz w:val="18"/>
              </w:rPr>
              <w:t xml:space="preserve">Philosophical-phenomenological note. </w:t>
            </w:r>
            <w:r>
              <w:rPr>
                <w:rFonts w:ascii="DejaVu Serif" w:hAnsi="DejaVu Serif" w:eastAsia="DejaVu Serif"/>
                <w:b w:val="0"/>
                <w:i w:val="0"/>
                <w:sz w:val="18"/>
              </w:rPr>
              <w:t>A protocol turns a sequence of actions into an object that can be repeated. It preserves not only a successful path, but also the stopping point, because stopping is knowledge about the boundary of the method.</w:t>
            </w:r>
          </w:p>
        </w:tc>
      </w:tr>
    </w:tbl>
    <w:p>
      <w:pPr>
        <w:spacing w:after="40"/>
      </w:pPr>
    </w:p>
    <w:p>
      <w:pPr>
        <w:pStyle w:val="Heading1"/>
        <w:keepNext/>
      </w:pPr>
      <w:bookmarkStart w:id="1057" w:name="T1_APP_F"/>
      <w:r>
        <w:t>Appendix F. Formula Registry F001-F086</w:t>
      </w:r>
      <w:bookmarkEnd w:id="1057"/>
    </w:p>
    <w:p>
      <w:pPr>
        <w:spacing w:after="80" w:line="269" w:lineRule="auto"/>
        <w:jc w:val="both"/>
      </w:pPr>
      <w:r>
        <w:rPr>
          <w:rFonts w:ascii="DejaVu Serif" w:hAnsi="DejaVu Serif" w:eastAsia="DejaVu Serif"/>
          <w:b w:val="0"/>
          <w:i w:val="0"/>
        </w:rPr>
        <w:t>The registry supplies stable identifiers for the mathematical layer. Existing IDs are not reassigned. A removed formula is marked deprecated; a new formula receives the next free identifier. Registration does not increase evidence status.</w:t>
      </w:r>
    </w:p>
    <w:p>
      <w:pPr>
        <w:pStyle w:val="Heading2"/>
        <w:keepNext/>
      </w:pPr>
      <w:r>
        <w:t>F.1. Registry F001-F015</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737"/>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3"/>
              </w:rPr>
              <w:t>ID</w:t>
            </w:r>
          </w:p>
        </w:tc>
        <w:tc>
          <w:tcPr>
            <w:tcW w:type="dxa" w:w="5726"/>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3"/>
              </w:rPr>
              <w:t>Formula</w:t>
            </w:r>
          </w:p>
        </w:tc>
        <w:tc>
          <w:tcPr>
            <w:tcW w:type="dxa" w:w="272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3"/>
              </w:rPr>
              <w:t>Role / status</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F001</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Obs := (event,state,time,source,unit,cluster,Dom,status)</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raw observation object</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F002</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Evidence := Obs x {provenance,hash,adapter,loss,null,gate}</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evidence extension</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F003</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D subset Obs; Dom(T) subset X; D != Dom(T)</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D/Dom barrier</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F004</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Rep_i = (R_i,I_i,U_i;D_i)</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canonical Reper quadruple</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F005</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ValidRep(Rep) iff typed and distinct-denominators and provenance and Dom-gate</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Reper validity</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F006</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f:P-&gt;Q; type(Q)=f_t(type(P)); prov(Q) contains f_p(prov(P))</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packet morphism</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F007</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status(P)=Block =&gt; status(f(P))=Block</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Block absorption</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F008</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A(R1,R2,R3) := (R1 star R2) star R3 - R1 star (R2 star R3)</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NAPG associator</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F009</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A != 0 =&gt; bracket in metadata and branch-id in certificate</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bracket as mandatory metadata</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F010</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lambda(R,I;U,D0)=((U-R)(I-D0))/((U-D0)(I-R))</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Volume I cross-ratio</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F011</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delta_truth(Rep)=|lambda(Rep)+1|</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harmonic defect</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F012</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lambda(R,I;U,D0)=([U,R][I,D0])/([U,D0][I,R])</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homogeneous cross-ratio</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F013</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lambda o g = lambda; g in PGL_2(K)</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projective invariance</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F014</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D_h = [U(I+R)-2RI]/[2U-R-I]</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harmonic conjugate</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F015</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lambda(0,1;3,3/2)=-1</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harmonic check example</w:t>
            </w:r>
          </w:p>
        </w:tc>
      </w:tr>
    </w:tbl>
    <w:p>
      <w:pPr>
        <w:spacing w:after="40"/>
      </w:pPr>
    </w:p>
    <w:p>
      <w:pPr>
        <w:pStyle w:val="Heading2"/>
        <w:keepNext/>
      </w:pPr>
      <w:r>
        <w:t>F.2. Registry F016-F030</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737"/>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3"/>
              </w:rPr>
              <w:t>ID</w:t>
            </w:r>
          </w:p>
        </w:tc>
        <w:tc>
          <w:tcPr>
            <w:tcW w:type="dxa" w:w="5726"/>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3"/>
              </w:rPr>
              <w:t>Formula</w:t>
            </w:r>
          </w:p>
        </w:tc>
        <w:tc>
          <w:tcPr>
            <w:tcW w:type="dxa" w:w="272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3"/>
              </w:rPr>
              <w:t>Role / status</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F016</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C_L(x)=union {Psi_r(x): r in A_L(D), gate(r,x)=1}</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set-valued Reper forecast</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F017</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C_L(x)=empty =&gt; ABSTAIN; Block nonempty =&gt; BLOCK</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ABSTAIN versus BLOCK</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F018</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C_L(gx)=g(C_L(x))</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forecast equivariance</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F019</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|Delta lambda| &lt;= K_epsilon (||Delta R||+||Delta I||+||Delta U||+||Delta D0||)</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local stability away from poles</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F020</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L=(L_pol,L_eco,L_space,L_time,L_onto)</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five-limit vector</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F021</w:t>
            </w:r>
          </w:p>
        </w:tc>
        <w:tc>
          <w:tcPr>
            <w:tcW w:type="dxa" w:w="5726"/>
            <w:tcMar>
              <w:top w:w="90" w:type="dxa"/>
              <w:start w:w="110" w:type="dxa"/>
              <w:bottom w:w="90" w:type="dxa"/>
              <w:end w:w="110" w:type="dxa"/>
            </w:tcMar>
            <w:vAlign w:val="center"/>
            <w:shd w:fill="F4F7FA"/>
          </w:tcPr>
          <w:p>
            <w:r>
              <w:rPr>
                <w:rFonts w:ascii="DejaVu Serif" w:hAnsi="DejaVu Serif"/>
                <w:sz w:val="16"/>
              </w:rPr>
              <w:t>gate_L(r)=∧_{j=1}^5 ℓ_j(r)</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limit gate</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F022</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L' &gt;= L iff A_L'(D) subset A_L(D)</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strictness order</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F023</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L' &gt;= L =&gt; A_L' subset A_L and C_L' subset C_L</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forecast monotonicity</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F024</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A_(L meet M)=A_L intersection A_M</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meet of limits</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F025</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A_(L join M)=closure(A_L union A_M)</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join as typed closure</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F026</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Forecast_t(h) is measurable with respect to F_t</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information-time measurability</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F027</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feature-time(x_k)&lt;=t; outcome-time=t+h</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anti-leakage time order</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F028</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inf_T sup_(theta in Theta) E_theta[L(T(X),theta)] &gt;= c_PN2 &gt; 0</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PN.2 minimax limit</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F029</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max(R0(T),R1(T)) &gt;= c(1-TV(P0,P1))/2</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two-point lower bound</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F030</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d_R(r,s)=w_phi||phi(r)-phi(s)||+w_lambda|lambda_r-lambda_s|+w_D d_D(D_r,D_s)+P(r,s)</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extended Reper metric</w:t>
            </w:r>
          </w:p>
        </w:tc>
      </w:tr>
    </w:tbl>
    <w:p>
      <w:pPr>
        <w:spacing w:after="40"/>
      </w:pPr>
    </w:p>
    <w:p>
      <w:pPr>
        <w:pStyle w:val="Heading2"/>
        <w:keepNext/>
      </w:pPr>
      <w:r>
        <w:t>F.3. Registry F031-F045</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737"/>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3"/>
              </w:rPr>
              <w:t>ID</w:t>
            </w:r>
          </w:p>
        </w:tc>
        <w:tc>
          <w:tcPr>
            <w:tcW w:type="dxa" w:w="5726"/>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3"/>
              </w:rPr>
              <w:t>Formula</w:t>
            </w:r>
          </w:p>
        </w:tc>
        <w:tc>
          <w:tcPr>
            <w:tcW w:type="dxa" w:w="272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3"/>
              </w:rPr>
              <w:t>Role / status</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F031</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P(r,s)=infinity if type/provenance/bracket incompatible</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hard incompatibility penalty</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F032</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J_z(s|r)=d_R(r,s)+alpha Loss_z(s)+beta delta_truth(s)+gamma Complexity(s&lt;-r)</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rebuild objective</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F033</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R_z(r)=argmin_{s in N(r) intersection A_L(D union z)} J_z(s|r)</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set-valued rebuild</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F034</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Gamma=J_z(s2|r)-J_z(s*|r)</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stability gap</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F035</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Gamma&gt;0 =&gt; R_z(r)={s*}</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perturbation stability</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F036</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Gamma&gt;2epsilon =&gt; argmin J_z' = argmin J_z</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versioned rebuild chain</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F037</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R_z2(R_z1(r)) != R_(z1 union z2)(r) in general</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nonassociativity of revision</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F038</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Gain_rebuild=L(matched-null search)-L(KLT rebuild)</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honest rebuild gain</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F039</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|S|=236; |W|=1145; |V_R|=2212; |E_R|=2478</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Atlas v2.1 counters</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F040</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G_RBD=(V,E,tau_V,tau_E,prov,w,L)</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typed RBD graph</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F041</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P_ij=w_ij/max(1,sum_k w_ik); sum_j P_ij&lt;=1</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substochastic kernel</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F042</w:t>
            </w:r>
          </w:p>
        </w:tc>
        <w:tc>
          <w:tcPr>
            <w:tcW w:type="dxa" w:w="5726"/>
            <w:tcMar>
              <w:top w:w="90" w:type="dxa"/>
              <w:start w:w="110" w:type="dxa"/>
              <w:bottom w:w="90" w:type="dxa"/>
              <w:end w:w="110" w:type="dxa"/>
            </w:tcMar>
            <w:vAlign w:val="center"/>
            <w:shd w:fill="F4F7FA"/>
          </w:tcPr>
          <w:p>
            <w:r>
              <w:rPr>
                <w:rFonts w:ascii="DejaVu Serif" w:hAnsi="DejaVu Serif"/>
                <w:sz w:val="16"/>
              </w:rPr>
              <w:t>P_{i,⊥}=1−Σ_j P_{ij}</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ABSTAIN mass</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F043</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T(x)=q+alpha P^T x; 0&lt;=alpha&lt;1</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propagation operator</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F044</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||T(x)-T(y)||_1 &lt;= alpha||x-y||_1</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contraction bound</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F045</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x*=(I-alpha P^T)^(-1)q</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fixed vector</w:t>
            </w:r>
          </w:p>
        </w:tc>
      </w:tr>
    </w:tbl>
    <w:p>
      <w:pPr>
        <w:spacing w:after="40"/>
      </w:pPr>
    </w:p>
    <w:p>
      <w:pPr>
        <w:pStyle w:val="Heading2"/>
        <w:keepNext/>
      </w:pPr>
      <w:r>
        <w:t>F.4. Registry F046-F060</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737"/>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3"/>
              </w:rPr>
              <w:t>ID</w:t>
            </w:r>
          </w:p>
        </w:tc>
        <w:tc>
          <w:tcPr>
            <w:tcW w:type="dxa" w:w="5726"/>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3"/>
              </w:rPr>
              <w:t>Formula</w:t>
            </w:r>
          </w:p>
        </w:tc>
        <w:tc>
          <w:tcPr>
            <w:tcW w:type="dxa" w:w="272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3"/>
              </w:rPr>
              <w:t>Role / status</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F046</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||x^(k)-x*||_1 &lt;= alpha^k ||x^(0)-x*||_1</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convergence rate</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F047</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||x*-x'*||_1 &lt;= [||q-q'||_1+alpha||(P-P')^T x'*||_1]/(1-alpha)</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fixed-point perturbation</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F048</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T_minus(x)&lt;=T(x)&lt;=T_plus(x)</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interval operators</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F049</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x_minus*&lt;=x*&lt;=x_plus*</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fixed-point envelope</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F050</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P{Y_new notin C_L(X_new)} &lt;= alpha_cov</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conditional predictive coverage</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F051</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P0{sup_t E_t &gt;= 1/alpha_seq} &lt;= alpha_seq</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sequential error budget</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F052</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FWER &lt;= alpha_mult</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multiplicity budget</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F053</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Risk_KLT &lt;= Risk_matched-null - Delta_min</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operational gain criterion</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F054</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P(E_cov union E_seq union E_mult) &lt;= alpha_cov+alpha_seq+alpha_mult</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union error budget</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F055</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Rep_i=(R_i,I_i,U_i;D_i)</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historical Reper formula</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F056</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Truth(Rep) iff cr(U,I;R,D)=-1</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historical harmonic gate</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F057</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lambda=((U-R)(I-D))/((U-D)(I-R))</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computable lambda coordinate</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F058</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delta_truth=|lambda+1|</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harmonic defect</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F059</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KPF/RPHD v1.0 = Reper v1.0 + Limit-Causal v1.0 + (Xi,Delta,Upsilon)+T_cs^L+CGI</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architectural module sum</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F060</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T_pack=T_change*T_action</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historical change-action composition</w:t>
            </w:r>
          </w:p>
        </w:tc>
      </w:tr>
    </w:tbl>
    <w:p>
      <w:pPr>
        <w:spacing w:after="40"/>
      </w:pPr>
    </w:p>
    <w:p>
      <w:pPr>
        <w:pStyle w:val="Heading2"/>
        <w:keepNext/>
      </w:pPr>
      <w:r>
        <w:t>F.5. Registry F061-F075</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737"/>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3"/>
              </w:rPr>
              <w:t>ID</w:t>
            </w:r>
          </w:p>
        </w:tc>
        <w:tc>
          <w:tcPr>
            <w:tcW w:type="dxa" w:w="5726"/>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3"/>
              </w:rPr>
              <w:t>Formula</w:t>
            </w:r>
          </w:p>
        </w:tc>
        <w:tc>
          <w:tcPr>
            <w:tcW w:type="dxa" w:w="272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3"/>
              </w:rPr>
              <w:t>Role / status</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F061</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T_cs^L=T_cs+T_{Delta|L}+T_{Xi|L}+T_{Upsilon|L}+S_{P@S}</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limit-dependent causal operator</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F062</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Forecast=Pi_L[Upsilon_L o Delta_L o Xi_L(RBD_lambda)], CGI&lt;1</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historical forecast chain</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F063</w:t>
            </w:r>
          </w:p>
        </w:tc>
        <w:tc>
          <w:tcPr>
            <w:tcW w:type="dxa" w:w="5726"/>
            <w:tcMar>
              <w:top w:w="90" w:type="dxa"/>
              <w:start w:w="110" w:type="dxa"/>
              <w:bottom w:w="90" w:type="dxa"/>
              <w:end w:w="110" w:type="dxa"/>
            </w:tcMar>
            <w:vAlign w:val="center"/>
          </w:tcPr>
          <w:p>
            <w:r>
              <w:rPr>
                <w:rFonts w:ascii="DejaVu Serif" w:hAnsi="DejaVu Serif"/>
                <w:sz w:val="16"/>
              </w:rPr>
              <w:t>X alone ↛ (size(X),dim(X)) without D_X and a type contract</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negative PN.2-A core</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F064</w:t>
            </w:r>
          </w:p>
        </w:tc>
        <w:tc>
          <w:tcPr>
            <w:tcW w:type="dxa" w:w="5726"/>
            <w:tcMar>
              <w:top w:w="90" w:type="dxa"/>
              <w:start w:w="110" w:type="dxa"/>
              <w:bottom w:w="90" w:type="dxa"/>
              <w:end w:w="110" w:type="dxa"/>
            </w:tcMar>
            <w:vAlign w:val="center"/>
            <w:shd w:fill="F4F7FA"/>
          </w:tcPr>
          <w:p>
            <w:r>
              <w:rPr>
                <w:rFonts w:ascii="DejaVu Serif" w:hAnsi="DejaVu Serif"/>
                <w:sz w:val="16"/>
              </w:rPr>
              <w:t>(R,I,U) ↛ Rep</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insufficiency of a triple</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F065</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(R,I,U;D0) -&gt; Reper if ValidRep=1</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repair by fourth element</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F066</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Hole(P)={k in Required(P): missing(k) or invalid(k)}</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packet hole</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F067</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Repair(P,h)=(P-prime, revision-edge P-&gt;P-prime, certificate h)</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versioned repair</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F068</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Hole(P)=empty iff completeness-gate(P)=1</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completeness criterion</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F069</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hash(output_k)=hash(input_{k+1})</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stage hash continuity</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F070</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timestamp(output_k)&lt;=timestamp(output_{k+1})</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temporal monotonicity</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F071</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Block_k=1 =&gt; Block_j=1 for every j&gt;k</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Block propagation to publication</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F072</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Publish iff no-Block and hashes-closed and protocol-frozen and decision-reported</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publication gate</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F073</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N_formula(new-layer v196i14)=73</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formula-count receipt</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F074</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X_N^(2)=Span_K{R odot R, R odot S + S odot R : R,S,R+S in R}</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quadratic layer definition</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F075</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O_B(N):=X_N^(2)/Im Psi_N^(2); Pi_N:X_N^(2)-&gt;O_B(N)</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quadratic obstruction quotient</w:t>
            </w:r>
          </w:p>
        </w:tc>
      </w:tr>
    </w:tbl>
    <w:p>
      <w:pPr>
        <w:spacing w:after="40"/>
      </w:pPr>
    </w:p>
    <w:p>
      <w:pPr>
        <w:pStyle w:val="Heading2"/>
        <w:keepNext/>
      </w:pPr>
      <w:r>
        <w:t>F.6. Registry F076-F086</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737"/>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3"/>
              </w:rPr>
              <w:t>ID</w:t>
            </w:r>
          </w:p>
        </w:tc>
        <w:tc>
          <w:tcPr>
            <w:tcW w:type="dxa" w:w="5726"/>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3"/>
              </w:rPr>
              <w:t>Formula</w:t>
            </w:r>
          </w:p>
        </w:tc>
        <w:tc>
          <w:tcPr>
            <w:tcW w:type="dxa" w:w="272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3"/>
              </w:rPr>
              <w:t>Role / status</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F076</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phi_X o Psi_N^(2) = Psi_N'^(2) o phi_F</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frame-morphism compatibility</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F077</w:t>
            </w:r>
          </w:p>
        </w:tc>
        <w:tc>
          <w:tcPr>
            <w:tcW w:type="dxa" w:w="5726"/>
            <w:tcMar>
              <w:top w:w="90" w:type="dxa"/>
              <w:start w:w="110" w:type="dxa"/>
              <w:bottom w:w="90" w:type="dxa"/>
              <w:end w:w="110" w:type="dxa"/>
            </w:tcMar>
            <w:vAlign w:val="center"/>
            <w:shd w:fill="F4F7FA"/>
          </w:tcPr>
          <w:p>
            <w:r>
              <w:rPr>
                <w:rFonts w:ascii="DejaVu Serif" w:hAnsi="DejaVu Serif"/>
                <w:sz w:val="16"/>
              </w:rPr>
              <w:t>C_minⁿ(N)=F_N^(2) for n=2; C_minⁿ(N)=X_N^(2) for n=3; C_minⁿ(N)=0 for n≠2,3</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minimal complex</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F078</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delta_min^2(N):=Psi_N^(2); delta_min^n(N):=0 for n!=2</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minimal differential</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F079</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Theta_min,N = id_(X_N^(2))</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canonical internal bridge</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F080</w:t>
            </w:r>
          </w:p>
        </w:tc>
        <w:tc>
          <w:tcPr>
            <w:tcW w:type="dxa" w:w="5726"/>
            <w:tcMar>
              <w:top w:w="90" w:type="dxa"/>
              <w:start w:w="110" w:type="dxa"/>
              <w:bottom w:w="90" w:type="dxa"/>
              <w:end w:w="110" w:type="dxa"/>
            </w:tcMar>
            <w:vAlign w:val="center"/>
          </w:tcPr>
          <w:p>
            <w:r>
              <w:rPr>
                <w:rFonts w:ascii="DejaVu Serif" w:hAnsi="DejaVu Serif"/>
                <w:sz w:val="16"/>
              </w:rPr>
              <w:t>H³(C_min•(N))=Ker δ_min³/Im δ_min²=X_N^(2)/Im Ψ_N^(2)=O_B(N)</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canonical isomorphism</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F081</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H^3(C_min(f)) o kappa_N = kappa_Nprime o phi_O</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naturality of kappa</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F082</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d_E^2 o J_N^2 = J_N^3 o Psi_N^(2); d_E^3 o J_N^3 = 0</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external-chain equalities</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F083</w:t>
            </w:r>
          </w:p>
        </w:tc>
        <w:tc>
          <w:tcPr>
            <w:tcW w:type="dxa" w:w="5726"/>
            <w:tcMar>
              <w:top w:w="90" w:type="dxa"/>
              <w:start w:w="110" w:type="dxa"/>
              <w:bottom w:w="90" w:type="dxa"/>
              <w:end w:w="110" w:type="dxa"/>
            </w:tcMar>
            <w:vAlign w:val="center"/>
            <w:shd w:fill="F4F7FA"/>
          </w:tcPr>
          <w:p>
            <w:pPr>
              <w:jc w:val="left"/>
            </w:pPr>
            <w:r>
              <w:rPr>
                <w:rFonts w:ascii="DejaVu Serif" w:hAnsi="DejaVu Serif" w:eastAsia="DejaVu Serif"/>
                <w:b w:val="0"/>
                <w:i w:val="0"/>
                <w:sz w:val="13"/>
              </w:rPr>
              <w:t>E^3(f)oJ_N^3=J_Nprime^3 o phi_X; E^2(f)oJ_N^2=J_Nprime^2 o phi_F</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naturality of J</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F084</w:t>
            </w:r>
          </w:p>
        </w:tc>
        <w:tc>
          <w:tcPr>
            <w:tcW w:type="dxa" w:w="5726"/>
            <w:tcMar>
              <w:top w:w="90" w:type="dxa"/>
              <w:start w:w="110" w:type="dxa"/>
              <w:bottom w:w="90" w:type="dxa"/>
              <w:end w:w="110" w:type="dxa"/>
            </w:tcMar>
            <w:vAlign w:val="center"/>
          </w:tcPr>
          <w:p>
            <w:pPr>
              <w:jc w:val="left"/>
            </w:pPr>
            <w:r>
              <w:rPr>
                <w:rFonts w:ascii="DejaVu Serif" w:hAnsi="DejaVu Serif" w:eastAsia="DejaVu Serif"/>
                <w:b w:val="0"/>
                <w:i w:val="0"/>
                <w:sz w:val="13"/>
              </w:rPr>
              <w:t>Pi_E,N([x])=[J_N^3(x)]=[Theta_E,N(x)]</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conditional external certificate</w:t>
            </w:r>
          </w:p>
        </w:tc>
      </w:tr>
      <w:tr>
        <w:tc>
          <w:tcPr>
            <w:tcW w:type="dxa" w:w="737"/>
            <w:tcMar>
              <w:top w:w="90" w:type="dxa"/>
              <w:start w:w="110" w:type="dxa"/>
              <w:bottom w:w="90" w:type="dxa"/>
              <w:end w:w="110" w:type="dxa"/>
            </w:tcMar>
            <w:vAlign w:val="center"/>
            <w:shd w:fill="F4F7FA"/>
          </w:tcPr>
          <w:p>
            <w:pPr>
              <w:jc w:val="center"/>
            </w:pPr>
            <w:r>
              <w:rPr>
                <w:rFonts w:ascii="DejaVu Serif" w:hAnsi="DejaVu Serif" w:eastAsia="DejaVu Serif"/>
                <w:b w:val="0"/>
                <w:i w:val="0"/>
                <w:sz w:val="13"/>
              </w:rPr>
              <w:t>F085</w:t>
            </w:r>
          </w:p>
        </w:tc>
        <w:tc>
          <w:tcPr>
            <w:tcW w:type="dxa" w:w="5726"/>
            <w:tcMar>
              <w:top w:w="90" w:type="dxa"/>
              <w:start w:w="110" w:type="dxa"/>
              <w:bottom w:w="90" w:type="dxa"/>
              <w:end w:w="110" w:type="dxa"/>
            </w:tcMar>
            <w:vAlign w:val="center"/>
            <w:shd w:fill="F4F7FA"/>
          </w:tcPr>
          <w:p>
            <w:r>
              <w:rPr>
                <w:rFonts w:ascii="DejaVu Serif" w:hAnsi="DejaVu Serif"/>
                <w:sz w:val="16"/>
              </w:rPr>
              <w:t>H³(E•(f)) ∘ Π_E,N = Π_E,N′ ∘ φ_O</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3"/>
              </w:rPr>
              <w:t>naturality of Pi_E</w:t>
            </w:r>
          </w:p>
        </w:tc>
      </w:tr>
      <w:tr>
        <w:tc>
          <w:tcPr>
            <w:tcW w:type="dxa" w:w="737"/>
            <w:tcMar>
              <w:top w:w="90" w:type="dxa"/>
              <w:start w:w="110" w:type="dxa"/>
              <w:bottom w:w="90" w:type="dxa"/>
              <w:end w:w="110" w:type="dxa"/>
            </w:tcMar>
            <w:vAlign w:val="center"/>
          </w:tcPr>
          <w:p>
            <w:pPr>
              <w:jc w:val="center"/>
            </w:pPr>
            <w:r>
              <w:rPr>
                <w:rFonts w:ascii="DejaVu Serif" w:hAnsi="DejaVu Serif" w:eastAsia="DejaVu Serif"/>
                <w:b w:val="0"/>
                <w:i w:val="0"/>
                <w:sz w:val="13"/>
              </w:rPr>
              <w:t>F086</w:t>
            </w:r>
          </w:p>
        </w:tc>
        <w:tc>
          <w:tcPr>
            <w:tcW w:type="dxa" w:w="5726"/>
            <w:tcMar>
              <w:top w:w="90" w:type="dxa"/>
              <w:start w:w="110" w:type="dxa"/>
              <w:bottom w:w="90" w:type="dxa"/>
              <w:end w:w="110" w:type="dxa"/>
            </w:tcMar>
            <w:vAlign w:val="center"/>
          </w:tcPr>
          <w:p>
            <w:r>
              <w:rPr>
                <w:rFonts w:ascii="DejaVu Serif" w:hAnsi="DejaVu Serif"/>
                <w:sz w:val="16"/>
              </w:rPr>
              <w:t>[Ass]_E := [β_E,N(x,y,z)] ∈ H³(E•(N))</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3"/>
              </w:rPr>
              <w:t>separate associator class only with beta bridge</w:t>
            </w:r>
          </w:p>
        </w:tc>
      </w:tr>
    </w:tbl>
    <w:p>
      <w:pPr>
        <w:spacing w:after="40"/>
      </w:pPr>
    </w:p>
    <w:p>
      <w:pPr>
        <w:spacing w:before="80" w:after="100"/>
        <w:jc w:val="center"/>
      </w:pPr>
      <w:r>
        <w:rPr>
          <w:rFonts w:ascii="DejaVu Serif" w:hAnsi="DejaVu Serif" w:eastAsia="DejaVu Serif"/>
          <w:b w:val="0"/>
          <w:i w:val="0"/>
          <w:sz w:val="21"/>
        </w:rPr>
        <w:t>F073  N_formula(new-layer v196i14)=73</w:t>
      </w:r>
      <w:r>
        <w:rPr>
          <w:rFonts w:ascii="DejaVu Serif" w:hAnsi="DejaVu Serif" w:eastAsia="DejaVu Serif"/>
          <w:b w:val="0"/>
          <w:i/>
          <w:color w:val="6B7280"/>
          <w:sz w:val="17"/>
        </w:rPr>
        <w:t xml:space="preserve">    [RU p. 229]</w:t>
      </w: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FORMULA-REGISTRY-CERT. </w:t>
            </w:r>
            <w:r>
              <w:rPr>
                <w:rFonts w:ascii="DejaVu Serif" w:hAnsi="DejaVu Serif" w:eastAsia="DejaVu Serif"/>
                <w:b w:val="0"/>
                <w:i w:val="0"/>
                <w:sz w:val="18"/>
              </w:rPr>
              <w:t>numbering=stable; F001-F086=complete; renumbering=forbidden; deletion=deprecated; F084-F086 remain conditional on declared external bridge hypotheses; physical status unchanged.</w:t>
            </w:r>
          </w:p>
        </w:tc>
      </w:tr>
    </w:tbl>
    <w:p>
      <w:pPr>
        <w:spacing w:after="40"/>
      </w:pPr>
    </w:p>
    <w:p>
      <w:pPr>
        <w:pStyle w:val="Heading1"/>
        <w:keepNext/>
      </w:pPr>
      <w:bookmarkStart w:id="1058" w:name="T1_APP_G"/>
      <w:r>
        <w:t>Appendix G. Canonical Synchronization of PN.2 and F-1-F-14</w:t>
      </w:r>
      <w:bookmarkEnd w:id="1058"/>
    </w:p>
    <w:p>
      <w:pPr>
        <w:keepNext/>
        <w:jc w:val="center"/>
      </w:pPr>
      <w:r>
        <w:drawing>
          <wp:inline xmlns:a="http://schemas.openxmlformats.org/drawingml/2006/main" xmlns:pic="http://schemas.openxmlformats.org/drawingml/2006/picture">
            <wp:extent cx="5623560" cy="2510902"/>
            <wp:docPr id="60" name="Picture 60"/>
            <wp:cNvGraphicFramePr>
              <a:graphicFrameLocks noChangeAspect="1"/>
            </wp:cNvGraphicFramePr>
            <a:graphic>
              <a:graphicData uri="http://schemas.openxmlformats.org/drawingml/2006/picture">
                <pic:pic>
                  <pic:nvPicPr>
                    <pic:cNvPr id="0" name="fig_app_g.png"/>
                    <pic:cNvPicPr/>
                  </pic:nvPicPr>
                  <pic:blipFill>
                    <a:blip r:embed="rId72"/>
                    <a:stretch>
                      <a:fillRect/>
                    </a:stretch>
                  </pic:blipFill>
                  <pic:spPr>
                    <a:xfrm>
                      <a:off x="0" y="0"/>
                      <a:ext cx="5623560" cy="2510902"/>
                    </a:xfrm>
                    <a:prstGeom prst="rect"/>
                  </pic:spPr>
                </pic:pic>
              </a:graphicData>
            </a:graphic>
          </wp:inline>
        </w:drawing>
      </w:r>
    </w:p>
    <w:p>
      <w:pPr>
        <w:pStyle w:val="Caption"/>
        <w:spacing w:before="40" w:after="160"/>
        <w:jc w:val="center"/>
      </w:pPr>
      <w:bookmarkStart w:id="1117" w:name="T1_FIG_059"/>
      <w:r>
        <w:t>Figure G.1. Mathematical closure, model completeness, empirical data, and protocol execution remain separate axes.</w:t>
      </w:r>
      <w:bookmarkEnd w:id="1117"/>
    </w:p>
    <w:p>
      <w:pPr>
        <w:pStyle w:val="Heading2"/>
        <w:keepNext/>
      </w:pPr>
      <w:r>
        <w:t>G.1. Editorial Layers and Priority Rule</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226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Layer</w:t>
            </w:r>
          </w:p>
        </w:tc>
        <w:tc>
          <w:tcPr>
            <w:tcW w:type="dxa" w:w="294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Role</w:t>
            </w:r>
          </w:p>
        </w:tc>
        <w:tc>
          <w:tcPr>
            <w:tcW w:type="dxa" w:w="3969"/>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Reading rule</w:t>
            </w:r>
          </w:p>
        </w:tc>
      </w:tr>
      <w:tr>
        <w:tc>
          <w:tcPr>
            <w:tcW w:type="dxa" w:w="2268"/>
            <w:tcMar>
              <w:top w:w="90" w:type="dxa"/>
              <w:start w:w="110" w:type="dxa"/>
              <w:bottom w:w="90" w:type="dxa"/>
              <w:end w:w="110" w:type="dxa"/>
            </w:tcMar>
            <w:vAlign w:val="center"/>
          </w:tcPr>
          <w:p>
            <w:pPr>
              <w:jc w:val="center"/>
            </w:pPr>
            <w:r>
              <w:rPr>
                <w:rFonts w:ascii="DejaVu Serif" w:hAnsi="DejaVu Serif" w:eastAsia="DejaVu Serif"/>
                <w:b w:val="0"/>
                <w:i w:val="0"/>
                <w:sz w:val="16"/>
              </w:rPr>
              <w:t>Part V / section 21.7</w:t>
            </w:r>
          </w:p>
        </w:tc>
        <w:tc>
          <w:tcPr>
            <w:tcW w:type="dxa" w:w="2948"/>
            <w:tcMar>
              <w:top w:w="90" w:type="dxa"/>
              <w:start w:w="110" w:type="dxa"/>
              <w:bottom w:w="90" w:type="dxa"/>
              <w:end w:w="110" w:type="dxa"/>
            </w:tcMar>
            <w:vAlign w:val="center"/>
          </w:tcPr>
          <w:p>
            <w:pPr>
              <w:jc w:val="left"/>
            </w:pPr>
            <w:r>
              <w:rPr>
                <w:rFonts w:ascii="DejaVu Serif" w:hAnsi="DejaVu Serif" w:eastAsia="DejaVu Serif"/>
                <w:b w:val="0"/>
                <w:i w:val="0"/>
                <w:sz w:val="16"/>
              </w:rPr>
              <w:t>historical editorial source</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6"/>
              </w:rPr>
              <w:t>preserved as provenance; old PO list is not current</w:t>
            </w:r>
          </w:p>
        </w:tc>
      </w:tr>
      <w:tr>
        <w:tc>
          <w:tcPr>
            <w:tcW w:type="dxa" w:w="2268"/>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Part VII / section 27.2</w:t>
            </w:r>
          </w:p>
        </w:tc>
        <w:tc>
          <w:tcPr>
            <w:tcW w:type="dxa" w:w="2948"/>
            <w:tcMar>
              <w:top w:w="90" w:type="dxa"/>
              <w:start w:w="110" w:type="dxa"/>
              <w:bottom w:w="90" w:type="dxa"/>
              <w:end w:w="110" w:type="dxa"/>
            </w:tcMar>
            <w:vAlign w:val="center"/>
            <w:shd w:fill="F4F7FA"/>
          </w:tcPr>
          <w:p>
            <w:pPr>
              <w:jc w:val="left"/>
            </w:pPr>
            <w:r>
              <w:rPr>
                <w:rFonts w:ascii="DejaVu Serif" w:hAnsi="DejaVu Serif" w:eastAsia="DejaVu Serif"/>
                <w:b w:val="0"/>
                <w:i w:val="0"/>
                <w:sz w:val="16"/>
              </w:rPr>
              <w:t>canonical theorem package</w:t>
            </w:r>
          </w:p>
        </w:tc>
        <w:tc>
          <w:tcPr>
            <w:tcW w:type="dxa" w:w="3969"/>
            <w:tcMar>
              <w:top w:w="90" w:type="dxa"/>
              <w:start w:w="110" w:type="dxa"/>
              <w:bottom w:w="90" w:type="dxa"/>
              <w:end w:w="110" w:type="dxa"/>
            </w:tcMar>
            <w:vAlign w:val="center"/>
            <w:shd w:fill="F4F7FA"/>
          </w:tcPr>
          <w:p>
            <w:pPr>
              <w:jc w:val="left"/>
            </w:pPr>
            <w:r>
              <w:rPr>
                <w:rFonts w:ascii="DejaVu Serif" w:hAnsi="DejaVu Serif" w:eastAsia="DejaVu Serif"/>
                <w:b w:val="0"/>
                <w:i w:val="0"/>
                <w:sz w:val="16"/>
              </w:rPr>
              <w:t>controls formulas, boundaries, and abstract PO-11/PO-12 closure</w:t>
            </w:r>
          </w:p>
        </w:tc>
      </w:tr>
      <w:tr>
        <w:tc>
          <w:tcPr>
            <w:tcW w:type="dxa" w:w="2268"/>
            <w:tcMar>
              <w:top w:w="90" w:type="dxa"/>
              <w:start w:w="110" w:type="dxa"/>
              <w:bottom w:w="90" w:type="dxa"/>
              <w:end w:w="110" w:type="dxa"/>
            </w:tcMar>
            <w:vAlign w:val="center"/>
          </w:tcPr>
          <w:p>
            <w:pPr>
              <w:jc w:val="center"/>
            </w:pPr>
            <w:r>
              <w:rPr>
                <w:rFonts w:ascii="DejaVu Serif" w:hAnsi="DejaVu Serif" w:eastAsia="DejaVu Serif"/>
                <w:b w:val="0"/>
                <w:i w:val="0"/>
                <w:sz w:val="16"/>
              </w:rPr>
              <w:t>verification protocol</w:t>
            </w:r>
          </w:p>
        </w:tc>
        <w:tc>
          <w:tcPr>
            <w:tcW w:type="dxa" w:w="2948"/>
            <w:tcMar>
              <w:top w:w="90" w:type="dxa"/>
              <w:start w:w="110" w:type="dxa"/>
              <w:bottom w:w="90" w:type="dxa"/>
              <w:end w:w="110" w:type="dxa"/>
            </w:tcMar>
            <w:vAlign w:val="center"/>
          </w:tcPr>
          <w:p>
            <w:pPr>
              <w:jc w:val="left"/>
            </w:pPr>
            <w:r>
              <w:rPr>
                <w:rFonts w:ascii="DejaVu Serif" w:hAnsi="DejaVu Serif" w:eastAsia="DejaVu Serif"/>
                <w:b w:val="0"/>
                <w:i w:val="0"/>
                <w:sz w:val="16"/>
              </w:rPr>
              <w:t>methodological operationalization</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6"/>
              </w:rPr>
              <w:t>defines H0, observables, systematics, falsifiers; not data</w:t>
            </w:r>
          </w:p>
        </w:tc>
      </w:tr>
      <w:tr>
        <w:tc>
          <w:tcPr>
            <w:tcW w:type="dxa" w:w="2268"/>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F-1-F-14 atlas</w:t>
            </w:r>
          </w:p>
        </w:tc>
        <w:tc>
          <w:tcPr>
            <w:tcW w:type="dxa" w:w="2948"/>
            <w:tcMar>
              <w:top w:w="90" w:type="dxa"/>
              <w:start w:w="110" w:type="dxa"/>
              <w:bottom w:w="90" w:type="dxa"/>
              <w:end w:w="110" w:type="dxa"/>
            </w:tcMar>
            <w:vAlign w:val="center"/>
            <w:shd w:fill="F4F7FA"/>
          </w:tcPr>
          <w:p>
            <w:pPr>
              <w:jc w:val="left"/>
            </w:pPr>
            <w:r>
              <w:rPr>
                <w:rFonts w:ascii="DejaVu Serif" w:hAnsi="DejaVu Serif" w:eastAsia="DejaVu Serif"/>
                <w:b w:val="0"/>
                <w:i w:val="0"/>
                <w:sz w:val="16"/>
              </w:rPr>
              <w:t>visual testability map</w:t>
            </w:r>
          </w:p>
        </w:tc>
        <w:tc>
          <w:tcPr>
            <w:tcW w:type="dxa" w:w="3969"/>
            <w:tcMar>
              <w:top w:w="90" w:type="dxa"/>
              <w:start w:w="110" w:type="dxa"/>
              <w:bottom w:w="90" w:type="dxa"/>
              <w:end w:w="110" w:type="dxa"/>
            </w:tcMar>
            <w:vAlign w:val="center"/>
            <w:shd w:fill="F4F7FA"/>
          </w:tcPr>
          <w:p>
            <w:pPr>
              <w:jc w:val="left"/>
            </w:pPr>
            <w:r>
              <w:rPr>
                <w:rFonts w:ascii="DejaVu Serif" w:hAnsi="DejaVu Serif" w:eastAsia="DejaVu Serif"/>
                <w:b w:val="0"/>
                <w:i w:val="0"/>
                <w:sz w:val="16"/>
              </w:rPr>
              <w:t>R1 protocol concept; no E-status promotion</w:t>
            </w:r>
          </w:p>
        </w:tc>
      </w:tr>
      <w:tr>
        <w:tc>
          <w:tcPr>
            <w:tcW w:type="dxa" w:w="2268"/>
            <w:tcMar>
              <w:top w:w="90" w:type="dxa"/>
              <w:start w:w="110" w:type="dxa"/>
              <w:bottom w:w="90" w:type="dxa"/>
              <w:end w:w="110" w:type="dxa"/>
            </w:tcMar>
            <w:vAlign w:val="center"/>
          </w:tcPr>
          <w:p>
            <w:pPr>
              <w:jc w:val="center"/>
            </w:pPr>
            <w:r>
              <w:rPr>
                <w:rFonts w:ascii="DejaVu Serif" w:hAnsi="DejaVu Serif" w:eastAsia="DejaVu Serif"/>
                <w:b w:val="0"/>
                <w:i w:val="0"/>
                <w:sz w:val="16"/>
              </w:rPr>
              <w:t>Appendix G</w:t>
            </w:r>
          </w:p>
        </w:tc>
        <w:tc>
          <w:tcPr>
            <w:tcW w:type="dxa" w:w="2948"/>
            <w:tcMar>
              <w:top w:w="90" w:type="dxa"/>
              <w:start w:w="110" w:type="dxa"/>
              <w:bottom w:w="90" w:type="dxa"/>
              <w:end w:w="110" w:type="dxa"/>
            </w:tcMar>
            <w:vAlign w:val="center"/>
          </w:tcPr>
          <w:p>
            <w:pPr>
              <w:jc w:val="left"/>
            </w:pPr>
            <w:r>
              <w:rPr>
                <w:rFonts w:ascii="DejaVu Serif" w:hAnsi="DejaVu Serif" w:eastAsia="DejaVu Serif"/>
                <w:b w:val="0"/>
                <w:i w:val="0"/>
                <w:sz w:val="16"/>
              </w:rPr>
              <w:t>synchronization layer</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6"/>
              </w:rPr>
              <w:t>resolves wording, priority, status codes, references, notation</w:t>
            </w:r>
          </w:p>
        </w:tc>
      </w:tr>
    </w:tbl>
    <w:p>
      <w:pPr>
        <w:spacing w:after="40"/>
      </w:pPr>
    </w:p>
    <w:p>
      <w:pPr>
        <w:spacing w:after="80" w:line="269" w:lineRule="auto"/>
        <w:jc w:val="both"/>
      </w:pPr>
      <w:r>
        <w:rPr>
          <w:rFonts w:ascii="DejaVu Serif" w:hAnsi="DejaVu Serif" w:eastAsia="DejaVu Serif"/>
          <w:b w:val="0"/>
          <w:i w:val="0"/>
        </w:rPr>
        <w:t>The historical label Full PN.2 Text v1.1 in section 21.7 is read as provenance. Full Canonical PN.2 Text v1.0 in section 27.2 is the controlling source after PO-11 and PO-12 closure.</w:t>
      </w:r>
    </w:p>
    <w:p>
      <w:pPr>
        <w:pStyle w:val="Heading2"/>
        <w:keepNext/>
      </w:pPr>
      <w:r>
        <w:t>G.2. Canonical Formulations F-1-F-14</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680"/>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ID</w:t>
            </w:r>
          </w:p>
        </w:tc>
        <w:tc>
          <w:tcPr>
            <w:tcW w:type="dxa" w:w="209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Canonical title</w:t>
            </w:r>
          </w:p>
        </w:tc>
        <w:tc>
          <w:tcPr>
            <w:tcW w:type="dxa" w:w="6406"/>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Exact controlled English formulation</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5"/>
              </w:rPr>
              <w:t>F-1</w:t>
            </w:r>
          </w:p>
        </w:tc>
        <w:tc>
          <w:tcPr>
            <w:tcW w:type="dxa" w:w="2098"/>
            <w:tcMar>
              <w:top w:w="90" w:type="dxa"/>
              <w:start w:w="110" w:type="dxa"/>
              <w:bottom w:w="90" w:type="dxa"/>
              <w:end w:w="110" w:type="dxa"/>
            </w:tcMar>
            <w:vAlign w:val="center"/>
          </w:tcPr>
          <w:p>
            <w:pPr>
              <w:jc w:val="left"/>
            </w:pPr>
            <w:r>
              <w:rPr>
                <w:rFonts w:ascii="DejaVu Serif" w:hAnsi="DejaVu Serif" w:eastAsia="DejaVu Serif"/>
                <w:b w:val="0"/>
                <w:i w:val="0"/>
                <w:sz w:val="15"/>
              </w:rPr>
              <w:t>Ontology of time</w:t>
            </w:r>
          </w:p>
        </w:tc>
        <w:tc>
          <w:tcPr>
            <w:tcW w:type="dxa" w:w="6406"/>
            <w:tcMar>
              <w:top w:w="90" w:type="dxa"/>
              <w:start w:w="110" w:type="dxa"/>
              <w:bottom w:w="90" w:type="dxa"/>
              <w:end w:w="110" w:type="dxa"/>
            </w:tcMar>
            <w:vAlign w:val="center"/>
          </w:tcPr>
          <w:p>
            <w:pPr>
              <w:jc w:val="left"/>
            </w:pPr>
            <w:r>
              <w:rPr>
                <w:rFonts w:ascii="DejaVu Serif" w:hAnsi="DejaVu Serif" w:eastAsia="DejaVu Serif"/>
                <w:b w:val="0"/>
                <w:i w:val="0"/>
                <w:sz w:val="15"/>
              </w:rPr>
              <w:t>R-star-R is a physical algebra of time, not only a mathematical model.</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F-2</w:t>
            </w:r>
          </w:p>
        </w:tc>
        <w:tc>
          <w:tcPr>
            <w:tcW w:type="dxa" w:w="2098"/>
            <w:tcMar>
              <w:top w:w="90" w:type="dxa"/>
              <w:start w:w="110" w:type="dxa"/>
              <w:bottom w:w="90" w:type="dxa"/>
              <w:end w:w="110" w:type="dxa"/>
            </w:tcMar>
            <w:vAlign w:val="center"/>
            <w:shd w:fill="F4F7FA"/>
          </w:tcPr>
          <w:p>
            <w:pPr>
              <w:jc w:val="left"/>
            </w:pPr>
            <w:r>
              <w:rPr>
                <w:rFonts w:ascii="DejaVu Serif" w:hAnsi="DejaVu Serif" w:eastAsia="DejaVu Serif"/>
                <w:b w:val="0"/>
                <w:i w:val="0"/>
                <w:sz w:val="15"/>
              </w:rPr>
              <w:t>Fundamentality</w:t>
            </w:r>
          </w:p>
        </w:tc>
        <w:tc>
          <w:tcPr>
            <w:tcW w:type="dxa" w:w="6406"/>
            <w:tcMar>
              <w:top w:w="90" w:type="dxa"/>
              <w:start w:w="110" w:type="dxa"/>
              <w:bottom w:w="90" w:type="dxa"/>
              <w:end w:w="110" w:type="dxa"/>
            </w:tcMar>
            <w:vAlign w:val="center"/>
            <w:shd w:fill="F4F7FA"/>
          </w:tcPr>
          <w:p>
            <w:pPr>
              <w:jc w:val="left"/>
            </w:pPr>
            <w:r>
              <w:rPr>
                <w:rFonts w:ascii="DejaVu Serif" w:hAnsi="DejaVu Serif" w:eastAsia="DejaVu Serif"/>
                <w:b w:val="0"/>
                <w:i w:val="0"/>
                <w:sz w:val="15"/>
              </w:rPr>
              <w:t>PN.2 is more fundamental than Robertson-Heisenberg uncertainty or noise-disturbance principles.</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5"/>
              </w:rPr>
              <w:t>F-3</w:t>
            </w:r>
          </w:p>
        </w:tc>
        <w:tc>
          <w:tcPr>
            <w:tcW w:type="dxa" w:w="2098"/>
            <w:tcMar>
              <w:top w:w="90" w:type="dxa"/>
              <w:start w:w="110" w:type="dxa"/>
              <w:bottom w:w="90" w:type="dxa"/>
              <w:end w:w="110" w:type="dxa"/>
            </w:tcMar>
            <w:vAlign w:val="center"/>
          </w:tcPr>
          <w:p>
            <w:pPr>
              <w:jc w:val="left"/>
            </w:pPr>
            <w:r>
              <w:rPr>
                <w:rFonts w:ascii="DejaVu Serif" w:hAnsi="DejaVu Serif" w:eastAsia="DejaVu Serif"/>
                <w:b w:val="0"/>
                <w:i w:val="0"/>
                <w:sz w:val="15"/>
              </w:rPr>
              <w:t>PN.2 implies PN.1</w:t>
            </w:r>
          </w:p>
        </w:tc>
        <w:tc>
          <w:tcPr>
            <w:tcW w:type="dxa" w:w="6406"/>
            <w:tcMar>
              <w:top w:w="90" w:type="dxa"/>
              <w:start w:w="110" w:type="dxa"/>
              <w:bottom w:w="90" w:type="dxa"/>
              <w:end w:w="110" w:type="dxa"/>
            </w:tcMar>
            <w:vAlign w:val="center"/>
          </w:tcPr>
          <w:p>
            <w:pPr>
              <w:jc w:val="left"/>
            </w:pPr>
            <w:r>
              <w:rPr>
                <w:rFonts w:ascii="DejaVu Serif" w:hAnsi="DejaVu Serif" w:eastAsia="DejaVu Serif"/>
                <w:b w:val="0"/>
                <w:i w:val="0"/>
                <w:sz w:val="15"/>
              </w:rPr>
              <w:t>Quantum uncertainty is derived from the associator through a representation rho.</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F-4</w:t>
            </w:r>
          </w:p>
        </w:tc>
        <w:tc>
          <w:tcPr>
            <w:tcW w:type="dxa" w:w="2098"/>
            <w:tcMar>
              <w:top w:w="90" w:type="dxa"/>
              <w:start w:w="110" w:type="dxa"/>
              <w:bottom w:w="90" w:type="dxa"/>
              <w:end w:w="110" w:type="dxa"/>
            </w:tcMar>
            <w:vAlign w:val="center"/>
            <w:shd w:fill="F4F7FA"/>
          </w:tcPr>
          <w:p>
            <w:pPr>
              <w:jc w:val="left"/>
            </w:pPr>
            <w:r>
              <w:rPr>
                <w:rFonts w:ascii="DejaVu Serif" w:hAnsi="DejaVu Serif" w:eastAsia="DejaVu Serif"/>
                <w:b w:val="0"/>
                <w:i w:val="0"/>
                <w:sz w:val="15"/>
              </w:rPr>
              <w:t>hbar calibration</w:t>
            </w:r>
          </w:p>
        </w:tc>
        <w:tc>
          <w:tcPr>
            <w:tcW w:type="dxa" w:w="6406"/>
            <w:tcMar>
              <w:top w:w="90" w:type="dxa"/>
              <w:start w:w="110" w:type="dxa"/>
              <w:bottom w:w="90" w:type="dxa"/>
              <w:end w:w="110" w:type="dxa"/>
            </w:tcMar>
            <w:vAlign w:val="center"/>
            <w:shd w:fill="F4F7FA"/>
          </w:tcPr>
          <w:p>
            <w:pPr>
              <w:jc w:val="left"/>
            </w:pPr>
            <w:r>
              <w:rPr>
                <w:rFonts w:ascii="DejaVu Serif" w:hAnsi="DejaVu Serif" w:eastAsia="DejaVu Serif"/>
                <w:b w:val="0"/>
                <w:i w:val="0"/>
                <w:sz w:val="15"/>
              </w:rPr>
              <w:t>A physically justified regime ||K|| approximately hbar exists with correct units and coefficient.</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5"/>
              </w:rPr>
              <w:t>F-5</w:t>
            </w:r>
          </w:p>
        </w:tc>
        <w:tc>
          <w:tcPr>
            <w:tcW w:type="dxa" w:w="2098"/>
            <w:tcMar>
              <w:top w:w="90" w:type="dxa"/>
              <w:start w:w="110" w:type="dxa"/>
              <w:bottom w:w="90" w:type="dxa"/>
              <w:end w:w="110" w:type="dxa"/>
            </w:tcMar>
            <w:vAlign w:val="center"/>
          </w:tcPr>
          <w:p>
            <w:pPr>
              <w:jc w:val="left"/>
            </w:pPr>
            <w:r>
              <w:rPr>
                <w:rFonts w:ascii="DejaVu Serif" w:hAnsi="DejaVu Serif" w:eastAsia="DejaVu Serif"/>
                <w:b w:val="0"/>
                <w:i w:val="0"/>
                <w:sz w:val="15"/>
              </w:rPr>
              <w:t>Induced commutator</w:t>
            </w:r>
          </w:p>
        </w:tc>
        <w:tc>
          <w:tcPr>
            <w:tcW w:type="dxa" w:w="6406"/>
            <w:tcMar>
              <w:top w:w="90" w:type="dxa"/>
              <w:start w:w="110" w:type="dxa"/>
              <w:bottom w:w="90" w:type="dxa"/>
              <w:end w:w="110" w:type="dxa"/>
            </w:tcMar>
            <w:vAlign w:val="center"/>
          </w:tcPr>
          <w:p>
            <w:pPr>
              <w:jc w:val="left"/>
            </w:pPr>
            <w:r>
              <w:rPr>
                <w:rFonts w:ascii="DejaVu Serif" w:hAnsi="DejaVu Serif" w:eastAsia="DejaVu Serif"/>
                <w:b w:val="0"/>
                <w:i w:val="0"/>
                <w:sz w:val="15"/>
              </w:rPr>
              <w:t>[x,y]z:=K(x,y,z) defines an admissible operator commutator after representation; bilinearity, antisymmetry, Jacobi or a replacement, and domains must be checked.</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F-6</w:t>
            </w:r>
          </w:p>
        </w:tc>
        <w:tc>
          <w:tcPr>
            <w:tcW w:type="dxa" w:w="2098"/>
            <w:tcMar>
              <w:top w:w="90" w:type="dxa"/>
              <w:start w:w="110" w:type="dxa"/>
              <w:bottom w:w="90" w:type="dxa"/>
              <w:end w:w="110" w:type="dxa"/>
            </w:tcMar>
            <w:vAlign w:val="center"/>
            <w:shd w:fill="F4F7FA"/>
          </w:tcPr>
          <w:p>
            <w:pPr>
              <w:jc w:val="left"/>
            </w:pPr>
            <w:r>
              <w:rPr>
                <w:rFonts w:ascii="DejaVu Serif" w:hAnsi="DejaVu Serif" w:eastAsia="DejaVu Serif"/>
                <w:b w:val="0"/>
                <w:i w:val="0"/>
                <w:sz w:val="15"/>
              </w:rPr>
              <w:t>Seven-component time</w:t>
            </w:r>
          </w:p>
        </w:tc>
        <w:tc>
          <w:tcPr>
            <w:tcW w:type="dxa" w:w="6406"/>
            <w:tcMar>
              <w:top w:w="90" w:type="dxa"/>
              <w:start w:w="110" w:type="dxa"/>
              <w:bottom w:w="90" w:type="dxa"/>
              <w:end w:w="110" w:type="dxa"/>
            </w:tcMar>
            <w:vAlign w:val="center"/>
            <w:shd w:fill="F4F7FA"/>
          </w:tcPr>
          <w:p>
            <w:pPr>
              <w:jc w:val="left"/>
            </w:pPr>
            <w:r>
              <w:rPr>
                <w:rFonts w:ascii="DejaVu Serif" w:hAnsi="DejaVu Serif" w:eastAsia="DejaVu Serif"/>
                <w:b w:val="0"/>
                <w:i w:val="0"/>
                <w:sz w:val="15"/>
              </w:rPr>
              <w:t>Seven R-star-R objects form an internal multicomponent structure of time.</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5"/>
              </w:rPr>
              <w:t>F-7</w:t>
            </w:r>
          </w:p>
        </w:tc>
        <w:tc>
          <w:tcPr>
            <w:tcW w:type="dxa" w:w="2098"/>
            <w:tcMar>
              <w:top w:w="90" w:type="dxa"/>
              <w:start w:w="110" w:type="dxa"/>
              <w:bottom w:w="90" w:type="dxa"/>
              <w:end w:w="110" w:type="dxa"/>
            </w:tcMar>
            <w:vAlign w:val="center"/>
          </w:tcPr>
          <w:p>
            <w:pPr>
              <w:jc w:val="left"/>
            </w:pPr>
            <w:r>
              <w:rPr>
                <w:rFonts w:ascii="DejaVu Serif" w:hAnsi="DejaVu Serif" w:eastAsia="DejaVu Serif"/>
                <w:b w:val="0"/>
                <w:i w:val="0"/>
                <w:sz w:val="15"/>
              </w:rPr>
              <w:t>FOS and Time*Space</w:t>
            </w:r>
          </w:p>
        </w:tc>
        <w:tc>
          <w:tcPr>
            <w:tcW w:type="dxa" w:w="6406"/>
            <w:tcMar>
              <w:top w:w="90" w:type="dxa"/>
              <w:start w:w="110" w:type="dxa"/>
              <w:bottom w:w="90" w:type="dxa"/>
              <w:end w:w="110" w:type="dxa"/>
            </w:tcMar>
            <w:vAlign w:val="center"/>
          </w:tcPr>
          <w:p>
            <w:pPr>
              <w:jc w:val="left"/>
            </w:pPr>
            <w:r>
              <w:rPr>
                <w:rFonts w:ascii="DejaVu Serif" w:hAnsi="DejaVu Serif" w:eastAsia="DejaVu Serif"/>
                <w:b w:val="0"/>
                <w:i w:val="0"/>
                <w:sz w:val="15"/>
              </w:rPr>
              <w:t>FOS and Time*Space have an observable physical realization; space is a layered projection and Minkowski-Einstein spacetime is a section.</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F-8</w:t>
            </w:r>
          </w:p>
        </w:tc>
        <w:tc>
          <w:tcPr>
            <w:tcW w:type="dxa" w:w="2098"/>
            <w:tcMar>
              <w:top w:w="90" w:type="dxa"/>
              <w:start w:w="110" w:type="dxa"/>
              <w:bottom w:w="90" w:type="dxa"/>
              <w:end w:w="110" w:type="dxa"/>
            </w:tcMar>
            <w:vAlign w:val="center"/>
            <w:shd w:fill="F4F7FA"/>
          </w:tcPr>
          <w:p>
            <w:pPr>
              <w:jc w:val="left"/>
            </w:pPr>
            <w:r>
              <w:rPr>
                <w:rFonts w:ascii="DejaVu Serif" w:hAnsi="DejaVu Serif" w:eastAsia="DejaVu Serif"/>
                <w:b w:val="0"/>
                <w:i w:val="0"/>
                <w:sz w:val="15"/>
              </w:rPr>
              <w:t>Time-flow operator</w:t>
            </w:r>
          </w:p>
        </w:tc>
        <w:tc>
          <w:tcPr>
            <w:tcW w:type="dxa" w:w="6406"/>
            <w:tcMar>
              <w:top w:w="90" w:type="dxa"/>
              <w:start w:w="110" w:type="dxa"/>
              <w:bottom w:w="90" w:type="dxa"/>
              <w:end w:w="110" w:type="dxa"/>
            </w:tcMar>
            <w:vAlign w:val="center"/>
            <w:shd w:fill="F4F7FA"/>
          </w:tcPr>
          <w:p>
            <w:pPr>
              <w:jc w:val="left"/>
            </w:pPr>
            <w:r>
              <w:rPr>
                <w:rFonts w:ascii="DejaVu Serif" w:hAnsi="DejaVu Serif" w:eastAsia="DejaVu Serif"/>
                <w:b w:val="0"/>
                <w:i w:val="0"/>
                <w:sz w:val="15"/>
              </w:rPr>
              <w:t>The hierarchy A&gt;Hpx&gt;R3&gt;R2&gt;R1&gt;{i hbar,iH}, T=sum pi_(i+1-&gt;i), and dR/dtau=T(R) describe physical time flow.</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5"/>
              </w:rPr>
              <w:t>F-9</w:t>
            </w:r>
          </w:p>
        </w:tc>
        <w:tc>
          <w:tcPr>
            <w:tcW w:type="dxa" w:w="2098"/>
            <w:tcMar>
              <w:top w:w="90" w:type="dxa"/>
              <w:start w:w="110" w:type="dxa"/>
              <w:bottom w:w="90" w:type="dxa"/>
              <w:end w:w="110" w:type="dxa"/>
            </w:tcMar>
            <w:vAlign w:val="center"/>
          </w:tcPr>
          <w:p>
            <w:pPr>
              <w:jc w:val="left"/>
            </w:pPr>
            <w:r>
              <w:rPr>
                <w:rFonts w:ascii="DejaVu Serif" w:hAnsi="DejaVu Serif" w:eastAsia="DejaVu Serif"/>
                <w:b w:val="0"/>
                <w:i w:val="0"/>
                <w:sz w:val="15"/>
              </w:rPr>
              <w:t>Complexity monotonicity</w:t>
            </w:r>
          </w:p>
        </w:tc>
        <w:tc>
          <w:tcPr>
            <w:tcW w:type="dxa" w:w="6406"/>
            <w:tcMar>
              <w:top w:w="90" w:type="dxa"/>
              <w:start w:w="110" w:type="dxa"/>
              <w:bottom w:w="90" w:type="dxa"/>
              <w:end w:w="110" w:type="dxa"/>
            </w:tcMar>
            <w:vAlign w:val="center"/>
          </w:tcPr>
          <w:p>
            <w:pPr>
              <w:jc w:val="left"/>
            </w:pPr>
            <w:r>
              <w:rPr>
                <w:rFonts w:ascii="DejaVu Serif" w:hAnsi="DejaVu Serif" w:eastAsia="DejaVu Serif"/>
                <w:b w:val="0"/>
                <w:i w:val="0"/>
                <w:sz w:val="15"/>
              </w:rPr>
              <w:t>For a physically defined C(R)=sum w_i Dim_i(R), dC/dtau&gt;=0.</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F-10</w:t>
            </w:r>
          </w:p>
        </w:tc>
        <w:tc>
          <w:tcPr>
            <w:tcW w:type="dxa" w:w="2098"/>
            <w:tcMar>
              <w:top w:w="90" w:type="dxa"/>
              <w:start w:w="110" w:type="dxa"/>
              <w:bottom w:w="90" w:type="dxa"/>
              <w:end w:w="110" w:type="dxa"/>
            </w:tcMar>
            <w:vAlign w:val="center"/>
            <w:shd w:fill="F4F7FA"/>
          </w:tcPr>
          <w:p>
            <w:pPr>
              <w:jc w:val="left"/>
            </w:pPr>
            <w:r>
              <w:rPr>
                <w:rFonts w:ascii="DejaVu Serif" w:hAnsi="DejaVu Serif" w:eastAsia="DejaVu Serif"/>
                <w:b w:val="0"/>
                <w:i w:val="0"/>
                <w:sz w:val="15"/>
              </w:rPr>
              <w:t>Associator dynamics</w:t>
            </w:r>
          </w:p>
        </w:tc>
        <w:tc>
          <w:tcPr>
            <w:tcW w:type="dxa" w:w="6406"/>
            <w:tcMar>
              <w:top w:w="90" w:type="dxa"/>
              <w:start w:w="110" w:type="dxa"/>
              <w:bottom w:w="90" w:type="dxa"/>
              <w:end w:w="110" w:type="dxa"/>
            </w:tcMar>
            <w:vAlign w:val="center"/>
            <w:shd w:fill="F4F7FA"/>
          </w:tcPr>
          <w:p>
            <w:pPr>
              <w:jc w:val="left"/>
            </w:pPr>
            <w:r>
              <w:rPr>
                <w:rFonts w:ascii="DejaVu Serif" w:hAnsi="DejaVu Serif" w:eastAsia="DejaVu Serif"/>
                <w:b w:val="0"/>
                <w:i w:val="0"/>
                <w:sz w:val="15"/>
              </w:rPr>
              <w:t>nabla_T K=J_T is a correct covariant field equation with defined sources, dimensions, and variational principle.</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5"/>
              </w:rPr>
              <w:t>F-11</w:t>
            </w:r>
          </w:p>
        </w:tc>
        <w:tc>
          <w:tcPr>
            <w:tcW w:type="dxa" w:w="2098"/>
            <w:tcMar>
              <w:top w:w="90" w:type="dxa"/>
              <w:start w:w="110" w:type="dxa"/>
              <w:bottom w:w="90" w:type="dxa"/>
              <w:end w:w="110" w:type="dxa"/>
            </w:tcMar>
            <w:vAlign w:val="center"/>
          </w:tcPr>
          <w:p>
            <w:pPr>
              <w:jc w:val="left"/>
            </w:pPr>
            <w:r>
              <w:rPr>
                <w:rFonts w:ascii="DejaVu Serif" w:hAnsi="DejaVu Serif" w:eastAsia="DejaVu Serif"/>
                <w:b w:val="0"/>
                <w:i w:val="0"/>
                <w:sz w:val="15"/>
              </w:rPr>
              <w:t>Early Universe</w:t>
            </w:r>
          </w:p>
        </w:tc>
        <w:tc>
          <w:tcPr>
            <w:tcW w:type="dxa" w:w="6406"/>
            <w:tcMar>
              <w:top w:w="90" w:type="dxa"/>
              <w:start w:w="110" w:type="dxa"/>
              <w:bottom w:w="90" w:type="dxa"/>
              <w:end w:w="110" w:type="dxa"/>
            </w:tcMar>
            <w:vAlign w:val="center"/>
          </w:tcPr>
          <w:p>
            <w:pPr>
              <w:jc w:val="left"/>
            </w:pPr>
            <w:r>
              <w:rPr>
                <w:rFonts w:ascii="DejaVu Serif" w:hAnsi="DejaVu Serif" w:eastAsia="DejaVu Serif"/>
                <w:b w:val="0"/>
                <w:i w:val="0"/>
                <w:sz w:val="15"/>
              </w:rPr>
              <w:t>Dynamics of K imply maximal initial coherence or another observable cosmological regime.</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F-12</w:t>
            </w:r>
          </w:p>
        </w:tc>
        <w:tc>
          <w:tcPr>
            <w:tcW w:type="dxa" w:w="2098"/>
            <w:tcMar>
              <w:top w:w="90" w:type="dxa"/>
              <w:start w:w="110" w:type="dxa"/>
              <w:bottom w:w="90" w:type="dxa"/>
              <w:end w:w="110" w:type="dxa"/>
            </w:tcMar>
            <w:vAlign w:val="center"/>
            <w:shd w:fill="F4F7FA"/>
          </w:tcPr>
          <w:p>
            <w:pPr>
              <w:jc w:val="left"/>
            </w:pPr>
            <w:r>
              <w:rPr>
                <w:rFonts w:ascii="DejaVu Serif" w:hAnsi="DejaVu Serif" w:eastAsia="DejaVu Serif"/>
                <w:b w:val="0"/>
                <w:i w:val="0"/>
                <w:sz w:val="15"/>
              </w:rPr>
              <w:t>Localization in matter</w:t>
            </w:r>
          </w:p>
        </w:tc>
        <w:tc>
          <w:tcPr>
            <w:tcW w:type="dxa" w:w="6406"/>
            <w:tcMar>
              <w:top w:w="90" w:type="dxa"/>
              <w:start w:w="110" w:type="dxa"/>
              <w:bottom w:w="90" w:type="dxa"/>
              <w:end w:w="110" w:type="dxa"/>
            </w:tcMar>
            <w:vAlign w:val="center"/>
            <w:shd w:fill="F4F7FA"/>
          </w:tcPr>
          <w:p>
            <w:pPr>
              <w:jc w:val="left"/>
            </w:pPr>
            <w:r>
              <w:rPr>
                <w:rFonts w:ascii="DejaVu Serif" w:hAnsi="DejaVu Serif" w:eastAsia="DejaVu Serif"/>
                <w:b w:val="0"/>
                <w:i w:val="0"/>
                <w:sz w:val="15"/>
              </w:rPr>
              <w:t>The associator physically localizes in matter and produces measurable effects.</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5"/>
              </w:rPr>
              <w:t>F-13</w:t>
            </w:r>
          </w:p>
        </w:tc>
        <w:tc>
          <w:tcPr>
            <w:tcW w:type="dxa" w:w="2098"/>
            <w:tcMar>
              <w:top w:w="90" w:type="dxa"/>
              <w:start w:w="110" w:type="dxa"/>
              <w:bottom w:w="90" w:type="dxa"/>
              <w:end w:w="110" w:type="dxa"/>
            </w:tcMar>
            <w:vAlign w:val="center"/>
          </w:tcPr>
          <w:p>
            <w:pPr>
              <w:jc w:val="left"/>
            </w:pPr>
            <w:r>
              <w:rPr>
                <w:rFonts w:ascii="DejaVu Serif" w:hAnsi="DejaVu Serif" w:eastAsia="DejaVu Serif"/>
                <w:b w:val="0"/>
                <w:i w:val="0"/>
                <w:sz w:val="15"/>
              </w:rPr>
              <w:t>Finite observer branch</w:t>
            </w:r>
          </w:p>
        </w:tc>
        <w:tc>
          <w:tcPr>
            <w:tcW w:type="dxa" w:w="6406"/>
            <w:tcMar>
              <w:top w:w="90" w:type="dxa"/>
              <w:start w:w="110" w:type="dxa"/>
              <w:bottom w:w="90" w:type="dxa"/>
              <w:end w:w="110" w:type="dxa"/>
            </w:tcMar>
            <w:vAlign w:val="center"/>
          </w:tcPr>
          <w:p>
            <w:pPr>
              <w:jc w:val="left"/>
            </w:pPr>
            <w:r>
              <w:rPr>
                <w:rFonts w:ascii="DejaVu Serif" w:hAnsi="DejaVu Serif" w:eastAsia="DejaVu Serif"/>
                <w:b w:val="0"/>
                <w:i w:val="0"/>
                <w:sz w:val="15"/>
              </w:rPr>
              <w:t>The structural nesting accessible to an observer is physically finite.</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F-14</w:t>
            </w:r>
          </w:p>
        </w:tc>
        <w:tc>
          <w:tcPr>
            <w:tcW w:type="dxa" w:w="2098"/>
            <w:tcMar>
              <w:top w:w="90" w:type="dxa"/>
              <w:start w:w="110" w:type="dxa"/>
              <w:bottom w:w="90" w:type="dxa"/>
              <w:end w:w="110" w:type="dxa"/>
            </w:tcMar>
            <w:vAlign w:val="center"/>
            <w:shd w:fill="F4F7FA"/>
          </w:tcPr>
          <w:p>
            <w:pPr>
              <w:jc w:val="left"/>
            </w:pPr>
            <w:r>
              <w:rPr>
                <w:rFonts w:ascii="DejaVu Serif" w:hAnsi="DejaVu Serif" w:eastAsia="DejaVu Serif"/>
                <w:b w:val="0"/>
                <w:i w:val="0"/>
                <w:sz w:val="15"/>
              </w:rPr>
              <w:t>Gravity and cosmology</w:t>
            </w:r>
          </w:p>
        </w:tc>
        <w:tc>
          <w:tcPr>
            <w:tcW w:type="dxa" w:w="6406"/>
            <w:tcMar>
              <w:top w:w="90" w:type="dxa"/>
              <w:start w:w="110" w:type="dxa"/>
              <w:bottom w:w="90" w:type="dxa"/>
              <w:end w:w="110" w:type="dxa"/>
            </w:tcMar>
            <w:vAlign w:val="center"/>
            <w:shd w:fill="F4F7FA"/>
          </w:tcPr>
          <w:p>
            <w:pPr>
              <w:jc w:val="left"/>
            </w:pPr>
            <w:r>
              <w:rPr>
                <w:rFonts w:ascii="DejaVu Serif" w:hAnsi="DejaVu Serif" w:eastAsia="DejaVu Serif"/>
                <w:b w:val="0"/>
                <w:i w:val="0"/>
                <w:sz w:val="15"/>
              </w:rPr>
              <w:t>PN.2 gives testable corrections to GR/quantum theory, or removes singularities, or explains the dark sector.</w:t>
            </w:r>
          </w:p>
        </w:tc>
      </w:tr>
    </w:tbl>
    <w:p>
      <w:pPr>
        <w:spacing w:after="40"/>
      </w:pPr>
    </w:p>
    <w:p>
      <w:pPr>
        <w:spacing w:after="80" w:line="269" w:lineRule="auto"/>
        <w:jc w:val="both"/>
      </w:pPr>
      <w:r>
        <w:rPr>
          <w:rFonts w:ascii="DejaVu Serif" w:hAnsi="DejaVu Serif" w:eastAsia="DejaVu Serif"/>
          <w:b w:val="0"/>
          <w:i w:val="0"/>
        </w:rPr>
        <w:t>F-14 uses logical OR, not cumulative AND. Its branches must be preregistered separately as F-14a, F-14b, and F-14c with distinct models and falsifiers.</w:t>
      </w:r>
    </w:p>
    <w:p>
      <w:pPr>
        <w:pStyle w:val="Heading2"/>
        <w:keepNext/>
      </w:pPr>
      <w:r>
        <w:t>G.3. Two-Coordinate Priority Scale</w:t>
      </w:r>
    </w:p>
    <w:tbl>
      <w:tblPr>
        <w:tblStyle w:val="TableGrid"/>
        <w:tblW w:type="auto" w:w="0"/>
        <w:jc w:val="center"/>
        <w:tblLook w:firstColumn="1" w:firstRow="1" w:lastColumn="0" w:lastRow="0" w:noHBand="0" w:noVBand="1" w:val="04A0"/>
      </w:tblPr>
      <w:tblGrid>
        <w:gridCol w:w="2517"/>
        <w:gridCol w:w="2517"/>
        <w:gridCol w:w="2517"/>
        <w:gridCol w:w="2517"/>
      </w:tblGrid>
      <w:tr>
        <w:trPr>
          <w:tblHeader w:val="true"/>
        </w:trPr>
        <w:tc>
          <w:tcPr>
            <w:tcW w:type="dxa" w:w="680"/>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ID</w:t>
            </w:r>
          </w:p>
        </w:tc>
        <w:tc>
          <w:tcPr>
            <w:tcW w:type="dxa" w:w="1020"/>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Ptest</w:t>
            </w:r>
          </w:p>
        </w:tc>
        <w:tc>
          <w:tcPr>
            <w:tcW w:type="dxa" w:w="1020"/>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Pclaim</w:t>
            </w:r>
          </w:p>
        </w:tc>
        <w:tc>
          <w:tcPr>
            <w:tcW w:type="dxa" w:w="6463"/>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Canonical decision</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5"/>
              </w:rPr>
              <w:t>F-1</w:t>
            </w:r>
          </w:p>
        </w:tc>
        <w:tc>
          <w:tcPr>
            <w:tcW w:type="dxa" w:w="1020"/>
            <w:tcMar>
              <w:top w:w="90" w:type="dxa"/>
              <w:start w:w="110" w:type="dxa"/>
              <w:bottom w:w="90" w:type="dxa"/>
              <w:end w:w="110" w:type="dxa"/>
            </w:tcMar>
            <w:vAlign w:val="center"/>
          </w:tcPr>
          <w:p>
            <w:pPr>
              <w:jc w:val="left"/>
            </w:pPr>
            <w:r>
              <w:rPr>
                <w:rFonts w:ascii="DejaVu Serif" w:hAnsi="DejaVu Serif" w:eastAsia="DejaVu Serif"/>
                <w:b w:val="0"/>
                <w:i w:val="0"/>
                <w:sz w:val="15"/>
              </w:rPr>
              <w:t>P1</w:t>
            </w:r>
          </w:p>
        </w:tc>
        <w:tc>
          <w:tcPr>
            <w:tcW w:type="dxa" w:w="1020"/>
            <w:tcMar>
              <w:top w:w="90" w:type="dxa"/>
              <w:start w:w="110" w:type="dxa"/>
              <w:bottom w:w="90" w:type="dxa"/>
              <w:end w:w="110" w:type="dxa"/>
            </w:tcMar>
            <w:vAlign w:val="center"/>
          </w:tcPr>
          <w:p>
            <w:pPr>
              <w:jc w:val="left"/>
            </w:pPr>
            <w:r>
              <w:rPr>
                <w:rFonts w:ascii="DejaVu Serif" w:hAnsi="DejaVu Serif" w:eastAsia="DejaVu Serif"/>
                <w:b w:val="0"/>
                <w:i w:val="0"/>
                <w:sz w:val="15"/>
              </w:rPr>
              <w:t>P4</w:t>
            </w:r>
          </w:p>
        </w:tc>
        <w:tc>
          <w:tcPr>
            <w:tcW w:type="dxa" w:w="6463"/>
            <w:tcMar>
              <w:top w:w="90" w:type="dxa"/>
              <w:start w:w="110" w:type="dxa"/>
              <w:bottom w:w="90" w:type="dxa"/>
              <w:end w:w="110" w:type="dxa"/>
            </w:tcMar>
            <w:vAlign w:val="center"/>
          </w:tcPr>
          <w:p>
            <w:pPr>
              <w:jc w:val="left"/>
            </w:pPr>
            <w:r>
              <w:rPr>
                <w:rFonts w:ascii="DejaVu Serif" w:hAnsi="DejaVu Serif" w:eastAsia="DejaVu Serif"/>
                <w:b w:val="0"/>
                <w:i w:val="0"/>
                <w:sz w:val="15"/>
              </w:rPr>
              <w:t>laboratory effective nonassociativity may precede ontology</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F-2</w:t>
            </w:r>
          </w:p>
        </w:tc>
        <w:tc>
          <w:tcPr>
            <w:tcW w:type="dxa" w:w="1020"/>
            <w:tcMar>
              <w:top w:w="90" w:type="dxa"/>
              <w:start w:w="110" w:type="dxa"/>
              <w:bottom w:w="90" w:type="dxa"/>
              <w:end w:w="110" w:type="dxa"/>
            </w:tcMar>
            <w:vAlign w:val="center"/>
            <w:shd w:fill="F4F7FA"/>
          </w:tcPr>
          <w:p>
            <w:pPr>
              <w:jc w:val="left"/>
            </w:pPr>
            <w:r>
              <w:rPr>
                <w:rFonts w:ascii="DejaVu Serif" w:hAnsi="DejaVu Serif" w:eastAsia="DejaVu Serif"/>
                <w:b w:val="0"/>
                <w:i w:val="0"/>
                <w:sz w:val="15"/>
              </w:rPr>
              <w:t>P0</w:t>
            </w:r>
          </w:p>
        </w:tc>
        <w:tc>
          <w:tcPr>
            <w:tcW w:type="dxa" w:w="1020"/>
            <w:tcMar>
              <w:top w:w="90" w:type="dxa"/>
              <w:start w:w="110" w:type="dxa"/>
              <w:bottom w:w="90" w:type="dxa"/>
              <w:end w:w="110" w:type="dxa"/>
            </w:tcMar>
            <w:vAlign w:val="center"/>
            <w:shd w:fill="F4F7FA"/>
          </w:tcPr>
          <w:p>
            <w:pPr>
              <w:jc w:val="left"/>
            </w:pPr>
            <w:r>
              <w:rPr>
                <w:rFonts w:ascii="DejaVu Serif" w:hAnsi="DejaVu Serif" w:eastAsia="DejaVu Serif"/>
                <w:b w:val="0"/>
                <w:i w:val="0"/>
                <w:sz w:val="15"/>
              </w:rPr>
              <w:t>P4</w:t>
            </w:r>
          </w:p>
        </w:tc>
        <w:tc>
          <w:tcPr>
            <w:tcW w:type="dxa" w:w="6463"/>
            <w:tcMar>
              <w:top w:w="90" w:type="dxa"/>
              <w:start w:w="110" w:type="dxa"/>
              <w:bottom w:w="90" w:type="dxa"/>
              <w:end w:w="110" w:type="dxa"/>
            </w:tcMar>
            <w:vAlign w:val="center"/>
            <w:shd w:fill="F4F7FA"/>
          </w:tcPr>
          <w:p>
            <w:pPr>
              <w:jc w:val="left"/>
            </w:pPr>
            <w:r>
              <w:rPr>
                <w:rFonts w:ascii="DejaVu Serif" w:hAnsi="DejaVu Serif" w:eastAsia="DejaVu Serif"/>
                <w:b w:val="0"/>
                <w:i w:val="0"/>
                <w:sz w:val="15"/>
              </w:rPr>
              <w:t>formal reduction and novel prediction first</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5"/>
              </w:rPr>
              <w:t>F-3</w:t>
            </w:r>
          </w:p>
        </w:tc>
        <w:tc>
          <w:tcPr>
            <w:tcW w:type="dxa" w:w="1020"/>
            <w:tcMar>
              <w:top w:w="90" w:type="dxa"/>
              <w:start w:w="110" w:type="dxa"/>
              <w:bottom w:w="90" w:type="dxa"/>
              <w:end w:w="110" w:type="dxa"/>
            </w:tcMar>
            <w:vAlign w:val="center"/>
          </w:tcPr>
          <w:p>
            <w:pPr>
              <w:jc w:val="left"/>
            </w:pPr>
            <w:r>
              <w:rPr>
                <w:rFonts w:ascii="DejaVu Serif" w:hAnsi="DejaVu Serif" w:eastAsia="DejaVu Serif"/>
                <w:b w:val="0"/>
                <w:i w:val="0"/>
                <w:sz w:val="15"/>
              </w:rPr>
              <w:t>P0</w:t>
            </w:r>
          </w:p>
        </w:tc>
        <w:tc>
          <w:tcPr>
            <w:tcW w:type="dxa" w:w="1020"/>
            <w:tcMar>
              <w:top w:w="90" w:type="dxa"/>
              <w:start w:w="110" w:type="dxa"/>
              <w:bottom w:w="90" w:type="dxa"/>
              <w:end w:w="110" w:type="dxa"/>
            </w:tcMar>
            <w:vAlign w:val="center"/>
          </w:tcPr>
          <w:p>
            <w:pPr>
              <w:jc w:val="left"/>
            </w:pPr>
            <w:r>
              <w:rPr>
                <w:rFonts w:ascii="DejaVu Serif" w:hAnsi="DejaVu Serif" w:eastAsia="DejaVu Serif"/>
                <w:b w:val="0"/>
                <w:i w:val="0"/>
                <w:sz w:val="15"/>
              </w:rPr>
              <w:t>P0</w:t>
            </w:r>
          </w:p>
        </w:tc>
        <w:tc>
          <w:tcPr>
            <w:tcW w:type="dxa" w:w="6463"/>
            <w:tcMar>
              <w:top w:w="90" w:type="dxa"/>
              <w:start w:w="110" w:type="dxa"/>
              <w:bottom w:w="90" w:type="dxa"/>
              <w:end w:w="110" w:type="dxa"/>
            </w:tcMar>
            <w:vAlign w:val="center"/>
          </w:tcPr>
          <w:p>
            <w:pPr>
              <w:jc w:val="left"/>
            </w:pPr>
            <w:r>
              <w:rPr>
                <w:rFonts w:ascii="DejaVu Serif" w:hAnsi="DejaVu Serif" w:eastAsia="DejaVu Serif"/>
                <w:b w:val="0"/>
                <w:i w:val="0"/>
                <w:sz w:val="15"/>
              </w:rPr>
              <w:t>strict operator bridge; physical implication remains open</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F-4</w:t>
            </w:r>
          </w:p>
        </w:tc>
        <w:tc>
          <w:tcPr>
            <w:tcW w:type="dxa" w:w="1020"/>
            <w:tcMar>
              <w:top w:w="90" w:type="dxa"/>
              <w:start w:w="110" w:type="dxa"/>
              <w:bottom w:w="90" w:type="dxa"/>
              <w:end w:w="110" w:type="dxa"/>
            </w:tcMar>
            <w:vAlign w:val="center"/>
            <w:shd w:fill="F4F7FA"/>
          </w:tcPr>
          <w:p>
            <w:pPr>
              <w:jc w:val="left"/>
            </w:pPr>
            <w:r>
              <w:rPr>
                <w:rFonts w:ascii="DejaVu Serif" w:hAnsi="DejaVu Serif" w:eastAsia="DejaVu Serif"/>
                <w:b w:val="0"/>
                <w:i w:val="0"/>
                <w:sz w:val="15"/>
              </w:rPr>
              <w:t>P0</w:t>
            </w:r>
          </w:p>
        </w:tc>
        <w:tc>
          <w:tcPr>
            <w:tcW w:type="dxa" w:w="1020"/>
            <w:tcMar>
              <w:top w:w="90" w:type="dxa"/>
              <w:start w:w="110" w:type="dxa"/>
              <w:bottom w:w="90" w:type="dxa"/>
              <w:end w:w="110" w:type="dxa"/>
            </w:tcMar>
            <w:vAlign w:val="center"/>
            <w:shd w:fill="F4F7FA"/>
          </w:tcPr>
          <w:p>
            <w:pPr>
              <w:jc w:val="left"/>
            </w:pPr>
            <w:r>
              <w:rPr>
                <w:rFonts w:ascii="DejaVu Serif" w:hAnsi="DejaVu Serif" w:eastAsia="DejaVu Serif"/>
                <w:b w:val="0"/>
                <w:i w:val="0"/>
                <w:sz w:val="15"/>
              </w:rPr>
              <w:t>P0</w:t>
            </w:r>
          </w:p>
        </w:tc>
        <w:tc>
          <w:tcPr>
            <w:tcW w:type="dxa" w:w="6463"/>
            <w:tcMar>
              <w:top w:w="90" w:type="dxa"/>
              <w:start w:w="110" w:type="dxa"/>
              <w:bottom w:w="90" w:type="dxa"/>
              <w:end w:w="110" w:type="dxa"/>
            </w:tcMar>
            <w:vAlign w:val="center"/>
            <w:shd w:fill="F4F7FA"/>
          </w:tcPr>
          <w:p>
            <w:pPr>
              <w:jc w:val="left"/>
            </w:pPr>
            <w:r>
              <w:rPr>
                <w:rFonts w:ascii="DejaVu Serif" w:hAnsi="DejaVu Serif" w:eastAsia="DejaVu Serif"/>
                <w:b w:val="0"/>
                <w:i w:val="0"/>
                <w:sz w:val="15"/>
              </w:rPr>
              <w:t>independent dimensional calibration</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5"/>
              </w:rPr>
              <w:t>F-5</w:t>
            </w:r>
          </w:p>
        </w:tc>
        <w:tc>
          <w:tcPr>
            <w:tcW w:type="dxa" w:w="1020"/>
            <w:tcMar>
              <w:top w:w="90" w:type="dxa"/>
              <w:start w:w="110" w:type="dxa"/>
              <w:bottom w:w="90" w:type="dxa"/>
              <w:end w:w="110" w:type="dxa"/>
            </w:tcMar>
            <w:vAlign w:val="center"/>
          </w:tcPr>
          <w:p>
            <w:pPr>
              <w:jc w:val="left"/>
            </w:pPr>
            <w:r>
              <w:rPr>
                <w:rFonts w:ascii="DejaVu Serif" w:hAnsi="DejaVu Serif" w:eastAsia="DejaVu Serif"/>
                <w:b w:val="0"/>
                <w:i w:val="0"/>
                <w:sz w:val="15"/>
              </w:rPr>
              <w:t>P0</w:t>
            </w:r>
          </w:p>
        </w:tc>
        <w:tc>
          <w:tcPr>
            <w:tcW w:type="dxa" w:w="1020"/>
            <w:tcMar>
              <w:top w:w="90" w:type="dxa"/>
              <w:start w:w="110" w:type="dxa"/>
              <w:bottom w:w="90" w:type="dxa"/>
              <w:end w:w="110" w:type="dxa"/>
            </w:tcMar>
            <w:vAlign w:val="center"/>
          </w:tcPr>
          <w:p>
            <w:pPr>
              <w:jc w:val="left"/>
            </w:pPr>
            <w:r>
              <w:rPr>
                <w:rFonts w:ascii="DejaVu Serif" w:hAnsi="DejaVu Serif" w:eastAsia="DejaVu Serif"/>
                <w:b w:val="0"/>
                <w:i w:val="0"/>
                <w:sz w:val="15"/>
              </w:rPr>
              <w:t>P0</w:t>
            </w:r>
          </w:p>
        </w:tc>
        <w:tc>
          <w:tcPr>
            <w:tcW w:type="dxa" w:w="6463"/>
            <w:tcMar>
              <w:top w:w="90" w:type="dxa"/>
              <w:start w:w="110" w:type="dxa"/>
              <w:bottom w:w="90" w:type="dxa"/>
              <w:end w:w="110" w:type="dxa"/>
            </w:tcMar>
            <w:vAlign w:val="center"/>
          </w:tcPr>
          <w:p>
            <w:pPr>
              <w:jc w:val="left"/>
            </w:pPr>
            <w:r>
              <w:rPr>
                <w:rFonts w:ascii="DejaVu Serif" w:hAnsi="DejaVu Serif" w:eastAsia="DejaVu Serif"/>
                <w:b w:val="0"/>
                <w:i w:val="0"/>
                <w:sz w:val="15"/>
              </w:rPr>
              <w:t>types, domains, antisymmetry, Jacobi or replacement</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F-6</w:t>
            </w:r>
          </w:p>
        </w:tc>
        <w:tc>
          <w:tcPr>
            <w:tcW w:type="dxa" w:w="1020"/>
            <w:tcMar>
              <w:top w:w="90" w:type="dxa"/>
              <w:start w:w="110" w:type="dxa"/>
              <w:bottom w:w="90" w:type="dxa"/>
              <w:end w:w="110" w:type="dxa"/>
            </w:tcMar>
            <w:vAlign w:val="center"/>
            <w:shd w:fill="F4F7FA"/>
          </w:tcPr>
          <w:p>
            <w:pPr>
              <w:jc w:val="left"/>
            </w:pPr>
            <w:r>
              <w:rPr>
                <w:rFonts w:ascii="DejaVu Serif" w:hAnsi="DejaVu Serif" w:eastAsia="DejaVu Serif"/>
                <w:b w:val="0"/>
                <w:i w:val="0"/>
                <w:sz w:val="15"/>
              </w:rPr>
              <w:t>P2</w:t>
            </w:r>
          </w:p>
        </w:tc>
        <w:tc>
          <w:tcPr>
            <w:tcW w:type="dxa" w:w="1020"/>
            <w:tcMar>
              <w:top w:w="90" w:type="dxa"/>
              <w:start w:w="110" w:type="dxa"/>
              <w:bottom w:w="90" w:type="dxa"/>
              <w:end w:w="110" w:type="dxa"/>
            </w:tcMar>
            <w:vAlign w:val="center"/>
            <w:shd w:fill="F4F7FA"/>
          </w:tcPr>
          <w:p>
            <w:pPr>
              <w:jc w:val="left"/>
            </w:pPr>
            <w:r>
              <w:rPr>
                <w:rFonts w:ascii="DejaVu Serif" w:hAnsi="DejaVu Serif" w:eastAsia="DejaVu Serif"/>
                <w:b w:val="0"/>
                <w:i w:val="0"/>
                <w:sz w:val="15"/>
              </w:rPr>
              <w:t>P3</w:t>
            </w:r>
          </w:p>
        </w:tc>
        <w:tc>
          <w:tcPr>
            <w:tcW w:type="dxa" w:w="6463"/>
            <w:tcMar>
              <w:top w:w="90" w:type="dxa"/>
              <w:start w:w="110" w:type="dxa"/>
              <w:bottom w:w="90" w:type="dxa"/>
              <w:end w:w="110" w:type="dxa"/>
            </w:tcMar>
            <w:vAlign w:val="center"/>
            <w:shd w:fill="F4F7FA"/>
          </w:tcPr>
          <w:p>
            <w:pPr>
              <w:jc w:val="left"/>
            </w:pPr>
            <w:r>
              <w:rPr>
                <w:rFonts w:ascii="DejaVu Serif" w:hAnsi="DejaVu Serif" w:eastAsia="DejaVu Serif"/>
                <w:b w:val="0"/>
                <w:i w:val="0"/>
                <w:sz w:val="15"/>
              </w:rPr>
              <w:t>identify components before seven-component physics</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5"/>
              </w:rPr>
              <w:t>F-7</w:t>
            </w:r>
          </w:p>
        </w:tc>
        <w:tc>
          <w:tcPr>
            <w:tcW w:type="dxa" w:w="1020"/>
            <w:tcMar>
              <w:top w:w="90" w:type="dxa"/>
              <w:start w:w="110" w:type="dxa"/>
              <w:bottom w:w="90" w:type="dxa"/>
              <w:end w:w="110" w:type="dxa"/>
            </w:tcMar>
            <w:vAlign w:val="center"/>
          </w:tcPr>
          <w:p>
            <w:pPr>
              <w:jc w:val="left"/>
            </w:pPr>
            <w:r>
              <w:rPr>
                <w:rFonts w:ascii="DejaVu Serif" w:hAnsi="DejaVu Serif" w:eastAsia="DejaVu Serif"/>
                <w:b w:val="0"/>
                <w:i w:val="0"/>
                <w:sz w:val="15"/>
              </w:rPr>
              <w:t>P2</w:t>
            </w:r>
          </w:p>
        </w:tc>
        <w:tc>
          <w:tcPr>
            <w:tcW w:type="dxa" w:w="1020"/>
            <w:tcMar>
              <w:top w:w="90" w:type="dxa"/>
              <w:start w:w="110" w:type="dxa"/>
              <w:bottom w:w="90" w:type="dxa"/>
              <w:end w:w="110" w:type="dxa"/>
            </w:tcMar>
            <w:vAlign w:val="center"/>
          </w:tcPr>
          <w:p>
            <w:pPr>
              <w:jc w:val="left"/>
            </w:pPr>
            <w:r>
              <w:rPr>
                <w:rFonts w:ascii="DejaVu Serif" w:hAnsi="DejaVu Serif" w:eastAsia="DejaVu Serif"/>
                <w:b w:val="0"/>
                <w:i w:val="0"/>
                <w:sz w:val="15"/>
              </w:rPr>
              <w:t>P3</w:t>
            </w:r>
          </w:p>
        </w:tc>
        <w:tc>
          <w:tcPr>
            <w:tcW w:type="dxa" w:w="6463"/>
            <w:tcMar>
              <w:top w:w="90" w:type="dxa"/>
              <w:start w:w="110" w:type="dxa"/>
              <w:bottom w:w="90" w:type="dxa"/>
              <w:end w:w="110" w:type="dxa"/>
            </w:tcMar>
            <w:vAlign w:val="center"/>
          </w:tcPr>
          <w:p>
            <w:pPr>
              <w:jc w:val="left"/>
            </w:pPr>
            <w:r>
              <w:rPr>
                <w:rFonts w:ascii="DejaVu Serif" w:hAnsi="DejaVu Serif" w:eastAsia="DejaVu Serif"/>
                <w:b w:val="0"/>
                <w:i w:val="0"/>
                <w:sz w:val="15"/>
              </w:rPr>
              <w:t>reduction theorem and distinguishable invariant first</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F-8</w:t>
            </w:r>
          </w:p>
        </w:tc>
        <w:tc>
          <w:tcPr>
            <w:tcW w:type="dxa" w:w="1020"/>
            <w:tcMar>
              <w:top w:w="90" w:type="dxa"/>
              <w:start w:w="110" w:type="dxa"/>
              <w:bottom w:w="90" w:type="dxa"/>
              <w:end w:w="110" w:type="dxa"/>
            </w:tcMar>
            <w:vAlign w:val="center"/>
            <w:shd w:fill="F4F7FA"/>
          </w:tcPr>
          <w:p>
            <w:pPr>
              <w:jc w:val="left"/>
            </w:pPr>
            <w:r>
              <w:rPr>
                <w:rFonts w:ascii="DejaVu Serif" w:hAnsi="DejaVu Serif" w:eastAsia="DejaVu Serif"/>
                <w:b w:val="0"/>
                <w:i w:val="0"/>
                <w:sz w:val="15"/>
              </w:rPr>
              <w:t>P0-&gt;P1</w:t>
            </w:r>
          </w:p>
        </w:tc>
        <w:tc>
          <w:tcPr>
            <w:tcW w:type="dxa" w:w="1020"/>
            <w:tcMar>
              <w:top w:w="90" w:type="dxa"/>
              <w:start w:w="110" w:type="dxa"/>
              <w:bottom w:w="90" w:type="dxa"/>
              <w:end w:w="110" w:type="dxa"/>
            </w:tcMar>
            <w:vAlign w:val="center"/>
            <w:shd w:fill="F4F7FA"/>
          </w:tcPr>
          <w:p>
            <w:pPr>
              <w:jc w:val="left"/>
            </w:pPr>
            <w:r>
              <w:rPr>
                <w:rFonts w:ascii="DejaVu Serif" w:hAnsi="DejaVu Serif" w:eastAsia="DejaVu Serif"/>
                <w:b w:val="0"/>
                <w:i w:val="0"/>
                <w:sz w:val="15"/>
              </w:rPr>
              <w:t>P2</w:t>
            </w:r>
          </w:p>
        </w:tc>
        <w:tc>
          <w:tcPr>
            <w:tcW w:type="dxa" w:w="6463"/>
            <w:tcMar>
              <w:top w:w="90" w:type="dxa"/>
              <w:start w:w="110" w:type="dxa"/>
              <w:bottom w:w="90" w:type="dxa"/>
              <w:end w:w="110" w:type="dxa"/>
            </w:tcMar>
            <w:vAlign w:val="center"/>
            <w:shd w:fill="F4F7FA"/>
          </w:tcPr>
          <w:p>
            <w:pPr>
              <w:jc w:val="left"/>
            </w:pPr>
            <w:r>
              <w:rPr>
                <w:rFonts w:ascii="DejaVu Serif" w:hAnsi="DejaVu Serif" w:eastAsia="DejaVu Serif"/>
                <w:b w:val="0"/>
                <w:i w:val="0"/>
                <w:sz w:val="15"/>
              </w:rPr>
              <w:t>valid generator before trajectories and physics</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5"/>
              </w:rPr>
              <w:t>F-9</w:t>
            </w:r>
          </w:p>
        </w:tc>
        <w:tc>
          <w:tcPr>
            <w:tcW w:type="dxa" w:w="1020"/>
            <w:tcMar>
              <w:top w:w="90" w:type="dxa"/>
              <w:start w:w="110" w:type="dxa"/>
              <w:bottom w:w="90" w:type="dxa"/>
              <w:end w:w="110" w:type="dxa"/>
            </w:tcMar>
            <w:vAlign w:val="center"/>
          </w:tcPr>
          <w:p>
            <w:pPr>
              <w:jc w:val="left"/>
            </w:pPr>
            <w:r>
              <w:rPr>
                <w:rFonts w:ascii="DejaVu Serif" w:hAnsi="DejaVu Serif" w:eastAsia="DejaVu Serif"/>
                <w:b w:val="0"/>
                <w:i w:val="0"/>
                <w:sz w:val="15"/>
              </w:rPr>
              <w:t>P0-&gt;P1</w:t>
            </w:r>
          </w:p>
        </w:tc>
        <w:tc>
          <w:tcPr>
            <w:tcW w:type="dxa" w:w="1020"/>
            <w:tcMar>
              <w:top w:w="90" w:type="dxa"/>
              <w:start w:w="110" w:type="dxa"/>
              <w:bottom w:w="90" w:type="dxa"/>
              <w:end w:w="110" w:type="dxa"/>
            </w:tcMar>
            <w:vAlign w:val="center"/>
          </w:tcPr>
          <w:p>
            <w:pPr>
              <w:jc w:val="left"/>
            </w:pPr>
            <w:r>
              <w:rPr>
                <w:rFonts w:ascii="DejaVu Serif" w:hAnsi="DejaVu Serif" w:eastAsia="DejaVu Serif"/>
                <w:b w:val="0"/>
                <w:i w:val="0"/>
                <w:sz w:val="15"/>
              </w:rPr>
              <w:t>P2</w:t>
            </w:r>
          </w:p>
        </w:tc>
        <w:tc>
          <w:tcPr>
            <w:tcW w:type="dxa" w:w="6463"/>
            <w:tcMar>
              <w:top w:w="90" w:type="dxa"/>
              <w:start w:w="110" w:type="dxa"/>
              <w:bottom w:w="90" w:type="dxa"/>
              <w:end w:w="110" w:type="dxa"/>
            </w:tcMar>
            <w:vAlign w:val="center"/>
          </w:tcPr>
          <w:p>
            <w:pPr>
              <w:jc w:val="left"/>
            </w:pPr>
            <w:r>
              <w:rPr>
                <w:rFonts w:ascii="DejaVu Serif" w:hAnsi="DejaVu Serif" w:eastAsia="DejaVu Serif"/>
                <w:b w:val="0"/>
                <w:i w:val="0"/>
                <w:sz w:val="15"/>
              </w:rPr>
              <w:t>define C and weights, then early sign test</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F-10</w:t>
            </w:r>
          </w:p>
        </w:tc>
        <w:tc>
          <w:tcPr>
            <w:tcW w:type="dxa" w:w="1020"/>
            <w:tcMar>
              <w:top w:w="90" w:type="dxa"/>
              <w:start w:w="110" w:type="dxa"/>
              <w:bottom w:w="90" w:type="dxa"/>
              <w:end w:w="110" w:type="dxa"/>
            </w:tcMar>
            <w:vAlign w:val="center"/>
            <w:shd w:fill="F4F7FA"/>
          </w:tcPr>
          <w:p>
            <w:pPr>
              <w:jc w:val="left"/>
            </w:pPr>
            <w:r>
              <w:rPr>
                <w:rFonts w:ascii="DejaVu Serif" w:hAnsi="DejaVu Serif" w:eastAsia="DejaVu Serif"/>
                <w:b w:val="0"/>
                <w:i w:val="0"/>
                <w:sz w:val="15"/>
              </w:rPr>
              <w:t>P0-&gt;P2</w:t>
            </w:r>
          </w:p>
        </w:tc>
        <w:tc>
          <w:tcPr>
            <w:tcW w:type="dxa" w:w="1020"/>
            <w:tcMar>
              <w:top w:w="90" w:type="dxa"/>
              <w:start w:w="110" w:type="dxa"/>
              <w:bottom w:w="90" w:type="dxa"/>
              <w:end w:w="110" w:type="dxa"/>
            </w:tcMar>
            <w:vAlign w:val="center"/>
            <w:shd w:fill="F4F7FA"/>
          </w:tcPr>
          <w:p>
            <w:pPr>
              <w:jc w:val="left"/>
            </w:pPr>
            <w:r>
              <w:rPr>
                <w:rFonts w:ascii="DejaVu Serif" w:hAnsi="DejaVu Serif" w:eastAsia="DejaVu Serif"/>
                <w:b w:val="0"/>
                <w:i w:val="0"/>
                <w:sz w:val="15"/>
              </w:rPr>
              <w:t>P2</w:t>
            </w:r>
          </w:p>
        </w:tc>
        <w:tc>
          <w:tcPr>
            <w:tcW w:type="dxa" w:w="6463"/>
            <w:tcMar>
              <w:top w:w="90" w:type="dxa"/>
              <w:start w:w="110" w:type="dxa"/>
              <w:bottom w:w="90" w:type="dxa"/>
              <w:end w:w="110" w:type="dxa"/>
            </w:tcMar>
            <w:vAlign w:val="center"/>
            <w:shd w:fill="F4F7FA"/>
          </w:tcPr>
          <w:p>
            <w:pPr>
              <w:jc w:val="left"/>
            </w:pPr>
            <w:r>
              <w:rPr>
                <w:rFonts w:ascii="DejaVu Serif" w:hAnsi="DejaVu Serif" w:eastAsia="DejaVu Serif"/>
                <w:b w:val="0"/>
                <w:i w:val="0"/>
                <w:sz w:val="15"/>
              </w:rPr>
              <w:t>covariance and variational origin before field data</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5"/>
              </w:rPr>
              <w:t>F-11</w:t>
            </w:r>
          </w:p>
        </w:tc>
        <w:tc>
          <w:tcPr>
            <w:tcW w:type="dxa" w:w="1020"/>
            <w:tcMar>
              <w:top w:w="90" w:type="dxa"/>
              <w:start w:w="110" w:type="dxa"/>
              <w:bottom w:w="90" w:type="dxa"/>
              <w:end w:w="110" w:type="dxa"/>
            </w:tcMar>
            <w:vAlign w:val="center"/>
          </w:tcPr>
          <w:p>
            <w:pPr>
              <w:jc w:val="left"/>
            </w:pPr>
            <w:r>
              <w:rPr>
                <w:rFonts w:ascii="DejaVu Serif" w:hAnsi="DejaVu Serif" w:eastAsia="DejaVu Serif"/>
                <w:b w:val="0"/>
                <w:i w:val="0"/>
                <w:sz w:val="15"/>
              </w:rPr>
              <w:t>P3</w:t>
            </w:r>
          </w:p>
        </w:tc>
        <w:tc>
          <w:tcPr>
            <w:tcW w:type="dxa" w:w="1020"/>
            <w:tcMar>
              <w:top w:w="90" w:type="dxa"/>
              <w:start w:w="110" w:type="dxa"/>
              <w:bottom w:w="90" w:type="dxa"/>
              <w:end w:w="110" w:type="dxa"/>
            </w:tcMar>
            <w:vAlign w:val="center"/>
          </w:tcPr>
          <w:p>
            <w:pPr>
              <w:jc w:val="left"/>
            </w:pPr>
            <w:r>
              <w:rPr>
                <w:rFonts w:ascii="DejaVu Serif" w:hAnsi="DejaVu Serif" w:eastAsia="DejaVu Serif"/>
                <w:b w:val="0"/>
                <w:i w:val="0"/>
                <w:sz w:val="15"/>
              </w:rPr>
              <w:t>P3</w:t>
            </w:r>
          </w:p>
        </w:tc>
        <w:tc>
          <w:tcPr>
            <w:tcW w:type="dxa" w:w="6463"/>
            <w:tcMar>
              <w:top w:w="90" w:type="dxa"/>
              <w:start w:w="110" w:type="dxa"/>
              <w:bottom w:w="90" w:type="dxa"/>
              <w:end w:w="110" w:type="dxa"/>
            </w:tcMar>
            <w:vAlign w:val="center"/>
          </w:tcPr>
          <w:p>
            <w:pPr>
              <w:jc w:val="left"/>
            </w:pPr>
            <w:r>
              <w:rPr>
                <w:rFonts w:ascii="DejaVu Serif" w:hAnsi="DejaVu Serif" w:eastAsia="DejaVu Serif"/>
                <w:b w:val="0"/>
                <w:i w:val="0"/>
                <w:sz w:val="15"/>
              </w:rPr>
              <w:t>cosmological template frozen before confirmatory data</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F-12</w:t>
            </w:r>
          </w:p>
        </w:tc>
        <w:tc>
          <w:tcPr>
            <w:tcW w:type="dxa" w:w="1020"/>
            <w:tcMar>
              <w:top w:w="90" w:type="dxa"/>
              <w:start w:w="110" w:type="dxa"/>
              <w:bottom w:w="90" w:type="dxa"/>
              <w:end w:w="110" w:type="dxa"/>
            </w:tcMar>
            <w:vAlign w:val="center"/>
            <w:shd w:fill="F4F7FA"/>
          </w:tcPr>
          <w:p>
            <w:pPr>
              <w:jc w:val="left"/>
            </w:pPr>
            <w:r>
              <w:rPr>
                <w:rFonts w:ascii="DejaVu Serif" w:hAnsi="DejaVu Serif" w:eastAsia="DejaVu Serif"/>
                <w:b w:val="0"/>
                <w:i w:val="0"/>
                <w:sz w:val="15"/>
              </w:rPr>
              <w:t>P1</w:t>
            </w:r>
          </w:p>
        </w:tc>
        <w:tc>
          <w:tcPr>
            <w:tcW w:type="dxa" w:w="1020"/>
            <w:tcMar>
              <w:top w:w="90" w:type="dxa"/>
              <w:start w:w="110" w:type="dxa"/>
              <w:bottom w:w="90" w:type="dxa"/>
              <w:end w:w="110" w:type="dxa"/>
            </w:tcMar>
            <w:vAlign w:val="center"/>
            <w:shd w:fill="F4F7FA"/>
          </w:tcPr>
          <w:p>
            <w:pPr>
              <w:jc w:val="left"/>
            </w:pPr>
            <w:r>
              <w:rPr>
                <w:rFonts w:ascii="DejaVu Serif" w:hAnsi="DejaVu Serif" w:eastAsia="DejaVu Serif"/>
                <w:b w:val="0"/>
                <w:i w:val="0"/>
                <w:sz w:val="15"/>
              </w:rPr>
              <w:t>P1</w:t>
            </w:r>
          </w:p>
        </w:tc>
        <w:tc>
          <w:tcPr>
            <w:tcW w:type="dxa" w:w="6463"/>
            <w:tcMar>
              <w:top w:w="90" w:type="dxa"/>
              <w:start w:w="110" w:type="dxa"/>
              <w:bottom w:w="90" w:type="dxa"/>
              <w:end w:w="110" w:type="dxa"/>
            </w:tcMar>
            <w:vAlign w:val="center"/>
            <w:shd w:fill="F4F7FA"/>
          </w:tcPr>
          <w:p>
            <w:pPr>
              <w:jc w:val="left"/>
            </w:pPr>
            <w:r>
              <w:rPr>
                <w:rFonts w:ascii="DejaVu Serif" w:hAnsi="DejaVu Serif" w:eastAsia="DejaVu Serif"/>
                <w:b w:val="0"/>
                <w:i w:val="0"/>
                <w:sz w:val="15"/>
              </w:rPr>
              <w:t>controlled lab test after source and amplitude definition</w:t>
            </w:r>
          </w:p>
        </w:tc>
      </w:tr>
      <w:tr>
        <w:tc>
          <w:tcPr>
            <w:tcW w:type="dxa" w:w="680"/>
            <w:tcMar>
              <w:top w:w="90" w:type="dxa"/>
              <w:start w:w="110" w:type="dxa"/>
              <w:bottom w:w="90" w:type="dxa"/>
              <w:end w:w="110" w:type="dxa"/>
            </w:tcMar>
            <w:vAlign w:val="center"/>
          </w:tcPr>
          <w:p>
            <w:pPr>
              <w:jc w:val="center"/>
            </w:pPr>
            <w:r>
              <w:rPr>
                <w:rFonts w:ascii="DejaVu Serif" w:hAnsi="DejaVu Serif" w:eastAsia="DejaVu Serif"/>
                <w:b w:val="0"/>
                <w:i w:val="0"/>
                <w:sz w:val="15"/>
              </w:rPr>
              <w:t>F-13</w:t>
            </w:r>
          </w:p>
        </w:tc>
        <w:tc>
          <w:tcPr>
            <w:tcW w:type="dxa" w:w="1020"/>
            <w:tcMar>
              <w:top w:w="90" w:type="dxa"/>
              <w:start w:w="110" w:type="dxa"/>
              <w:bottom w:w="90" w:type="dxa"/>
              <w:end w:w="110" w:type="dxa"/>
            </w:tcMar>
            <w:vAlign w:val="center"/>
          </w:tcPr>
          <w:p>
            <w:pPr>
              <w:jc w:val="left"/>
            </w:pPr>
            <w:r>
              <w:rPr>
                <w:rFonts w:ascii="DejaVu Serif" w:hAnsi="DejaVu Serif" w:eastAsia="DejaVu Serif"/>
                <w:b w:val="0"/>
                <w:i w:val="0"/>
                <w:sz w:val="15"/>
              </w:rPr>
              <w:t>P2-&gt;P3</w:t>
            </w:r>
          </w:p>
        </w:tc>
        <w:tc>
          <w:tcPr>
            <w:tcW w:type="dxa" w:w="1020"/>
            <w:tcMar>
              <w:top w:w="90" w:type="dxa"/>
              <w:start w:w="110" w:type="dxa"/>
              <w:bottom w:w="90" w:type="dxa"/>
              <w:end w:w="110" w:type="dxa"/>
            </w:tcMar>
            <w:vAlign w:val="center"/>
          </w:tcPr>
          <w:p>
            <w:pPr>
              <w:jc w:val="left"/>
            </w:pPr>
            <w:r>
              <w:rPr>
                <w:rFonts w:ascii="DejaVu Serif" w:hAnsi="DejaVu Serif" w:eastAsia="DejaVu Serif"/>
                <w:b w:val="0"/>
                <w:i w:val="0"/>
                <w:sz w:val="15"/>
              </w:rPr>
              <w:t>P4</w:t>
            </w:r>
          </w:p>
        </w:tc>
        <w:tc>
          <w:tcPr>
            <w:tcW w:type="dxa" w:w="6463"/>
            <w:tcMar>
              <w:top w:w="90" w:type="dxa"/>
              <w:start w:w="110" w:type="dxa"/>
              <w:bottom w:w="90" w:type="dxa"/>
              <w:end w:w="110" w:type="dxa"/>
            </w:tcMar>
            <w:vAlign w:val="center"/>
          </w:tcPr>
          <w:p>
            <w:pPr>
              <w:jc w:val="left"/>
            </w:pPr>
            <w:r>
              <w:rPr>
                <w:rFonts w:ascii="DejaVu Serif" w:hAnsi="DejaVu Serif" w:eastAsia="DejaVu Serif"/>
                <w:b w:val="0"/>
                <w:i w:val="0"/>
                <w:sz w:val="15"/>
              </w:rPr>
              <w:t>resource cutoff before ontological finiteness claim</w:t>
            </w:r>
          </w:p>
        </w:tc>
      </w:tr>
      <w:tr>
        <w:tc>
          <w:tcPr>
            <w:tcW w:type="dxa" w:w="680"/>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F-14</w:t>
            </w:r>
          </w:p>
        </w:tc>
        <w:tc>
          <w:tcPr>
            <w:tcW w:type="dxa" w:w="1020"/>
            <w:tcMar>
              <w:top w:w="90" w:type="dxa"/>
              <w:start w:w="110" w:type="dxa"/>
              <w:bottom w:w="90" w:type="dxa"/>
              <w:end w:w="110" w:type="dxa"/>
            </w:tcMar>
            <w:vAlign w:val="center"/>
            <w:shd w:fill="F4F7FA"/>
          </w:tcPr>
          <w:p>
            <w:pPr>
              <w:jc w:val="left"/>
            </w:pPr>
            <w:r>
              <w:rPr>
                <w:rFonts w:ascii="DejaVu Serif" w:hAnsi="DejaVu Serif" w:eastAsia="DejaVu Serif"/>
                <w:b w:val="0"/>
                <w:i w:val="0"/>
                <w:sz w:val="15"/>
              </w:rPr>
              <w:t>P3</w:t>
            </w:r>
          </w:p>
        </w:tc>
        <w:tc>
          <w:tcPr>
            <w:tcW w:type="dxa" w:w="1020"/>
            <w:tcMar>
              <w:top w:w="90" w:type="dxa"/>
              <w:start w:w="110" w:type="dxa"/>
              <w:bottom w:w="90" w:type="dxa"/>
              <w:end w:w="110" w:type="dxa"/>
            </w:tcMar>
            <w:vAlign w:val="center"/>
            <w:shd w:fill="F4F7FA"/>
          </w:tcPr>
          <w:p>
            <w:pPr>
              <w:jc w:val="left"/>
            </w:pPr>
            <w:r>
              <w:rPr>
                <w:rFonts w:ascii="DejaVu Serif" w:hAnsi="DejaVu Serif" w:eastAsia="DejaVu Serif"/>
                <w:b w:val="0"/>
                <w:i w:val="0"/>
                <w:sz w:val="15"/>
              </w:rPr>
              <w:t>P3</w:t>
            </w:r>
          </w:p>
        </w:tc>
        <w:tc>
          <w:tcPr>
            <w:tcW w:type="dxa" w:w="6463"/>
            <w:tcMar>
              <w:top w:w="90" w:type="dxa"/>
              <w:start w:w="110" w:type="dxa"/>
              <w:bottom w:w="90" w:type="dxa"/>
              <w:end w:w="110" w:type="dxa"/>
            </w:tcMar>
            <w:vAlign w:val="center"/>
            <w:shd w:fill="F4F7FA"/>
          </w:tcPr>
          <w:p>
            <w:pPr>
              <w:jc w:val="left"/>
            </w:pPr>
            <w:r>
              <w:rPr>
                <w:rFonts w:ascii="DejaVu Serif" w:hAnsi="DejaVu Serif" w:eastAsia="DejaVu Serif"/>
                <w:b w:val="0"/>
                <w:i w:val="0"/>
                <w:sz w:val="15"/>
              </w:rPr>
              <w:t>test F-14a/b/c separately; no omnibus claim</w:t>
            </w:r>
          </w:p>
        </w:tc>
      </w:tr>
    </w:tbl>
    <w:p>
      <w:pPr>
        <w:spacing w:after="40"/>
      </w:pPr>
    </w:p>
    <w:p>
      <w:pPr>
        <w:spacing w:after="80" w:line="269" w:lineRule="auto"/>
        <w:jc w:val="both"/>
      </w:pPr>
      <w:r>
        <w:rPr>
          <w:rFonts w:ascii="DejaVu Serif" w:hAnsi="DejaVu Serif" w:eastAsia="DejaVu Serif"/>
          <w:b w:val="0"/>
          <w:i w:val="0"/>
        </w:rPr>
        <w:t>P0=formal bridges and types; P1=controlled laboratory test; P2=dynamics and geometry; P3=field/cosmological test; P4=synthetic ontological or metatheoretical claim.</w:t>
      </w:r>
    </w:p>
    <w:p>
      <w:pPr>
        <w:pStyle w:val="Heading2"/>
        <w:keepNext/>
      </w:pPr>
      <w:r>
        <w:t>G.4. Unified D/M/E/R/C Evidence Scale</w:t>
      </w:r>
    </w:p>
    <w:tbl>
      <w:tblPr>
        <w:tblStyle w:val="TableGrid"/>
        <w:tblW w:type="auto" w:w="0"/>
        <w:jc w:val="center"/>
        <w:tblLook w:firstColumn="1" w:firstRow="1" w:lastColumn="0" w:lastRow="0" w:noHBand="0" w:noVBand="1" w:val="04A0"/>
      </w:tblPr>
      <w:tblGrid>
        <w:gridCol w:w="2517"/>
        <w:gridCol w:w="2517"/>
        <w:gridCol w:w="2517"/>
        <w:gridCol w:w="2517"/>
      </w:tblGrid>
      <w:tr>
        <w:trPr>
          <w:tblHeader w:val="true"/>
        </w:trPr>
        <w:tc>
          <w:tcPr>
            <w:tcW w:type="dxa" w:w="113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Axis</w:t>
            </w:r>
          </w:p>
        </w:tc>
        <w:tc>
          <w:tcPr>
            <w:tcW w:type="dxa" w:w="147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Scale</w:t>
            </w:r>
          </w:p>
        </w:tc>
        <w:tc>
          <w:tcPr>
            <w:tcW w:type="dxa" w:w="311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Meaning</w:t>
            </w:r>
          </w:p>
        </w:tc>
        <w:tc>
          <w:tcPr>
            <w:tcW w:type="dxa" w:w="345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Current result</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5"/>
              </w:rPr>
              <w:t>D proof</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5"/>
              </w:rPr>
              <w:t>D0/D1/D2</w:t>
            </w:r>
          </w:p>
        </w:tc>
        <w:tc>
          <w:tcPr>
            <w:tcW w:type="dxa" w:w="3118"/>
            <w:tcMar>
              <w:top w:w="90" w:type="dxa"/>
              <w:start w:w="110" w:type="dxa"/>
              <w:bottom w:w="90" w:type="dxa"/>
              <w:end w:w="110" w:type="dxa"/>
            </w:tcMar>
            <w:vAlign w:val="center"/>
          </w:tcPr>
          <w:p>
            <w:pPr>
              <w:jc w:val="left"/>
            </w:pPr>
            <w:r>
              <w:rPr>
                <w:rFonts w:ascii="DejaVu Serif" w:hAnsi="DejaVu Serif" w:eastAsia="DejaVu Serif"/>
                <w:b w:val="0"/>
                <w:i w:val="0"/>
                <w:sz w:val="15"/>
              </w:rPr>
              <w:t>no theorem / conditional / proved</w:t>
            </w:r>
          </w:p>
        </w:tc>
        <w:tc>
          <w:tcPr>
            <w:tcW w:type="dxa" w:w="3458"/>
            <w:tcMar>
              <w:top w:w="90" w:type="dxa"/>
              <w:start w:w="110" w:type="dxa"/>
              <w:bottom w:w="90" w:type="dxa"/>
              <w:end w:w="110" w:type="dxa"/>
            </w:tcMar>
            <w:vAlign w:val="center"/>
          </w:tcPr>
          <w:p>
            <w:pPr>
              <w:jc w:val="left"/>
            </w:pPr>
            <w:r>
              <w:rPr>
                <w:rFonts w:ascii="DejaVu Serif" w:hAnsi="DejaVu Serif" w:eastAsia="DejaVu Serif"/>
                <w:b w:val="0"/>
                <w:i w:val="0"/>
                <w:sz w:val="15"/>
              </w:rPr>
              <w:t>PN2-7.1 D2 inside A1-A4; PN2-9.1 D1; physical F claims D0</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M model</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5"/>
              </w:rPr>
              <w:t>M0/M1/M2</w:t>
            </w:r>
          </w:p>
        </w:tc>
        <w:tc>
          <w:tcPr>
            <w:tcW w:type="dxa" w:w="3118"/>
            <w:tcMar>
              <w:top w:w="90" w:type="dxa"/>
              <w:start w:w="110" w:type="dxa"/>
              <w:bottom w:w="90" w:type="dxa"/>
              <w:end w:w="110" w:type="dxa"/>
            </w:tcMar>
            <w:vAlign w:val="center"/>
            <w:shd w:fill="F4F7FA"/>
          </w:tcPr>
          <w:p>
            <w:pPr>
              <w:jc w:val="left"/>
            </w:pPr>
            <w:r>
              <w:rPr>
                <w:rFonts w:ascii="DejaVu Serif" w:hAnsi="DejaVu Serif" w:eastAsia="DejaVu Serif"/>
                <w:b w:val="0"/>
                <w:i w:val="0"/>
                <w:sz w:val="15"/>
              </w:rPr>
              <w:t>phrase / ansatz / computable forward model</w:t>
            </w:r>
          </w:p>
        </w:tc>
        <w:tc>
          <w:tcPr>
            <w:tcW w:type="dxa" w:w="3458"/>
            <w:tcMar>
              <w:top w:w="90" w:type="dxa"/>
              <w:start w:w="110" w:type="dxa"/>
              <w:bottom w:w="90" w:type="dxa"/>
              <w:end w:w="110" w:type="dxa"/>
            </w:tcMar>
            <w:vAlign w:val="center"/>
            <w:shd w:fill="F4F7FA"/>
          </w:tcPr>
          <w:p>
            <w:pPr>
              <w:jc w:val="left"/>
            </w:pPr>
            <w:r>
              <w:rPr>
                <w:rFonts w:ascii="DejaVu Serif" w:hAnsi="DejaVu Serif" w:eastAsia="DejaVu Serif"/>
                <w:b w:val="0"/>
                <w:i w:val="0"/>
                <w:sz w:val="15"/>
              </w:rPr>
              <w:t>F-1-F-14 M0-M1; no complete M2</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5"/>
              </w:rPr>
              <w:t>E data</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5"/>
              </w:rPr>
              <w:t>E0-E4</w:t>
            </w:r>
          </w:p>
        </w:tc>
        <w:tc>
          <w:tcPr>
            <w:tcW w:type="dxa" w:w="3118"/>
            <w:tcMar>
              <w:top w:w="90" w:type="dxa"/>
              <w:start w:w="110" w:type="dxa"/>
              <w:bottom w:w="90" w:type="dxa"/>
              <w:end w:w="110" w:type="dxa"/>
            </w:tcMar>
            <w:vAlign w:val="center"/>
          </w:tcPr>
          <w:p>
            <w:pPr>
              <w:jc w:val="left"/>
            </w:pPr>
            <w:r>
              <w:rPr>
                <w:rFonts w:ascii="DejaVu Serif" w:hAnsi="DejaVu Serif" w:eastAsia="DejaVu Serif"/>
                <w:b w:val="0"/>
                <w:i w:val="0"/>
                <w:sz w:val="15"/>
              </w:rPr>
              <w:t>formulation / calibration / pilot / replication / robust result</w:t>
            </w:r>
          </w:p>
        </w:tc>
        <w:tc>
          <w:tcPr>
            <w:tcW w:type="dxa" w:w="3458"/>
            <w:tcMar>
              <w:top w:w="90" w:type="dxa"/>
              <w:start w:w="110" w:type="dxa"/>
              <w:bottom w:w="90" w:type="dxa"/>
              <w:end w:w="110" w:type="dxa"/>
            </w:tcMar>
            <w:vAlign w:val="center"/>
          </w:tcPr>
          <w:p>
            <w:pPr>
              <w:jc w:val="left"/>
            </w:pPr>
            <w:r>
              <w:rPr>
                <w:rFonts w:ascii="DejaVu Serif" w:hAnsi="DejaVu Serif" w:eastAsia="DejaVu Serif"/>
                <w:b w:val="0"/>
                <w:i w:val="0"/>
                <w:sz w:val="15"/>
              </w:rPr>
              <w:t>all F claims E0</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R protocol</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5"/>
              </w:rPr>
              <w:t>R0-R3</w:t>
            </w:r>
          </w:p>
        </w:tc>
        <w:tc>
          <w:tcPr>
            <w:tcW w:type="dxa" w:w="3118"/>
            <w:tcMar>
              <w:top w:w="90" w:type="dxa"/>
              <w:start w:w="110" w:type="dxa"/>
              <w:bottom w:w="90" w:type="dxa"/>
              <w:end w:w="110" w:type="dxa"/>
            </w:tcMar>
            <w:vAlign w:val="center"/>
            <w:shd w:fill="F4F7FA"/>
          </w:tcPr>
          <w:p>
            <w:pPr>
              <w:jc w:val="left"/>
            </w:pPr>
            <w:r>
              <w:rPr>
                <w:rFonts w:ascii="DejaVu Serif" w:hAnsi="DejaVu Serif" w:eastAsia="DejaVu Serif"/>
                <w:b w:val="0"/>
                <w:i w:val="0"/>
                <w:sz w:val="15"/>
              </w:rPr>
              <w:t>none / concept / prereg-ready / executed</w:t>
            </w:r>
          </w:p>
        </w:tc>
        <w:tc>
          <w:tcPr>
            <w:tcW w:type="dxa" w:w="3458"/>
            <w:tcMar>
              <w:top w:w="90" w:type="dxa"/>
              <w:start w:w="110" w:type="dxa"/>
              <w:bottom w:w="90" w:type="dxa"/>
              <w:end w:w="110" w:type="dxa"/>
            </w:tcMar>
            <w:vAlign w:val="center"/>
            <w:shd w:fill="F4F7FA"/>
          </w:tcPr>
          <w:p>
            <w:pPr>
              <w:jc w:val="left"/>
            </w:pPr>
            <w:r>
              <w:rPr>
                <w:rFonts w:ascii="DejaVu Serif" w:hAnsi="DejaVu Serif" w:eastAsia="DejaVu Serif"/>
                <w:b w:val="0"/>
                <w:i w:val="0"/>
                <w:sz w:val="15"/>
              </w:rPr>
              <w:t>protocol and atlas R1, not data</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5"/>
              </w:rPr>
              <w:t>C computation</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5"/>
              </w:rPr>
              <w:t>C0/C1</w:t>
            </w:r>
          </w:p>
        </w:tc>
        <w:tc>
          <w:tcPr>
            <w:tcW w:type="dxa" w:w="3118"/>
            <w:tcMar>
              <w:top w:w="90" w:type="dxa"/>
              <w:start w:w="110" w:type="dxa"/>
              <w:bottom w:w="90" w:type="dxa"/>
              <w:end w:w="110" w:type="dxa"/>
            </w:tcMar>
            <w:vAlign w:val="center"/>
          </w:tcPr>
          <w:p>
            <w:pPr>
              <w:jc w:val="left"/>
            </w:pPr>
            <w:r>
              <w:rPr>
                <w:rFonts w:ascii="DejaVu Serif" w:hAnsi="DejaVu Serif" w:eastAsia="DejaVu Serif"/>
                <w:b w:val="0"/>
                <w:i w:val="0"/>
                <w:sz w:val="15"/>
              </w:rPr>
              <w:t>no checkable calculation / exact internal certificate</w:t>
            </w:r>
          </w:p>
        </w:tc>
        <w:tc>
          <w:tcPr>
            <w:tcW w:type="dxa" w:w="3458"/>
            <w:tcMar>
              <w:top w:w="90" w:type="dxa"/>
              <w:start w:w="110" w:type="dxa"/>
              <w:bottom w:w="90" w:type="dxa"/>
              <w:end w:w="110" w:type="dxa"/>
            </w:tcMar>
            <w:vAlign w:val="center"/>
          </w:tcPr>
          <w:p>
            <w:pPr>
              <w:jc w:val="left"/>
            </w:pPr>
            <w:r>
              <w:rPr>
                <w:rFonts w:ascii="DejaVu Serif" w:hAnsi="DejaVu Serif" w:eastAsia="DejaVu Serif"/>
                <w:b w:val="0"/>
                <w:i w:val="0"/>
                <w:sz w:val="15"/>
              </w:rPr>
              <w:t>A.1-A.4 and PO-12 C1 for auxiliary A2</w:t>
            </w:r>
          </w:p>
        </w:tc>
      </w:tr>
    </w:tbl>
    <w:p>
      <w:pPr>
        <w:spacing w:after="40"/>
      </w:pPr>
    </w:p>
    <w:p>
      <w:pPr>
        <w:pStyle w:val="Heading2"/>
        <w:keepNext/>
      </w:pPr>
      <w:r>
        <w:t>G.5. Notation and Formula Freeze</w:t>
      </w:r>
    </w:p>
    <w:p>
      <w:pPr>
        <w:spacing w:after="80" w:line="269" w:lineRule="auto"/>
        <w:jc w:val="both"/>
      </w:pPr>
      <w:r>
        <w:rPr>
          <w:rFonts w:ascii="DejaVu Serif" w:hAnsi="DejaVu Serif" w:eastAsia="DejaVu Serif"/>
          <w:b w:val="0"/>
          <w:i w:val="0"/>
        </w:rPr>
        <w:t>The associator object is written R-star-R only. R*R is not used for it. star_H is reserved for the Hodge operator and odot for the basic nonassociative product. Mathematical indices remain typographic; underscores are restricted to machine identifiers.</w:t>
      </w:r>
    </w:p>
    <w:p>
      <w:pPr>
        <w:spacing w:before="80" w:after="100"/>
        <w:jc w:val="center"/>
      </w:pPr>
      <w:r>
        <w:rPr>
          <w:rFonts w:ascii="DejaVu Serif" w:hAnsi="DejaVu Serif" w:eastAsia="DejaVu Serif"/>
          <w:b w:val="0"/>
          <w:i w:val="0"/>
          <w:sz w:val="21"/>
        </w:rPr>
        <w:t>e_S(u;s_hat)e_D(u;d_hat) &gt;= (1/4) Delta_S(u) Delta_D</w:t>
      </w:r>
      <w:r>
        <w:rPr>
          <w:rFonts w:ascii="DejaVu Serif" w:hAnsi="DejaVu Serif" w:eastAsia="DejaVu Serif"/>
          <w:b w:val="0"/>
          <w:i/>
          <w:color w:val="6B7280"/>
          <w:sz w:val="17"/>
        </w:rPr>
        <w:t xml:space="preserve">    [RU p. 234]</w:t>
      </w:r>
    </w:p>
    <w:p>
      <w:pPr>
        <w:spacing w:before="80" w:after="100"/>
        <w:jc w:val="center"/>
      </w:pPr>
      <w:r>
        <w:rPr>
          <w:rFonts w:ascii="DejaVu Serif" w:hAnsi="DejaVu Serif" w:eastAsia="DejaVu Serif"/>
          <w:b w:val="0"/>
          <w:i w:val="0"/>
          <w:sz w:val="21"/>
        </w:rPr>
        <w:t>e_R(u;r_hat)e_D(u;d_hat) &gt;= (1/4)||K(u)|| Delta_D</w:t>
      </w:r>
      <w:r>
        <w:rPr>
          <w:rFonts w:ascii="DejaVu Serif" w:hAnsi="DejaVu Serif" w:eastAsia="DejaVu Serif"/>
          <w:b w:val="0"/>
          <w:i/>
          <w:color w:val="6B7280"/>
          <w:sz w:val="17"/>
        </w:rPr>
        <w:t xml:space="preserve">    [RU p. 234]</w:t>
      </w:r>
    </w:p>
    <w:p>
      <w:pPr>
        <w:spacing w:before="80" w:after="100"/>
        <w:jc w:val="center"/>
      </w:pPr>
      <w:r>
        <w:rPr>
          <w:rFonts w:ascii="DejaVu Serif" w:hAnsi="DejaVu Serif" w:eastAsia="DejaVu Serif"/>
          <w:b w:val="0"/>
          <w:i w:val="0"/>
          <w:sz w:val="21"/>
        </w:rPr>
        <w:t>e_S(u;s_hat)e_D(u;d_hat) &gt;= (c/4)||K(u)|| Delta_D</w:t>
      </w:r>
      <w:r>
        <w:rPr>
          <w:rFonts w:ascii="DejaVu Serif" w:hAnsi="DejaVu Serif" w:eastAsia="DejaVu Serif"/>
          <w:b w:val="0"/>
          <w:i/>
          <w:color w:val="6B7280"/>
          <w:sz w:val="17"/>
        </w:rPr>
        <w:t xml:space="preserve">    [RU p. 234]</w:t>
      </w:r>
    </w:p>
    <w:p>
      <w:pPr>
        <w:spacing w:before="80" w:after="100"/>
        <w:jc w:val="center"/>
      </w:pPr>
      <w:r>
        <w:rPr>
          <w:rFonts w:ascii="DejaVu Serif" w:hAnsi="DejaVu Serif" w:eastAsia="DejaVu Serif"/>
          <w:b w:val="0"/>
          <w:i w:val="0"/>
          <w:sz w:val="21"/>
        </w:rPr>
        <w:t>e_R(u;r_hat)e_D(u;d_hat) &gt;= (epsilon_minus Delta_D/4)m(u), u in Omega</w:t>
      </w:r>
      <w:r>
        <w:rPr>
          <w:rFonts w:ascii="DejaVu Serif" w:hAnsi="DejaVu Serif" w:eastAsia="DejaVu Serif"/>
          <w:b w:val="0"/>
          <w:i/>
          <w:color w:val="6B7280"/>
          <w:sz w:val="17"/>
        </w:rPr>
        <w:t xml:space="preserve">    [RU p. 234]</w:t>
      </w:r>
    </w:p>
    <w:p>
      <w:pPr>
        <w:spacing w:before="80" w:after="100"/>
        <w:jc w:val="center"/>
      </w:pPr>
      <w:r>
        <w:rPr>
          <w:rFonts w:ascii="DejaVu Serif" w:hAnsi="DejaVu Serif" w:eastAsia="DejaVu Serif"/>
          <w:b w:val="0"/>
          <w:i w:val="0"/>
          <w:sz w:val="21"/>
        </w:rPr>
        <w:t>nabla_T K=J_T; dR/dtau=T(R); dC/dtau&gt;=0; C(R)=sum w_i Dim_i(R)</w:t>
      </w:r>
      <w:r>
        <w:rPr>
          <w:rFonts w:ascii="DejaVu Serif" w:hAnsi="DejaVu Serif" w:eastAsia="DejaVu Serif"/>
          <w:b w:val="0"/>
          <w:i/>
          <w:color w:val="6B7280"/>
          <w:sz w:val="17"/>
        </w:rPr>
        <w:t xml:space="preserve">    [RU p. 234]</w:t>
      </w:r>
    </w:p>
    <w:p>
      <w:pPr>
        <w:spacing w:after="80" w:line="269" w:lineRule="auto"/>
        <w:jc w:val="both"/>
      </w:pPr>
      <w:r>
        <w:rPr>
          <w:rFonts w:ascii="DejaVu Serif" w:hAnsi="DejaVu Serif" w:eastAsia="DejaVu Serif"/>
          <w:b w:val="0"/>
          <w:i w:val="0"/>
        </w:rPr>
        <w:t>Every comparison between ||K|| and hbar requires an independent dimensional map.</w:t>
      </w:r>
    </w:p>
    <w:p>
      <w:pPr>
        <w:pStyle w:val="Heading2"/>
        <w:keepNext/>
      </w:pPr>
      <w:r>
        <w:t>G.6. Proof Ledger after PO-11 and PO-12</w:t>
      </w:r>
    </w:p>
    <w:tbl>
      <w:tblPr>
        <w:tblStyle w:val="TableGrid"/>
        <w:tblW w:type="auto" w:w="0"/>
        <w:jc w:val="center"/>
        <w:tblLook w:firstColumn="1" w:firstRow="1" w:lastColumn="0" w:lastRow="0" w:noHBand="0" w:noVBand="1" w:val="04A0"/>
      </w:tblPr>
      <w:tblGrid>
        <w:gridCol w:w="2517"/>
        <w:gridCol w:w="2517"/>
        <w:gridCol w:w="2517"/>
        <w:gridCol w:w="2517"/>
      </w:tblGrid>
      <w:tr>
        <w:trPr>
          <w:tblHeader w:val="true"/>
        </w:trPr>
        <w:tc>
          <w:tcPr>
            <w:tcW w:type="dxa" w:w="1247"/>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Object</w:t>
            </w:r>
          </w:p>
        </w:tc>
        <w:tc>
          <w:tcPr>
            <w:tcW w:type="dxa" w:w="170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Status</w:t>
            </w:r>
          </w:p>
        </w:tc>
        <w:tc>
          <w:tcPr>
            <w:tcW w:type="dxa" w:w="311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Established</w:t>
            </w:r>
          </w:p>
        </w:tc>
        <w:tc>
          <w:tcPr>
            <w:tcW w:type="dxa" w:w="311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Not established</w:t>
            </w:r>
          </w:p>
        </w:tc>
      </w:tr>
      <w:tr>
        <w:tc>
          <w:tcPr>
            <w:tcW w:type="dxa" w:w="1247"/>
            <w:tcMar>
              <w:top w:w="90" w:type="dxa"/>
              <w:start w:w="110" w:type="dxa"/>
              <w:bottom w:w="90" w:type="dxa"/>
              <w:end w:w="110" w:type="dxa"/>
            </w:tcMar>
            <w:vAlign w:val="center"/>
          </w:tcPr>
          <w:p>
            <w:pPr>
              <w:jc w:val="center"/>
            </w:pPr>
            <w:r>
              <w:rPr>
                <w:rFonts w:ascii="DejaVu Serif" w:hAnsi="DejaVu Serif" w:eastAsia="DejaVu Serif"/>
                <w:b w:val="0"/>
                <w:i w:val="0"/>
                <w:sz w:val="15"/>
              </w:rPr>
              <w:t>PN2-7.1</w:t>
            </w:r>
          </w:p>
        </w:tc>
        <w:tc>
          <w:tcPr>
            <w:tcW w:type="dxa" w:w="1701"/>
            <w:tcMar>
              <w:top w:w="90" w:type="dxa"/>
              <w:start w:w="110" w:type="dxa"/>
              <w:bottom w:w="90" w:type="dxa"/>
              <w:end w:w="110" w:type="dxa"/>
            </w:tcMar>
            <w:vAlign w:val="center"/>
          </w:tcPr>
          <w:p>
            <w:pPr>
              <w:jc w:val="left"/>
            </w:pPr>
            <w:r>
              <w:rPr>
                <w:rFonts w:ascii="DejaVu Serif" w:hAnsi="DejaVu Serif" w:eastAsia="DejaVu Serif"/>
                <w:b w:val="0"/>
                <w:i w:val="0"/>
                <w:sz w:val="15"/>
              </w:rPr>
              <w:t>D2</w:t>
            </w:r>
          </w:p>
        </w:tc>
        <w:tc>
          <w:tcPr>
            <w:tcW w:type="dxa" w:w="3118"/>
            <w:tcMar>
              <w:top w:w="90" w:type="dxa"/>
              <w:start w:w="110" w:type="dxa"/>
              <w:bottom w:w="90" w:type="dxa"/>
              <w:end w:w="110" w:type="dxa"/>
            </w:tcMar>
            <w:vAlign w:val="center"/>
          </w:tcPr>
          <w:p>
            <w:pPr>
              <w:jc w:val="left"/>
            </w:pPr>
            <w:r>
              <w:rPr>
                <w:rFonts w:ascii="DejaVu Serif" w:hAnsi="DejaVu Serif" w:eastAsia="DejaVu Serif"/>
                <w:b w:val="0"/>
                <w:i w:val="0"/>
                <w:sz w:val="15"/>
              </w:rPr>
              <w:t>local minimax bound under A1-A4</w:t>
            </w:r>
          </w:p>
        </w:tc>
        <w:tc>
          <w:tcPr>
            <w:tcW w:type="dxa" w:w="3118"/>
            <w:tcMar>
              <w:top w:w="90" w:type="dxa"/>
              <w:start w:w="110" w:type="dxa"/>
              <w:bottom w:w="90" w:type="dxa"/>
              <w:end w:w="110" w:type="dxa"/>
            </w:tcMar>
            <w:vAlign w:val="center"/>
          </w:tcPr>
          <w:p>
            <w:pPr>
              <w:jc w:val="left"/>
            </w:pPr>
            <w:r>
              <w:rPr>
                <w:rFonts w:ascii="DejaVu Serif" w:hAnsi="DejaVu Serif" w:eastAsia="DejaVu Serif"/>
                <w:b w:val="0"/>
                <w:i w:val="0"/>
                <w:sz w:val="15"/>
              </w:rPr>
              <w:t>physical meaning and universality</w:t>
            </w:r>
          </w:p>
        </w:tc>
      </w:tr>
      <w:tr>
        <w:tc>
          <w:tcPr>
            <w:tcW w:type="dxa" w:w="1247"/>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PN2-9.1</w:t>
            </w:r>
          </w:p>
        </w:tc>
        <w:tc>
          <w:tcPr>
            <w:tcW w:type="dxa" w:w="1701"/>
            <w:tcMar>
              <w:top w:w="90" w:type="dxa"/>
              <w:start w:w="110" w:type="dxa"/>
              <w:bottom w:w="90" w:type="dxa"/>
              <w:end w:w="110" w:type="dxa"/>
            </w:tcMar>
            <w:vAlign w:val="center"/>
            <w:shd w:fill="F4F7FA"/>
          </w:tcPr>
          <w:p>
            <w:pPr>
              <w:jc w:val="left"/>
            </w:pPr>
            <w:r>
              <w:rPr>
                <w:rFonts w:ascii="DejaVu Serif" w:hAnsi="DejaVu Serif" w:eastAsia="DejaVu Serif"/>
                <w:b w:val="0"/>
                <w:i w:val="0"/>
                <w:sz w:val="15"/>
              </w:rPr>
              <w:t>D1</w:t>
            </w:r>
          </w:p>
        </w:tc>
        <w:tc>
          <w:tcPr>
            <w:tcW w:type="dxa" w:w="3118"/>
            <w:tcMar>
              <w:top w:w="90" w:type="dxa"/>
              <w:start w:w="110" w:type="dxa"/>
              <w:bottom w:w="90" w:type="dxa"/>
              <w:end w:w="110" w:type="dxa"/>
            </w:tcMar>
            <w:vAlign w:val="center"/>
            <w:shd w:fill="F4F7FA"/>
          </w:tcPr>
          <w:p>
            <w:pPr>
              <w:jc w:val="left"/>
            </w:pPr>
            <w:r>
              <w:rPr>
                <w:rFonts w:ascii="DejaVu Serif" w:hAnsi="DejaVu Serif" w:eastAsia="DejaVu Serif"/>
                <w:b w:val="0"/>
                <w:i w:val="0"/>
                <w:sz w:val="15"/>
              </w:rPr>
              <w:t>uniform form for epsilon_minus&gt;0 on fixed Omega</w:t>
            </w:r>
          </w:p>
        </w:tc>
        <w:tc>
          <w:tcPr>
            <w:tcW w:type="dxa" w:w="3118"/>
            <w:tcMar>
              <w:top w:w="90" w:type="dxa"/>
              <w:start w:w="110" w:type="dxa"/>
              <w:bottom w:w="90" w:type="dxa"/>
              <w:end w:w="110" w:type="dxa"/>
            </w:tcMar>
            <w:vAlign w:val="center"/>
            <w:shd w:fill="F4F7FA"/>
          </w:tcPr>
          <w:p>
            <w:pPr>
              <w:jc w:val="left"/>
            </w:pPr>
            <w:r>
              <w:rPr>
                <w:rFonts w:ascii="DejaVu Serif" w:hAnsi="DejaVu Serif" w:eastAsia="DejaVu Serif"/>
                <w:b w:val="0"/>
                <w:i w:val="0"/>
                <w:sz w:val="15"/>
              </w:rPr>
              <w:t>global constant without coercivity</w:t>
            </w:r>
          </w:p>
        </w:tc>
      </w:tr>
      <w:tr>
        <w:tc>
          <w:tcPr>
            <w:tcW w:type="dxa" w:w="1247"/>
            <w:tcMar>
              <w:top w:w="90" w:type="dxa"/>
              <w:start w:w="110" w:type="dxa"/>
              <w:bottom w:w="90" w:type="dxa"/>
              <w:end w:w="110" w:type="dxa"/>
            </w:tcMar>
            <w:vAlign w:val="center"/>
          </w:tcPr>
          <w:p>
            <w:pPr>
              <w:jc w:val="center"/>
            </w:pPr>
            <w:r>
              <w:rPr>
                <w:rFonts w:ascii="DejaVu Serif" w:hAnsi="DejaVu Serif" w:eastAsia="DejaVu Serif"/>
                <w:b w:val="0"/>
                <w:i w:val="0"/>
                <w:sz w:val="15"/>
              </w:rPr>
              <w:t>PO-11</w:t>
            </w:r>
          </w:p>
        </w:tc>
        <w:tc>
          <w:tcPr>
            <w:tcW w:type="dxa" w:w="1701"/>
            <w:tcMar>
              <w:top w:w="90" w:type="dxa"/>
              <w:start w:w="110" w:type="dxa"/>
              <w:bottom w:w="90" w:type="dxa"/>
              <w:end w:w="110" w:type="dxa"/>
            </w:tcMar>
            <w:vAlign w:val="center"/>
          </w:tcPr>
          <w:p>
            <w:pPr>
              <w:jc w:val="left"/>
            </w:pPr>
            <w:r>
              <w:rPr>
                <w:rFonts w:ascii="DejaVu Serif" w:hAnsi="DejaVu Serif" w:eastAsia="DejaVu Serif"/>
                <w:b w:val="0"/>
                <w:i w:val="0"/>
                <w:sz w:val="15"/>
              </w:rPr>
              <w:t>closed abstract</w:t>
            </w:r>
          </w:p>
        </w:tc>
        <w:tc>
          <w:tcPr>
            <w:tcW w:type="dxa" w:w="3118"/>
            <w:tcMar>
              <w:top w:w="90" w:type="dxa"/>
              <w:start w:w="110" w:type="dxa"/>
              <w:bottom w:w="90" w:type="dxa"/>
              <w:end w:w="110" w:type="dxa"/>
            </w:tcMar>
            <w:vAlign w:val="center"/>
          </w:tcPr>
          <w:p>
            <w:pPr>
              <w:jc w:val="left"/>
            </w:pPr>
            <w:r>
              <w:rPr>
                <w:rFonts w:ascii="DejaVu Serif" w:hAnsi="DejaVu Serif" w:eastAsia="DejaVu Serif"/>
                <w:b w:val="0"/>
                <w:i w:val="0"/>
                <w:sz w:val="15"/>
              </w:rPr>
              <w:t>four explicit constructions A.1-A.4</w:t>
            </w:r>
          </w:p>
        </w:tc>
        <w:tc>
          <w:tcPr>
            <w:tcW w:type="dxa" w:w="3118"/>
            <w:tcMar>
              <w:top w:w="90" w:type="dxa"/>
              <w:start w:w="110" w:type="dxa"/>
              <w:bottom w:w="90" w:type="dxa"/>
              <w:end w:w="110" w:type="dxa"/>
            </w:tcMar>
            <w:vAlign w:val="center"/>
          </w:tcPr>
          <w:p>
            <w:pPr>
              <w:jc w:val="left"/>
            </w:pPr>
            <w:r>
              <w:rPr>
                <w:rFonts w:ascii="DejaVu Serif" w:hAnsi="DejaVu Serif" w:eastAsia="DejaVu Serif"/>
                <w:b w:val="0"/>
                <w:i w:val="0"/>
                <w:sz w:val="15"/>
              </w:rPr>
              <w:t>transfer to physical R-star-R</w:t>
            </w:r>
          </w:p>
        </w:tc>
      </w:tr>
      <w:tr>
        <w:tc>
          <w:tcPr>
            <w:tcW w:type="dxa" w:w="1247"/>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PO-12</w:t>
            </w:r>
          </w:p>
        </w:tc>
        <w:tc>
          <w:tcPr>
            <w:tcW w:type="dxa" w:w="1701"/>
            <w:tcMar>
              <w:top w:w="90" w:type="dxa"/>
              <w:start w:w="110" w:type="dxa"/>
              <w:bottom w:w="90" w:type="dxa"/>
              <w:end w:w="110" w:type="dxa"/>
            </w:tcMar>
            <w:vAlign w:val="center"/>
            <w:shd w:fill="F4F7FA"/>
          </w:tcPr>
          <w:p>
            <w:pPr>
              <w:jc w:val="left"/>
            </w:pPr>
            <w:r>
              <w:rPr>
                <w:rFonts w:ascii="DejaVu Serif" w:hAnsi="DejaVu Serif" w:eastAsia="DejaVu Serif"/>
                <w:b w:val="0"/>
                <w:i w:val="0"/>
                <w:sz w:val="15"/>
              </w:rPr>
              <w:t>closed abstract / C1</w:t>
            </w:r>
          </w:p>
        </w:tc>
        <w:tc>
          <w:tcPr>
            <w:tcW w:type="dxa" w:w="3118"/>
            <w:tcMar>
              <w:top w:w="90" w:type="dxa"/>
              <w:start w:w="110" w:type="dxa"/>
              <w:bottom w:w="90" w:type="dxa"/>
              <w:end w:w="110" w:type="dxa"/>
            </w:tcMar>
            <w:vAlign w:val="center"/>
            <w:shd w:fill="F4F7FA"/>
          </w:tcPr>
          <w:p>
            <w:pPr>
              <w:jc w:val="left"/>
            </w:pPr>
            <w:r>
              <w:rPr>
                <w:rFonts w:ascii="DejaVu Serif" w:hAnsi="DejaVu Serif" w:eastAsia="DejaVu Serif"/>
                <w:b w:val="0"/>
                <w:i w:val="0"/>
                <w:sz w:val="15"/>
              </w:rPr>
              <w:t>internal computable certificate for A2</w:t>
            </w:r>
          </w:p>
        </w:tc>
        <w:tc>
          <w:tcPr>
            <w:tcW w:type="dxa" w:w="3118"/>
            <w:tcMar>
              <w:top w:w="90" w:type="dxa"/>
              <w:start w:w="110" w:type="dxa"/>
              <w:bottom w:w="90" w:type="dxa"/>
              <w:end w:w="110" w:type="dxa"/>
            </w:tcMar>
            <w:vAlign w:val="center"/>
            <w:shd w:fill="F4F7FA"/>
          </w:tcPr>
          <w:p>
            <w:pPr>
              <w:jc w:val="left"/>
            </w:pPr>
            <w:r>
              <w:rPr>
                <w:rFonts w:ascii="DejaVu Serif" w:hAnsi="DejaVu Serif" w:eastAsia="DejaVu Serif"/>
                <w:b w:val="0"/>
                <w:i w:val="0"/>
                <w:sz w:val="15"/>
              </w:rPr>
              <w:t>independent replication and physical certificate</w:t>
            </w:r>
          </w:p>
        </w:tc>
      </w:tr>
      <w:tr>
        <w:tc>
          <w:tcPr>
            <w:tcW w:type="dxa" w:w="1247"/>
            <w:tcMar>
              <w:top w:w="90" w:type="dxa"/>
              <w:start w:w="110" w:type="dxa"/>
              <w:bottom w:w="90" w:type="dxa"/>
              <w:end w:w="110" w:type="dxa"/>
            </w:tcMar>
            <w:vAlign w:val="center"/>
          </w:tcPr>
          <w:p>
            <w:pPr>
              <w:jc w:val="center"/>
            </w:pPr>
            <w:r>
              <w:rPr>
                <w:rFonts w:ascii="DejaVu Serif" w:hAnsi="DejaVu Serif" w:eastAsia="DejaVu Serif"/>
                <w:b w:val="0"/>
                <w:i w:val="0"/>
                <w:sz w:val="15"/>
              </w:rPr>
              <w:t>F-1-F-14</w:t>
            </w:r>
          </w:p>
        </w:tc>
        <w:tc>
          <w:tcPr>
            <w:tcW w:type="dxa" w:w="1701"/>
            <w:tcMar>
              <w:top w:w="90" w:type="dxa"/>
              <w:start w:w="110" w:type="dxa"/>
              <w:bottom w:w="90" w:type="dxa"/>
              <w:end w:w="110" w:type="dxa"/>
            </w:tcMar>
            <w:vAlign w:val="center"/>
          </w:tcPr>
          <w:p>
            <w:pPr>
              <w:jc w:val="left"/>
            </w:pPr>
            <w:r>
              <w:rPr>
                <w:rFonts w:ascii="DejaVu Serif" w:hAnsi="DejaVu Serif" w:eastAsia="DejaVu Serif"/>
                <w:b w:val="0"/>
                <w:i w:val="0"/>
                <w:sz w:val="15"/>
              </w:rPr>
              <w:t>D0/M0-M1/E0/R1</w:t>
            </w:r>
          </w:p>
        </w:tc>
        <w:tc>
          <w:tcPr>
            <w:tcW w:type="dxa" w:w="3118"/>
            <w:tcMar>
              <w:top w:w="90" w:type="dxa"/>
              <w:start w:w="110" w:type="dxa"/>
              <w:bottom w:w="90" w:type="dxa"/>
              <w:end w:w="110" w:type="dxa"/>
            </w:tcMar>
            <w:vAlign w:val="center"/>
          </w:tcPr>
          <w:p>
            <w:pPr>
              <w:jc w:val="left"/>
            </w:pPr>
            <w:r>
              <w:rPr>
                <w:rFonts w:ascii="DejaVu Serif" w:hAnsi="DejaVu Serif" w:eastAsia="DejaVu Serif"/>
                <w:b w:val="0"/>
                <w:i w:val="0"/>
                <w:sz w:val="15"/>
              </w:rPr>
              <w:t>falsifiable verification programme</w:t>
            </w:r>
          </w:p>
        </w:tc>
        <w:tc>
          <w:tcPr>
            <w:tcW w:type="dxa" w:w="3118"/>
            <w:tcMar>
              <w:top w:w="90" w:type="dxa"/>
              <w:start w:w="110" w:type="dxa"/>
              <w:bottom w:w="90" w:type="dxa"/>
              <w:end w:w="110" w:type="dxa"/>
            </w:tcMar>
            <w:vAlign w:val="center"/>
          </w:tcPr>
          <w:p>
            <w:pPr>
              <w:jc w:val="left"/>
            </w:pPr>
            <w:r>
              <w:rPr>
                <w:rFonts w:ascii="DejaVu Serif" w:hAnsi="DejaVu Serif" w:eastAsia="DejaVu Serif"/>
                <w:b w:val="0"/>
                <w:i w:val="0"/>
                <w:sz w:val="15"/>
              </w:rPr>
              <w:t>experimental confirmation</w:t>
            </w:r>
          </w:p>
        </w:tc>
      </w:tr>
    </w:tbl>
    <w:p>
      <w:pPr>
        <w:spacing w:after="40"/>
      </w:pPr>
    </w:p>
    <w:p>
      <w:pPr>
        <w:spacing w:after="80" w:line="269" w:lineRule="auto"/>
        <w:jc w:val="both"/>
      </w:pPr>
      <w:r>
        <w:rPr>
          <w:rFonts w:ascii="DejaVu Serif" w:hAnsi="DejaVu Serif" w:eastAsia="DejaVu Serif"/>
          <w:b w:val="0"/>
          <w:i w:val="0"/>
        </w:rPr>
        <w:t>No diagram, simulation, internal certificate, or parameter coincidence changes E0 to E1-E4. Promotion requires calibration, frozen protocol, data, and independent replication.</w:t>
      </w:r>
    </w:p>
    <w:p>
      <w:pPr>
        <w:pStyle w:val="Heading2"/>
        <w:keepNext/>
      </w:pPr>
      <w:r>
        <w:t>G.7. Canonical Companion-File Map</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3005"/>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4"/>
              </w:rPr>
              <w:t>File</w:t>
            </w:r>
          </w:p>
        </w:tc>
        <w:tc>
          <w:tcPr>
            <w:tcW w:type="dxa" w:w="4082"/>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4"/>
              </w:rPr>
              <w:t>Recorded SHA-256</w:t>
            </w:r>
          </w:p>
        </w:tc>
        <w:tc>
          <w:tcPr>
            <w:tcW w:type="dxa" w:w="209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4"/>
              </w:rPr>
              <w:t>Role</w:t>
            </w:r>
          </w:p>
        </w:tc>
      </w:tr>
      <w:tr>
        <w:tc>
          <w:tcPr>
            <w:tcW w:type="dxa" w:w="3005"/>
            <w:tcMar>
              <w:top w:w="90" w:type="dxa"/>
              <w:start w:w="110" w:type="dxa"/>
              <w:bottom w:w="90" w:type="dxa"/>
              <w:end w:w="110" w:type="dxa"/>
            </w:tcMar>
            <w:vAlign w:val="center"/>
          </w:tcPr>
          <w:p>
            <w:pPr>
              <w:jc w:val="center"/>
            </w:pPr>
            <w:r>
              <w:rPr>
                <w:rFonts w:ascii="DejaVu Serif" w:hAnsi="DejaVu Serif" w:eastAsia="DejaVu Serif"/>
                <w:b w:val="0"/>
                <w:i w:val="0"/>
                <w:sz w:val="14"/>
              </w:rPr>
              <w:t>PN2_verify_protocol_v1.docx</w:t>
            </w:r>
          </w:p>
        </w:tc>
        <w:tc>
          <w:tcPr>
            <w:tcW w:type="dxa" w:w="4082"/>
            <w:tcMar>
              <w:top w:w="90" w:type="dxa"/>
              <w:start w:w="110" w:type="dxa"/>
              <w:bottom w:w="90" w:type="dxa"/>
              <w:end w:w="110" w:type="dxa"/>
            </w:tcMar>
            <w:vAlign w:val="center"/>
          </w:tcPr>
          <w:p>
            <w:pPr>
              <w:jc w:val="left"/>
            </w:pPr>
            <w:r>
              <w:rPr>
                <w:rFonts w:ascii="DejaVu Serif" w:hAnsi="DejaVu Serif" w:eastAsia="DejaVu Serif"/>
                <w:b w:val="0"/>
                <w:i w:val="0"/>
                <w:sz w:val="14"/>
              </w:rPr>
              <w:t>df02c167f71383d90f170df41b17ebdf82c5d96c3405af798ca4099cb04428fc</w:t>
            </w:r>
          </w:p>
        </w:tc>
        <w:tc>
          <w:tcPr>
            <w:tcW w:type="dxa" w:w="2098"/>
            <w:tcMar>
              <w:top w:w="90" w:type="dxa"/>
              <w:start w:w="110" w:type="dxa"/>
              <w:bottom w:w="90" w:type="dxa"/>
              <w:end w:w="110" w:type="dxa"/>
            </w:tcMar>
            <w:vAlign w:val="center"/>
          </w:tcPr>
          <w:p>
            <w:pPr>
              <w:jc w:val="left"/>
            </w:pPr>
            <w:r>
              <w:rPr>
                <w:rFonts w:ascii="DejaVu Serif" w:hAnsi="DejaVu Serif" w:eastAsia="DejaVu Serif"/>
                <w:b w:val="0"/>
                <w:i w:val="0"/>
                <w:sz w:val="14"/>
              </w:rPr>
              <w:t>editable methodological protocol</w:t>
            </w:r>
          </w:p>
        </w:tc>
      </w:tr>
      <w:tr>
        <w:tc>
          <w:tcPr>
            <w:tcW w:type="dxa" w:w="3005"/>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PN2_verify_illustrated_v1.pdf</w:t>
            </w:r>
          </w:p>
        </w:tc>
        <w:tc>
          <w:tcPr>
            <w:tcW w:type="dxa" w:w="4082"/>
            <w:tcMar>
              <w:top w:w="90" w:type="dxa"/>
              <w:start w:w="110" w:type="dxa"/>
              <w:bottom w:w="90" w:type="dxa"/>
              <w:end w:w="110" w:type="dxa"/>
            </w:tcMar>
            <w:vAlign w:val="center"/>
            <w:shd w:fill="F4F7FA"/>
          </w:tcPr>
          <w:p>
            <w:pPr>
              <w:jc w:val="left"/>
            </w:pPr>
            <w:r>
              <w:rPr>
                <w:rFonts w:ascii="DejaVu Serif" w:hAnsi="DejaVu Serif" w:eastAsia="DejaVu Serif"/>
                <w:b w:val="0"/>
                <w:i w:val="0"/>
                <w:sz w:val="14"/>
              </w:rPr>
              <w:t>2d08c8a504fa649a701c1e6707ec4a09870c00c4a174d9cef50a2e7dd01f7fd6</w:t>
            </w:r>
          </w:p>
        </w:tc>
        <w:tc>
          <w:tcPr>
            <w:tcW w:type="dxa" w:w="2098"/>
            <w:tcMar>
              <w:top w:w="90" w:type="dxa"/>
              <w:start w:w="110" w:type="dxa"/>
              <w:bottom w:w="90" w:type="dxa"/>
              <w:end w:w="110" w:type="dxa"/>
            </w:tcMar>
            <w:vAlign w:val="center"/>
            <w:shd w:fill="F4F7FA"/>
          </w:tcPr>
          <w:p>
            <w:pPr>
              <w:jc w:val="left"/>
            </w:pPr>
            <w:r>
              <w:rPr>
                <w:rFonts w:ascii="DejaVu Serif" w:hAnsi="DejaVu Serif" w:eastAsia="DejaVu Serif"/>
                <w:b w:val="0"/>
                <w:i w:val="0"/>
                <w:sz w:val="14"/>
              </w:rPr>
              <w:t>illustrated protocol edition</w:t>
            </w:r>
          </w:p>
        </w:tc>
      </w:tr>
      <w:tr>
        <w:tc>
          <w:tcPr>
            <w:tcW w:type="dxa" w:w="3005"/>
            <w:tcMar>
              <w:top w:w="90" w:type="dxa"/>
              <w:start w:w="110" w:type="dxa"/>
              <w:bottom w:w="90" w:type="dxa"/>
              <w:end w:w="110" w:type="dxa"/>
            </w:tcMar>
            <w:vAlign w:val="center"/>
          </w:tcPr>
          <w:p>
            <w:pPr>
              <w:jc w:val="center"/>
            </w:pPr>
            <w:r>
              <w:rPr>
                <w:rFonts w:ascii="DejaVu Serif" w:hAnsi="DejaVu Serif" w:eastAsia="DejaVu Serif"/>
                <w:b w:val="0"/>
                <w:i w:val="0"/>
                <w:sz w:val="14"/>
              </w:rPr>
              <w:t>pn2_f1_f14_atlas_ru_v1.pdf</w:t>
            </w:r>
          </w:p>
        </w:tc>
        <w:tc>
          <w:tcPr>
            <w:tcW w:type="dxa" w:w="4082"/>
            <w:tcMar>
              <w:top w:w="90" w:type="dxa"/>
              <w:start w:w="110" w:type="dxa"/>
              <w:bottom w:w="90" w:type="dxa"/>
              <w:end w:w="110" w:type="dxa"/>
            </w:tcMar>
            <w:vAlign w:val="center"/>
          </w:tcPr>
          <w:p>
            <w:pPr>
              <w:jc w:val="left"/>
            </w:pPr>
            <w:r>
              <w:rPr>
                <w:rFonts w:ascii="DejaVu Serif" w:hAnsi="DejaVu Serif" w:eastAsia="DejaVu Serif"/>
                <w:b w:val="0"/>
                <w:i w:val="0"/>
                <w:sz w:val="14"/>
              </w:rPr>
              <w:t>4a15ca6a73a71767a593f0b26ac26b78ddc14cb874c143231efa18500f2bf62c</w:t>
            </w:r>
          </w:p>
        </w:tc>
        <w:tc>
          <w:tcPr>
            <w:tcW w:type="dxa" w:w="2098"/>
            <w:tcMar>
              <w:top w:w="90" w:type="dxa"/>
              <w:start w:w="110" w:type="dxa"/>
              <w:bottom w:w="90" w:type="dxa"/>
              <w:end w:w="110" w:type="dxa"/>
            </w:tcMar>
            <w:vAlign w:val="center"/>
          </w:tcPr>
          <w:p>
            <w:pPr>
              <w:jc w:val="left"/>
            </w:pPr>
            <w:r>
              <w:rPr>
                <w:rFonts w:ascii="DejaVu Serif" w:hAnsi="DejaVu Serif" w:eastAsia="DejaVu Serif"/>
                <w:b w:val="0"/>
                <w:i w:val="0"/>
                <w:sz w:val="14"/>
              </w:rPr>
              <w:t>standalone F-1-F-14 atlas</w:t>
            </w:r>
          </w:p>
        </w:tc>
      </w:tr>
    </w:tbl>
    <w:p>
      <w:pPr>
        <w:spacing w:after="40"/>
      </w:pPr>
    </w:p>
    <w:p>
      <w:pPr>
        <w:spacing w:before="80" w:after="100"/>
        <w:jc w:val="center"/>
      </w:pPr>
      <w:r>
        <w:rPr>
          <w:rFonts w:ascii="DejaVu Serif" w:hAnsi="DejaVu Serif" w:eastAsia="DejaVu Serif"/>
          <w:b w:val="0"/>
          <w:i w:val="0"/>
          <w:sz w:val="21"/>
        </w:rPr>
        <w:t>SHA-256(canonical exact F-1-F-14 strings)=87665008c2cf5b84faceaa669c4a70b2e8a2de7f8bcddea1ced3198578e63ddc</w:t>
      </w:r>
      <w:r>
        <w:rPr>
          <w:rFonts w:ascii="DejaVu Serif" w:hAnsi="DejaVu Serif" w:eastAsia="DejaVu Serif"/>
          <w:b w:val="0"/>
          <w:i/>
          <w:color w:val="6B7280"/>
          <w:sz w:val="17"/>
        </w:rPr>
        <w:t xml:space="preserve">    [RU p. 235]</w:t>
      </w:r>
    </w:p>
    <w:p>
      <w:pPr>
        <w:pStyle w:val="Heading2"/>
        <w:keepNext/>
      </w:pPr>
      <w:r>
        <w:t>G.8. Publication Formula and Status</w:t>
      </w:r>
    </w:p>
    <w:p>
      <w:pPr>
        <w:spacing w:after="80" w:line="269" w:lineRule="auto"/>
        <w:jc w:val="both"/>
      </w:pPr>
      <w:r>
        <w:rPr>
          <w:rFonts w:ascii="DejaVu Serif" w:hAnsi="DejaVu Serif" w:eastAsia="DejaVu Serif"/>
          <w:b w:val="0"/>
          <w:i w:val="0"/>
        </w:rPr>
        <w:t>Controlled publication statement: A mathematical model of structural uncertainty is proposed; a minimax theorem is proved inside the model; the physical bridges F-1-F-14 are formulated as a falsifiable programme of independent verification.</w:t>
      </w: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APPENDIX-G VERDICT. </w:t>
            </w:r>
            <w:r>
              <w:rPr>
                <w:rFonts w:ascii="DejaVu Serif" w:hAnsi="DejaVu Serif" w:eastAsia="DejaVu Serif"/>
                <w:b w:val="0"/>
                <w:i w:val="0"/>
                <w:sz w:val="18"/>
              </w:rPr>
              <w:t>PN.2 mathematics and physical programme synchronized; F001-F086 notation frozen; PO-11/PO-12 abstract closure preserved; F-1-F-14 remain E0; independent EXT-RUN absent; truth_layer_promotion=0.</w:t>
            </w:r>
          </w:p>
        </w:tc>
      </w:tr>
    </w:tbl>
    <w:p>
      <w:pPr>
        <w:spacing w:after="40"/>
      </w:pPr>
    </w:p>
    <w:p>
      <w:pPr>
        <w:pStyle w:val="Heading1"/>
        <w:keepNext/>
      </w:pPr>
      <w:r>
        <w:t>T1-EN-ASSEMBLY-v0.10</w:t>
      </w:r>
    </w:p>
    <w:p>
      <w:pPr>
        <w:spacing w:after="80" w:line="269" w:lineRule="auto"/>
        <w:jc w:val="both"/>
      </w:pPr>
      <w:r>
        <w:rPr>
          <w:rFonts w:ascii="DejaVu Serif" w:hAnsi="DejaVu Serif" w:eastAsia="DejaVu Serif"/>
          <w:b w:val="0"/>
          <w:i w:val="0"/>
        </w:rPr>
        <w:t>CONTROLLED ENGLISH UNIFIED MASTER, NAVIGATION LAYER, AND GLOBAL CROSS-REFERENCE AUDIT</w:t>
      </w: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ASSEMBLY SCOPE. </w:t>
            </w:r>
            <w:r>
              <w:rPr>
                <w:rFonts w:ascii="DejaVu Serif" w:hAnsi="DejaVu Serif" w:eastAsia="DejaVu Serif"/>
                <w:b w:val="0"/>
                <w:i w:val="0"/>
                <w:sz w:val="18"/>
              </w:rPr>
              <w:t>This layer reorganizes navigation and audit metadata only. It does not change mathematical content, formulae, theorem hypotheses, proof status, negative results, physical hypotheses, or the absence of an independent EXT-RUN.</w:t>
            </w:r>
          </w:p>
        </w:tc>
      </w:tr>
    </w:tbl>
    <w:p>
      <w:pPr>
        <w:spacing w:after="40"/>
      </w:pPr>
    </w:p>
    <w:p>
      <w:pPr>
        <w:keepNext/>
        <w:jc w:val="center"/>
      </w:pPr>
      <w:r>
        <w:drawing>
          <wp:inline xmlns:a="http://schemas.openxmlformats.org/drawingml/2006/main" xmlns:pic="http://schemas.openxmlformats.org/drawingml/2006/picture">
            <wp:extent cx="5623560" cy="2510902"/>
            <wp:docPr id="61" name="Picture 61"/>
            <wp:cNvGraphicFramePr>
              <a:graphicFrameLocks noChangeAspect="1"/>
            </wp:cNvGraphicFramePr>
            <a:graphic>
              <a:graphicData uri="http://schemas.openxmlformats.org/drawingml/2006/picture">
                <pic:pic>
                  <pic:nvPicPr>
                    <pic:cNvPr id="0" name="fig_assembly.png"/>
                    <pic:cNvPicPr/>
                  </pic:nvPicPr>
                  <pic:blipFill>
                    <a:blip r:embed="rId73"/>
                    <a:stretch>
                      <a:fillRect/>
                    </a:stretch>
                  </pic:blipFill>
                  <pic:spPr>
                    <a:xfrm>
                      <a:off x="0" y="0"/>
                      <a:ext cx="5623560" cy="2510902"/>
                    </a:xfrm>
                    <a:prstGeom prst="rect"/>
                  </pic:spPr>
                </pic:pic>
              </a:graphicData>
            </a:graphic>
          </wp:inline>
        </w:drawing>
      </w:r>
    </w:p>
    <w:p>
      <w:pPr>
        <w:pStyle w:val="Caption"/>
        <w:spacing w:before="40" w:after="160"/>
        <w:jc w:val="center"/>
      </w:pPr>
      <w:bookmarkStart w:id="1118" w:name="T1_FIG_060"/>
      <w:r>
        <w:t>Figure T1-EN-ASSEMBLY-001. Unified-master assembly and audit route.</w:t>
      </w:r>
      <w:bookmarkEnd w:id="1118"/>
    </w:p>
    <w:p>
      <w:pPr>
        <w:pStyle w:val="Heading2"/>
        <w:keepNext/>
      </w:pPr>
      <w:r>
        <w:t>1. Assembly Passport</w:t>
      </w:r>
    </w:p>
    <w:tbl>
      <w:tblPr>
        <w:tblStyle w:val="TableGrid"/>
        <w:tblW w:type="auto" w:w="0"/>
        <w:jc w:val="center"/>
        <w:tblLayout w:type="autofit"/>
        <w:tblLook w:firstColumn="1" w:firstRow="1" w:lastColumn="0" w:lastRow="0" w:noHBand="0" w:noVBand="1" w:val="04A0"/>
      </w:tblPr>
      <w:tblGrid>
        <w:gridCol w:w="5035"/>
        <w:gridCol w:w="5035"/>
      </w:tblGrid>
      <w:tr>
        <w:trPr>
          <w:tblHeader w:val="true"/>
        </w:trPr>
        <w:tc>
          <w:tcPr>
            <w:tcW w:type="dxa" w:w="2381"/>
            <w:shd w:fill="E8EEF7"/>
            <w:tcMar>
              <w:top w:w="90" w:type="dxa"/>
              <w:start w:w="100" w:type="dxa"/>
              <w:bottom w:w="90" w:type="dxa"/>
              <w:end w:w="100" w:type="dxa"/>
            </w:tcMar>
            <w:vAlign w:val="center"/>
          </w:tcPr>
          <w:p>
            <w:pPr>
              <w:spacing w:after="0" w:before="0" w:line="252" w:lineRule="auto"/>
              <w:jc w:val="center"/>
            </w:pPr>
            <w:r>
              <w:rPr>
                <w:rFonts w:ascii="DejaVu Serif" w:hAnsi="DejaVu Serif" w:eastAsia="DejaVu Sans"/>
                <w:b/>
                <w:i w:val="0"/>
                <w:color w:val="17345F"/>
                <w:sz w:val="17"/>
              </w:rPr>
              <w:t>Field</w:t>
            </w:r>
          </w:p>
        </w:tc>
        <w:tc>
          <w:tcPr>
            <w:tcW w:type="dxa" w:w="6860"/>
            <w:shd w:fill="E8EEF7"/>
            <w:tcMar>
              <w:top w:w="90" w:type="dxa"/>
              <w:start w:w="100" w:type="dxa"/>
              <w:bottom w:w="90" w:type="dxa"/>
              <w:end w:w="100" w:type="dxa"/>
            </w:tcMar>
            <w:vAlign w:val="center"/>
          </w:tcPr>
          <w:p>
            <w:pPr>
              <w:spacing w:after="0" w:before="0" w:line="252" w:lineRule="auto"/>
              <w:jc w:val="center"/>
            </w:pPr>
            <w:r>
              <w:rPr>
                <w:rFonts w:ascii="DejaVu Serif" w:hAnsi="DejaVu Serif" w:eastAsia="DejaVu Sans"/>
                <w:b/>
                <w:i w:val="0"/>
                <w:color w:val="17345F"/>
                <w:sz w:val="17"/>
              </w:rPr>
              <w:t>Fixed value</w:t>
            </w:r>
          </w:p>
        </w:tc>
      </w:tr>
      <w:tr>
        <w:tc>
          <w:tcPr>
            <w:tcW w:type="dxa" w:w="2381"/>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val="0"/>
                <w:i w:val="0"/>
                <w:sz w:val="17"/>
              </w:rPr>
              <w:t>Author</w:t>
            </w:r>
          </w:p>
        </w:tc>
        <w:tc>
          <w:tcPr>
            <w:tcW w:type="dxa" w:w="6860"/>
            <w:tcMar>
              <w:top w:w="90" w:type="dxa"/>
              <w:start w:w="100" w:type="dxa"/>
              <w:bottom w:w="90" w:type="dxa"/>
              <w:end w:w="100" w:type="dxa"/>
            </w:tcMar>
            <w:vAlign w:val="center"/>
          </w:tcPr>
          <w:p>
            <w:pPr>
              <w:spacing w:after="0" w:before="0" w:line="252" w:lineRule="auto"/>
              <w:jc w:val="left"/>
            </w:pPr>
            <w:r>
              <w:rPr>
                <w:rFonts w:ascii="DejaVu Serif" w:hAnsi="DejaVu Serif" w:eastAsia="DejaVu Serif"/>
                <w:b w:val="0"/>
                <w:i w:val="0"/>
                <w:sz w:val="17"/>
              </w:rPr>
              <w:t>Ivan Borisovich Kurpishev</w:t>
            </w:r>
          </w:p>
        </w:tc>
      </w:tr>
      <w:tr>
        <w:tc>
          <w:tcPr>
            <w:tcW w:type="dxa" w:w="2381"/>
            <w:tcMar>
              <w:top w:w="90" w:type="dxa"/>
              <w:start w:w="100" w:type="dxa"/>
              <w:bottom w:w="90" w:type="dxa"/>
              <w:end w:w="100" w:type="dxa"/>
            </w:tcMar>
            <w:vAlign w:val="center"/>
            <w:shd w:fill="F4F7FA"/>
          </w:tcPr>
          <w:p>
            <w:pPr>
              <w:spacing w:after="0" w:before="0" w:line="252" w:lineRule="auto"/>
              <w:jc w:val="center"/>
            </w:pPr>
            <w:r>
              <w:rPr>
                <w:rFonts w:ascii="DejaVu Serif" w:hAnsi="DejaVu Serif" w:eastAsia="DejaVu Serif"/>
                <w:b w:val="0"/>
                <w:i w:val="0"/>
                <w:sz w:val="17"/>
              </w:rPr>
              <w:t>Canonical authority</w:t>
            </w:r>
          </w:p>
        </w:tc>
        <w:tc>
          <w:tcPr>
            <w:tcW w:type="dxa" w:w="6860"/>
            <w:tcMar>
              <w:top w:w="90" w:type="dxa"/>
              <w:start w:w="100" w:type="dxa"/>
              <w:bottom w:w="90" w:type="dxa"/>
              <w:end w:w="100" w:type="dxa"/>
            </w:tcMar>
            <w:vAlign w:val="center"/>
            <w:shd w:fill="F4F7FA"/>
          </w:tcPr>
          <w:p>
            <w:pPr>
              <w:spacing w:after="0" w:before="0" w:line="252" w:lineRule="auto"/>
            </w:pPr>
            <w:r>
              <w:rPr>
                <w:rFonts w:ascii="DejaVu Serif" w:hAnsi="DejaVu Serif"/>
                <w:sz w:val="17"/>
              </w:rPr>
              <w:t>T1-RU v197 &gt; T1-EN v0.11</w:t>
            </w:r>
          </w:p>
        </w:tc>
      </w:tr>
      <w:tr>
        <w:tc>
          <w:tcPr>
            <w:tcW w:type="dxa" w:w="2381"/>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val="0"/>
                <w:i w:val="0"/>
                <w:sz w:val="17"/>
              </w:rPr>
              <w:t>Content layer</w:t>
            </w:r>
          </w:p>
        </w:tc>
        <w:tc>
          <w:tcPr>
            <w:tcW w:type="dxa" w:w="6860"/>
            <w:tcMar>
              <w:top w:w="90" w:type="dxa"/>
              <w:start w:w="100" w:type="dxa"/>
              <w:bottom w:w="90" w:type="dxa"/>
              <w:end w:w="100" w:type="dxa"/>
            </w:tcMar>
            <w:vAlign w:val="center"/>
          </w:tcPr>
          <w:p>
            <w:pPr>
              <w:spacing w:after="0" w:before="0" w:line="252" w:lineRule="auto"/>
              <w:jc w:val="left"/>
            </w:pPr>
            <w:r>
              <w:rPr>
                <w:rFonts w:ascii="DejaVu Serif" w:hAnsi="DejaVu Serif" w:eastAsia="DejaVu Serif"/>
                <w:b w:val="0"/>
                <w:i w:val="0"/>
                <w:sz w:val="17"/>
              </w:rPr>
              <w:t>52 chapters + Appendices A-G</w:t>
            </w:r>
          </w:p>
        </w:tc>
      </w:tr>
      <w:tr>
        <w:tc>
          <w:tcPr>
            <w:tcW w:type="dxa" w:w="2381"/>
            <w:tcMar>
              <w:top w:w="90" w:type="dxa"/>
              <w:start w:w="100" w:type="dxa"/>
              <w:bottom w:w="90" w:type="dxa"/>
              <w:end w:w="100" w:type="dxa"/>
            </w:tcMar>
            <w:vAlign w:val="center"/>
            <w:shd w:fill="F4F7FA"/>
          </w:tcPr>
          <w:p>
            <w:pPr>
              <w:spacing w:after="0" w:before="0" w:line="252" w:lineRule="auto"/>
              <w:jc w:val="center"/>
            </w:pPr>
            <w:r>
              <w:rPr>
                <w:rFonts w:ascii="DejaVu Serif" w:hAnsi="DejaVu Serif" w:eastAsia="DejaVu Serif"/>
                <w:b w:val="0"/>
                <w:i w:val="0"/>
                <w:sz w:val="17"/>
              </w:rPr>
              <w:t>Formula registry</w:t>
            </w:r>
          </w:p>
        </w:tc>
        <w:tc>
          <w:tcPr>
            <w:tcW w:type="dxa" w:w="6860"/>
            <w:tcMar>
              <w:top w:w="90" w:type="dxa"/>
              <w:start w:w="100" w:type="dxa"/>
              <w:bottom w:w="90" w:type="dxa"/>
              <w:end w:w="100" w:type="dxa"/>
            </w:tcMar>
            <w:vAlign w:val="center"/>
            <w:shd w:fill="F4F7FA"/>
          </w:tcPr>
          <w:p>
            <w:pPr>
              <w:spacing w:after="0" w:before="0" w:line="252" w:lineRule="auto"/>
              <w:jc w:val="left"/>
            </w:pPr>
            <w:r>
              <w:rPr>
                <w:rFonts w:ascii="DejaVu Serif" w:hAnsi="DejaVu Serif" w:eastAsia="DejaVu Serif"/>
                <w:b w:val="0"/>
                <w:i w:val="0"/>
                <w:sz w:val="17"/>
              </w:rPr>
              <w:t>F001-F086</w:t>
            </w:r>
          </w:p>
        </w:tc>
      </w:tr>
      <w:tr>
        <w:tc>
          <w:tcPr>
            <w:tcW w:type="dxa" w:w="2381"/>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val="0"/>
                <w:i w:val="0"/>
                <w:sz w:val="17"/>
              </w:rPr>
              <w:t>Static navigation</w:t>
            </w:r>
          </w:p>
        </w:tc>
        <w:tc>
          <w:tcPr>
            <w:tcW w:type="dxa" w:w="6860"/>
            <w:tcMar>
              <w:top w:w="90" w:type="dxa"/>
              <w:start w:w="100" w:type="dxa"/>
              <w:bottom w:w="90" w:type="dxa"/>
              <w:end w:w="100" w:type="dxa"/>
            </w:tcMar>
            <w:vAlign w:val="center"/>
          </w:tcPr>
          <w:p>
            <w:pPr>
              <w:spacing w:after="0" w:before="0" w:line="252" w:lineRule="auto"/>
              <w:jc w:val="left"/>
            </w:pPr>
            <w:r>
              <w:rPr>
                <w:rFonts w:ascii="DejaVu Serif" w:hAnsi="DejaVu Serif" w:eastAsia="DejaVu Serif"/>
                <w:b w:val="0"/>
                <w:i w:val="0"/>
                <w:sz w:val="17"/>
              </w:rPr>
              <w:t>front chapter/appendix maps with RU and EN pages</w:t>
            </w:r>
          </w:p>
        </w:tc>
      </w:tr>
      <w:tr>
        <w:tc>
          <w:tcPr>
            <w:tcW w:type="dxa" w:w="2381"/>
            <w:tcMar>
              <w:top w:w="90" w:type="dxa"/>
              <w:start w:w="100" w:type="dxa"/>
              <w:bottom w:w="90" w:type="dxa"/>
              <w:end w:w="100" w:type="dxa"/>
            </w:tcMar>
            <w:vAlign w:val="center"/>
            <w:shd w:fill="F4F7FA"/>
          </w:tcPr>
          <w:p>
            <w:pPr>
              <w:spacing w:after="0" w:before="0" w:line="252" w:lineRule="auto"/>
              <w:jc w:val="center"/>
            </w:pPr>
            <w:r>
              <w:rPr>
                <w:rFonts w:ascii="DejaVu Serif" w:hAnsi="DejaVu Serif" w:eastAsia="DejaVu Serif"/>
                <w:b w:val="0"/>
                <w:i w:val="0"/>
                <w:sz w:val="17"/>
              </w:rPr>
              <w:t>Updateable navigation</w:t>
            </w:r>
          </w:p>
        </w:tc>
        <w:tc>
          <w:tcPr>
            <w:tcW w:type="dxa" w:w="6860"/>
            <w:tcMar>
              <w:top w:w="90" w:type="dxa"/>
              <w:start w:w="100" w:type="dxa"/>
              <w:bottom w:w="90" w:type="dxa"/>
              <w:end w:w="100" w:type="dxa"/>
            </w:tcMar>
            <w:vAlign w:val="center"/>
            <w:shd w:fill="F4F7FA"/>
          </w:tcPr>
          <w:p>
            <w:pPr>
              <w:spacing w:after="0" w:before="0" w:line="252" w:lineRule="auto"/>
              <w:jc w:val="left"/>
            </w:pPr>
            <w:r>
              <w:rPr>
                <w:rFonts w:ascii="DejaVu Serif" w:hAnsi="DejaVu Serif" w:eastAsia="DejaVu Serif"/>
                <w:b w:val="0"/>
                <w:i w:val="0"/>
                <w:sz w:val="17"/>
              </w:rPr>
              <w:t>Word TOC field for Heading 1-2</w:t>
            </w:r>
          </w:p>
        </w:tc>
      </w:tr>
      <w:tr>
        <w:tc>
          <w:tcPr>
            <w:tcW w:type="dxa" w:w="2381"/>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val="0"/>
                <w:i w:val="0"/>
                <w:sz w:val="17"/>
              </w:rPr>
              <w:t>Internal links</w:t>
            </w:r>
          </w:p>
        </w:tc>
        <w:tc>
          <w:tcPr>
            <w:tcW w:type="dxa" w:w="6860"/>
            <w:tcMar>
              <w:top w:w="90" w:type="dxa"/>
              <w:start w:w="100" w:type="dxa"/>
              <w:bottom w:w="90" w:type="dxa"/>
              <w:end w:w="100" w:type="dxa"/>
            </w:tcMar>
            <w:vAlign w:val="center"/>
          </w:tcPr>
          <w:p>
            <w:pPr>
              <w:spacing w:after="0" w:before="0" w:line="252" w:lineRule="auto"/>
              <w:jc w:val="left"/>
            </w:pPr>
            <w:r>
              <w:rPr>
                <w:rFonts w:ascii="DejaVu Serif" w:hAnsi="DejaVu Serif" w:eastAsia="DejaVu Serif"/>
                <w:b w:val="0"/>
                <w:i w:val="0"/>
                <w:sz w:val="17"/>
              </w:rPr>
              <w:t>chapter, appendix, and figure bookmarks</w:t>
            </w:r>
          </w:p>
        </w:tc>
      </w:tr>
      <w:tr>
        <w:tc>
          <w:tcPr>
            <w:tcW w:type="dxa" w:w="2381"/>
            <w:tcMar>
              <w:top w:w="90" w:type="dxa"/>
              <w:start w:w="100" w:type="dxa"/>
              <w:bottom w:w="90" w:type="dxa"/>
              <w:end w:w="100" w:type="dxa"/>
            </w:tcMar>
            <w:vAlign w:val="center"/>
            <w:shd w:fill="F4F7FA"/>
          </w:tcPr>
          <w:p>
            <w:pPr>
              <w:spacing w:after="0" w:before="0" w:line="252" w:lineRule="auto"/>
              <w:jc w:val="center"/>
            </w:pPr>
            <w:r>
              <w:rPr>
                <w:rFonts w:ascii="DejaVu Serif" w:hAnsi="DejaVu Serif" w:eastAsia="DejaVu Serif"/>
                <w:b w:val="0"/>
                <w:i w:val="0"/>
                <w:sz w:val="17"/>
              </w:rPr>
              <w:t>Scientific status</w:t>
            </w:r>
          </w:p>
        </w:tc>
        <w:tc>
          <w:tcPr>
            <w:tcW w:type="dxa" w:w="6860"/>
            <w:tcMar>
              <w:top w:w="90" w:type="dxa"/>
              <w:start w:w="100" w:type="dxa"/>
              <w:bottom w:w="90" w:type="dxa"/>
              <w:end w:w="100" w:type="dxa"/>
            </w:tcMar>
            <w:vAlign w:val="center"/>
            <w:shd w:fill="F4F7FA"/>
          </w:tcPr>
          <w:p>
            <w:pPr>
              <w:spacing w:after="0" w:before="0" w:line="252" w:lineRule="auto"/>
              <w:jc w:val="left"/>
            </w:pPr>
            <w:r>
              <w:rPr>
                <w:rFonts w:ascii="DejaVu Serif" w:hAnsi="DejaVu Serif" w:eastAsia="DejaVu Serif"/>
                <w:b w:val="0"/>
                <w:i w:val="0"/>
                <w:sz w:val="17"/>
              </w:rPr>
              <w:t>preserved from RU source; no promotion</w:t>
            </w:r>
          </w:p>
        </w:tc>
      </w:tr>
      <w:tr>
        <w:tc>
          <w:tcPr>
            <w:tcW w:type="dxa" w:w="2381"/>
            <w:tcMar>
              <w:top w:w="90" w:type="dxa"/>
              <w:start w:w="100" w:type="dxa"/>
              <w:bottom w:w="90" w:type="dxa"/>
              <w:end w:w="100" w:type="dxa"/>
            </w:tcMar>
            <w:vAlign w:val="center"/>
          </w:tcPr>
          <w:p>
            <w:pPr>
              <w:spacing w:after="0" w:before="0" w:line="252" w:lineRule="auto"/>
              <w:jc w:val="center"/>
            </w:pPr>
            <w:r>
              <w:rPr>
                <w:rFonts w:ascii="DejaVu Serif" w:hAnsi="DejaVu Serif" w:eastAsia="DejaVu Serif"/>
                <w:b w:val="0"/>
                <w:i w:val="0"/>
                <w:sz w:val="17"/>
              </w:rPr>
              <w:t>Physical status</w:t>
            </w:r>
          </w:p>
        </w:tc>
        <w:tc>
          <w:tcPr>
            <w:tcW w:type="dxa" w:w="6860"/>
            <w:tcMar>
              <w:top w:w="90" w:type="dxa"/>
              <w:start w:w="100" w:type="dxa"/>
              <w:bottom w:w="90" w:type="dxa"/>
              <w:end w:w="100" w:type="dxa"/>
            </w:tcMar>
            <w:vAlign w:val="center"/>
          </w:tcPr>
          <w:p>
            <w:pPr>
              <w:spacing w:after="0" w:before="0" w:line="252" w:lineRule="auto"/>
              <w:jc w:val="left"/>
            </w:pPr>
            <w:r>
              <w:rPr>
                <w:rFonts w:ascii="DejaVu Serif" w:hAnsi="DejaVu Serif" w:eastAsia="DejaVu Serif"/>
                <w:b w:val="0"/>
                <w:i w:val="0"/>
                <w:sz w:val="17"/>
              </w:rPr>
              <w:t>F-1-F-14 E0; EXT-RUN absent</w:t>
            </w:r>
          </w:p>
        </w:tc>
      </w:tr>
      <w:tr>
        <w:tc>
          <w:tcPr>
            <w:tcW w:type="dxa" w:w="2381"/>
            <w:tcMar>
              <w:top w:w="90" w:type="dxa"/>
              <w:start w:w="100" w:type="dxa"/>
              <w:bottom w:w="90" w:type="dxa"/>
              <w:end w:w="100" w:type="dxa"/>
            </w:tcMar>
            <w:vAlign w:val="center"/>
            <w:shd w:fill="F4F7FA"/>
          </w:tcPr>
          <w:p>
            <w:pPr>
              <w:spacing w:after="0" w:before="0" w:line="252" w:lineRule="auto"/>
              <w:jc w:val="center"/>
            </w:pPr>
            <w:r>
              <w:rPr>
                <w:rFonts w:ascii="DejaVu Serif" w:hAnsi="DejaVu Serif" w:eastAsia="DejaVu Serif"/>
                <w:b w:val="0"/>
                <w:i w:val="0"/>
                <w:sz w:val="17"/>
              </w:rPr>
              <w:t>Next checkpoint</w:t>
            </w:r>
          </w:p>
        </w:tc>
        <w:tc>
          <w:tcPr>
            <w:tcW w:type="dxa" w:w="6860"/>
            <w:tcMar>
              <w:top w:w="90" w:type="dxa"/>
              <w:start w:w="100" w:type="dxa"/>
              <w:bottom w:w="90" w:type="dxa"/>
              <w:end w:w="100" w:type="dxa"/>
            </w:tcMar>
            <w:vAlign w:val="center"/>
            <w:shd w:fill="F4F7FA"/>
          </w:tcPr>
          <w:p>
            <w:pPr>
              <w:spacing w:after="0" w:before="0" w:line="252" w:lineRule="auto"/>
            </w:pPr>
            <w:r>
              <w:rPr>
                <w:rFonts w:ascii="DejaVu Serif" w:hAnsi="DejaVu Serif"/>
                <w:sz w:val="17"/>
              </w:rPr>
              <w:t>T1-EN-FC-v0.12</w:t>
            </w:r>
          </w:p>
        </w:tc>
      </w:tr>
    </w:tbl>
    <w:p>
      <w:pPr>
        <w:spacing w:after="40"/>
      </w:pPr>
    </w:p>
    <w:p>
      <w:pPr>
        <w:pStyle w:val="Heading2"/>
        <w:keepNext/>
      </w:pPr>
      <w:r>
        <w:t>2. Updateable Word Table of Contents</w:t>
      </w:r>
    </w:p>
    <w:p>
      <w:pPr>
        <w:spacing w:after="80" w:line="269" w:lineRule="auto"/>
        <w:jc w:val="both"/>
      </w:pPr>
      <w:r>
        <w:rPr>
          <w:rFonts w:ascii="DejaVu Serif" w:hAnsi="DejaVu Serif" w:eastAsia="DejaVu Serif"/>
          <w:b w:val="0"/>
          <w:i w:val="0"/>
        </w:rPr>
        <w:t>The verified static TOC is located in the front chapter and appendix maps. The field below is provided for Word users and is marked for update on document open. The static map remains the release-controlled pagination record.</w:t>
      </w:r>
    </w:p>
    <w:p>
      <w:r>
        <w:fldChar w:fldCharType="begin" w:dirty="true"/>
      </w:r>
      <w:r>
        <w:instrText xml:space="preserve"> TOC \o "1-2" \h \z \u </w:instrText>
      </w:r>
      <w:r>
        <w:fldChar w:fldCharType="separate"/>
      </w:r>
      <w:r>
        <w:t>Update this field in Word to regenerate the heading-based table of contents.</w:t>
      </w:r>
      <w:r>
        <w:fldChar w:fldCharType="end"/>
      </w: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TOC CONTRACT. </w:t>
            </w:r>
            <w:r>
              <w:rPr>
                <w:rFonts w:ascii="DejaVu Serif" w:hAnsi="DejaVu Serif" w:eastAsia="DejaVu Serif"/>
                <w:b w:val="0"/>
                <w:i w:val="0"/>
                <w:sz w:val="18"/>
              </w:rPr>
              <w:t>The Word TOC may be regenerated from Heading 1-2. Regeneration may change displayed pagination in an editor, but it cannot change Russian source locators, stable formula IDs, or evidence status.</w:t>
            </w:r>
          </w:p>
        </w:tc>
      </w:tr>
    </w:tbl>
    <w:p>
      <w:pPr>
        <w:spacing w:after="40"/>
      </w:pPr>
    </w:p>
    <w:p>
      <w:pPr>
        <w:pStyle w:val="Heading2"/>
        <w:keepNext/>
      </w:pPr>
      <w:r>
        <w:t>3. Exact Figure Index</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1587"/>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4"/>
              </w:rPr>
              <w:t>Stable ID</w:t>
            </w:r>
          </w:p>
        </w:tc>
        <w:tc>
          <w:tcPr>
            <w:tcW w:type="dxa" w:w="6690"/>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4"/>
              </w:rPr>
              <w:t>Caption / linked object</w:t>
            </w:r>
          </w:p>
        </w:tc>
        <w:tc>
          <w:tcPr>
            <w:tcW w:type="dxa" w:w="907"/>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4"/>
              </w:rPr>
              <w:t>EN p.</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T1-FIG-001</w:t>
            </w:r>
          </w:p>
        </w:tc>
        <w:tc>
          <w:tcPr>
            <w:tcW w:type="dxa" w:w="6690"/>
            <w:tcMar>
              <w:top w:w="90" w:type="dxa"/>
              <w:start w:w="110" w:type="dxa"/>
              <w:bottom w:w="90" w:type="dxa"/>
              <w:end w:w="110" w:type="dxa"/>
            </w:tcMar>
            <w:vAlign w:val="center"/>
          </w:tcPr>
          <w:p>
            <w:pPr>
              <w:jc w:val="left"/>
            </w:pPr>
            <w:hyperlink w:anchor="T1_FIG_001" w:history="1">
              <w:r>
                <w:rPr>
                  <w:rStyle w:val="Hyperlink"/>
                  <w:color w:val="2E5F8A"/>
                  <w:u w:val="single"/>
                  <w:rFonts w:ascii="DejaVu Serif" w:hAnsi="DejaVu Serif" w:eastAsia="DejaVu Serif"/>
                  <w:sz w:val="14"/>
                </w:rPr>
                <w:t>Figure T1-EN-START-001. Authority chain of the controlled English derivative.</w:t>
              </w:r>
            </w:hyperlink>
          </w:p>
        </w:tc>
        <w:tc>
          <w:tcPr>
            <w:tcW w:type="dxa" w:w="907"/>
            <w:tcMar>
              <w:top w:w="90" w:type="dxa"/>
              <w:start w:w="110" w:type="dxa"/>
              <w:bottom w:w="90" w:type="dxa"/>
              <w:end w:w="110" w:type="dxa"/>
            </w:tcMar>
            <w:vAlign w:val="center"/>
          </w:tcPr>
          <w:p>
            <w:r>
              <w:t>5</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T1-FIG-002</w:t>
            </w:r>
          </w:p>
        </w:tc>
        <w:tc>
          <w:tcPr>
            <w:tcW w:type="dxa" w:w="6690"/>
            <w:tcMar>
              <w:top w:w="90" w:type="dxa"/>
              <w:start w:w="110" w:type="dxa"/>
              <w:bottom w:w="90" w:type="dxa"/>
              <w:end w:w="110" w:type="dxa"/>
            </w:tcMar>
            <w:vAlign w:val="center"/>
            <w:shd w:fill="F4F7FA"/>
          </w:tcPr>
          <w:p>
            <w:pPr>
              <w:jc w:val="left"/>
            </w:pPr>
            <w:hyperlink w:anchor="T1_FIG_002" w:history="1">
              <w:r>
                <w:rPr>
                  <w:rStyle w:val="Hyperlink"/>
                  <w:color w:val="2E5F8A"/>
                  <w:u w:val="single"/>
                  <w:rFonts w:ascii="DejaVu Serif" w:hAnsi="DejaVu Serif" w:eastAsia="DejaVu Serif"/>
                  <w:sz w:val="14"/>
                </w:rPr>
                <w:t>Figure T1-EN-START-002. Staged route from translation contract to frozen English release.</w:t>
              </w:r>
            </w:hyperlink>
          </w:p>
        </w:tc>
        <w:tc>
          <w:tcPr>
            <w:tcW w:type="dxa" w:w="907"/>
            <w:tcMar>
              <w:top w:w="90" w:type="dxa"/>
              <w:start w:w="110" w:type="dxa"/>
              <w:bottom w:w="90" w:type="dxa"/>
              <w:end w:w="110" w:type="dxa"/>
            </w:tcMar>
            <w:vAlign w:val="center"/>
            <w:shd w:fill="F4F7FA"/>
          </w:tcPr>
          <w:p>
            <w:r>
              <w:t>16</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T1-FIG-003</w:t>
            </w:r>
          </w:p>
        </w:tc>
        <w:tc>
          <w:tcPr>
            <w:tcW w:type="dxa" w:w="6690"/>
            <w:tcMar>
              <w:top w:w="90" w:type="dxa"/>
              <w:start w:w="110" w:type="dxa"/>
              <w:bottom w:w="90" w:type="dxa"/>
              <w:end w:w="110" w:type="dxa"/>
            </w:tcMar>
            <w:vAlign w:val="center"/>
          </w:tcPr>
          <w:p>
            <w:pPr>
              <w:jc w:val="left"/>
            </w:pPr>
            <w:hyperlink w:anchor="T1_FIG_003" w:history="1">
              <w:r>
                <w:rPr>
                  <w:rStyle w:val="Hyperlink"/>
                  <w:color w:val="2E5F8A"/>
                  <w:u w:val="single"/>
                  <w:rFonts w:ascii="DejaVu Serif" w:hAnsi="DejaVu Serif" w:eastAsia="DejaVu Serif"/>
                  <w:sz w:val="14"/>
                </w:rPr>
                <w:t>Figure 1.1. Stratified layers of Time@Space and their admissible reductions.</w:t>
              </w:r>
            </w:hyperlink>
          </w:p>
        </w:tc>
        <w:tc>
          <w:tcPr>
            <w:tcW w:type="dxa" w:w="907"/>
            <w:tcMar>
              <w:top w:w="90" w:type="dxa"/>
              <w:start w:w="110" w:type="dxa"/>
              <w:bottom w:w="90" w:type="dxa"/>
              <w:end w:w="110" w:type="dxa"/>
            </w:tcMar>
            <w:vAlign w:val="center"/>
          </w:tcPr>
          <w:p>
            <w:r>
              <w:t>19</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T1-FIG-004</w:t>
            </w:r>
          </w:p>
        </w:tc>
        <w:tc>
          <w:tcPr>
            <w:tcW w:type="dxa" w:w="6690"/>
            <w:tcMar>
              <w:top w:w="90" w:type="dxa"/>
              <w:start w:w="110" w:type="dxa"/>
              <w:bottom w:w="90" w:type="dxa"/>
              <w:end w:w="110" w:type="dxa"/>
            </w:tcMar>
            <w:vAlign w:val="center"/>
            <w:shd w:fill="F4F7FA"/>
          </w:tcPr>
          <w:p>
            <w:pPr>
              <w:jc w:val="left"/>
            </w:pPr>
            <w:hyperlink w:anchor="T1_FIG_004" w:history="1">
              <w:r>
                <w:rPr>
                  <w:rStyle w:val="Hyperlink"/>
                  <w:color w:val="2E5F8A"/>
                  <w:u w:val="single"/>
                  <w:rFonts w:ascii="DejaVu Serif" w:hAnsi="DejaVu Serif" w:eastAsia="DejaVu Serif"/>
                  <w:sz w:val="14"/>
                </w:rPr>
                <w:t>Figure 2.1. The C@C object, versioning, and the transition to evidence gates.</w:t>
              </w:r>
            </w:hyperlink>
          </w:p>
        </w:tc>
        <w:tc>
          <w:tcPr>
            <w:tcW w:type="dxa" w:w="907"/>
            <w:tcMar>
              <w:top w:w="90" w:type="dxa"/>
              <w:start w:w="110" w:type="dxa"/>
              <w:bottom w:w="90" w:type="dxa"/>
              <w:end w:w="110" w:type="dxa"/>
            </w:tcMar>
            <w:vAlign w:val="center"/>
            <w:shd w:fill="F4F7FA"/>
          </w:tcPr>
          <w:p>
            <w:r>
              <w:t>21</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T1-FIG-005</w:t>
            </w:r>
          </w:p>
        </w:tc>
        <w:tc>
          <w:tcPr>
            <w:tcW w:type="dxa" w:w="6690"/>
            <w:tcMar>
              <w:top w:w="90" w:type="dxa"/>
              <w:start w:w="110" w:type="dxa"/>
              <w:bottom w:w="90" w:type="dxa"/>
              <w:end w:w="110" w:type="dxa"/>
            </w:tcMar>
            <w:vAlign w:val="center"/>
          </w:tcPr>
          <w:p>
            <w:pPr>
              <w:jc w:val="left"/>
            </w:pPr>
            <w:hyperlink w:anchor="T1_FIG_005" w:history="1">
              <w:r>
                <w:rPr>
                  <w:rStyle w:val="Hyperlink"/>
                  <w:color w:val="2E5F8A"/>
                  <w:u w:val="single"/>
                  <w:rFonts w:ascii="DejaVu Serif" w:hAnsi="DejaVu Serif" w:eastAsia="DejaVu Serif"/>
                  <w:sz w:val="14"/>
                </w:rPr>
                <w:t>Figure 3.1. Commutative square for a Hodge-compatible packet morphism.</w:t>
              </w:r>
            </w:hyperlink>
          </w:p>
        </w:tc>
        <w:tc>
          <w:tcPr>
            <w:tcW w:type="dxa" w:w="907"/>
            <w:tcMar>
              <w:top w:w="90" w:type="dxa"/>
              <w:start w:w="110" w:type="dxa"/>
              <w:bottom w:w="90" w:type="dxa"/>
              <w:end w:w="110" w:type="dxa"/>
            </w:tcMar>
            <w:vAlign w:val="center"/>
          </w:tcPr>
          <w:p>
            <w:r>
              <w:t>24</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T1-FIG-006</w:t>
            </w:r>
          </w:p>
        </w:tc>
        <w:tc>
          <w:tcPr>
            <w:tcW w:type="dxa" w:w="6690"/>
            <w:tcMar>
              <w:top w:w="90" w:type="dxa"/>
              <w:start w:w="110" w:type="dxa"/>
              <w:bottom w:w="90" w:type="dxa"/>
              <w:end w:w="110" w:type="dxa"/>
            </w:tcMar>
            <w:vAlign w:val="center"/>
            <w:shd w:fill="F4F7FA"/>
          </w:tcPr>
          <w:p>
            <w:pPr>
              <w:jc w:val="left"/>
            </w:pPr>
            <w:hyperlink w:anchor="T1_FIG_006" w:history="1">
              <w:r>
                <w:rPr>
                  <w:rStyle w:val="Hyperlink"/>
                  <w:color w:val="2E5F8A"/>
                  <w:u w:val="single"/>
                  <w:rFonts w:ascii="DejaVu Serif" w:hAnsi="DejaVu Serif" w:eastAsia="DejaVu Serif"/>
                  <w:sz w:val="14"/>
                </w:rPr>
                <w:t>Figure 4.1. Packet/Reper morphism and the components that must be preserved or explicitly transformed.</w:t>
              </w:r>
            </w:hyperlink>
          </w:p>
        </w:tc>
        <w:tc>
          <w:tcPr>
            <w:tcW w:type="dxa" w:w="907"/>
            <w:tcMar>
              <w:top w:w="90" w:type="dxa"/>
              <w:start w:w="110" w:type="dxa"/>
              <w:bottom w:w="90" w:type="dxa"/>
              <w:end w:w="110" w:type="dxa"/>
            </w:tcMar>
            <w:vAlign w:val="center"/>
            <w:shd w:fill="F4F7FA"/>
          </w:tcPr>
          <w:p>
            <w:r>
              <w:t>27</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T1-FIG-007</w:t>
            </w:r>
          </w:p>
        </w:tc>
        <w:tc>
          <w:tcPr>
            <w:tcW w:type="dxa" w:w="6690"/>
            <w:tcMar>
              <w:top w:w="90" w:type="dxa"/>
              <w:start w:w="110" w:type="dxa"/>
              <w:bottom w:w="90" w:type="dxa"/>
              <w:end w:w="110" w:type="dxa"/>
            </w:tcMar>
            <w:vAlign w:val="center"/>
          </w:tcPr>
          <w:p>
            <w:pPr>
              <w:jc w:val="left"/>
            </w:pPr>
            <w:hyperlink w:anchor="T1_FIG_007" w:history="1">
              <w:r>
                <w:rPr>
                  <w:rStyle w:val="Hyperlink"/>
                  <w:color w:val="2E5F8A"/>
                  <w:u w:val="single"/>
                  <w:rFonts w:ascii="DejaVu Serif" w:hAnsi="DejaVu Serif" w:eastAsia="DejaVu Serif"/>
                  <w:sz w:val="14"/>
                </w:rPr>
                <w:t>Figure 5.1. Reper tetrahedron: realised content R, invariant I, possibilities U, and sufficient foundation D.</w:t>
              </w:r>
            </w:hyperlink>
          </w:p>
        </w:tc>
        <w:tc>
          <w:tcPr>
            <w:tcW w:type="dxa" w:w="907"/>
            <w:tcMar>
              <w:top w:w="90" w:type="dxa"/>
              <w:start w:w="110" w:type="dxa"/>
              <w:bottom w:w="90" w:type="dxa"/>
              <w:end w:w="110" w:type="dxa"/>
            </w:tcMar>
            <w:vAlign w:val="center"/>
          </w:tcPr>
          <w:p>
            <w:r>
              <w:t>29</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T1-FIG-008</w:t>
            </w:r>
          </w:p>
        </w:tc>
        <w:tc>
          <w:tcPr>
            <w:tcW w:type="dxa" w:w="6690"/>
            <w:tcMar>
              <w:top w:w="90" w:type="dxa"/>
              <w:start w:w="110" w:type="dxa"/>
              <w:bottom w:w="90" w:type="dxa"/>
              <w:end w:w="110" w:type="dxa"/>
            </w:tcMar>
            <w:vAlign w:val="center"/>
            <w:shd w:fill="F4F7FA"/>
          </w:tcPr>
          <w:p>
            <w:pPr>
              <w:jc w:val="left"/>
            </w:pPr>
            <w:hyperlink w:anchor="T1_FIG_008" w:history="1">
              <w:r>
                <w:rPr>
                  <w:rStyle w:val="Hyperlink"/>
                  <w:color w:val="2E5F8A"/>
                  <w:u w:val="single"/>
                  <w:rFonts w:ascii="DejaVu Serif" w:hAnsi="DejaVu Serif" w:eastAsia="DejaVu Serif"/>
                  <w:sz w:val="14"/>
                </w:rPr>
                <w:t>Figure 6.1. Harmonic Reper quadruple and the value λ=−1.</w:t>
              </w:r>
            </w:hyperlink>
          </w:p>
        </w:tc>
        <w:tc>
          <w:tcPr>
            <w:tcW w:type="dxa" w:w="907"/>
            <w:tcMar>
              <w:top w:w="90" w:type="dxa"/>
              <w:start w:w="110" w:type="dxa"/>
              <w:bottom w:w="90" w:type="dxa"/>
              <w:end w:w="110" w:type="dxa"/>
            </w:tcMar>
            <w:vAlign w:val="center"/>
            <w:shd w:fill="F4F7FA"/>
          </w:tcPr>
          <w:p>
            <w:r>
              <w:t>32</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T1-FIG-009</w:t>
            </w:r>
          </w:p>
        </w:tc>
        <w:tc>
          <w:tcPr>
            <w:tcW w:type="dxa" w:w="6690"/>
            <w:tcMar>
              <w:top w:w="90" w:type="dxa"/>
              <w:start w:w="110" w:type="dxa"/>
              <w:bottom w:w="90" w:type="dxa"/>
              <w:end w:w="110" w:type="dxa"/>
            </w:tcMar>
            <w:vAlign w:val="center"/>
          </w:tcPr>
          <w:p>
            <w:pPr>
              <w:jc w:val="left"/>
            </w:pPr>
            <w:hyperlink w:anchor="T1_FIG_009" w:history="1">
              <w:r>
                <w:rPr>
                  <w:rStyle w:val="Hyperlink"/>
                  <w:color w:val="2E5F8A"/>
                  <w:u w:val="single"/>
                  <w:rFonts w:ascii="DejaVu Serif" w:hAnsi="DejaVu Serif" w:eastAsia="DejaVu Serif"/>
                  <w:sz w:val="14"/>
                </w:rPr>
                <w:t>Figure 7.1. Evidence-status ladder and the mandatory gates between levels.</w:t>
              </w:r>
            </w:hyperlink>
          </w:p>
        </w:tc>
        <w:tc>
          <w:tcPr>
            <w:tcW w:type="dxa" w:w="907"/>
            <w:tcMar>
              <w:top w:w="90" w:type="dxa"/>
              <w:start w:w="110" w:type="dxa"/>
              <w:bottom w:w="90" w:type="dxa"/>
              <w:end w:w="110" w:type="dxa"/>
            </w:tcMar>
            <w:vAlign w:val="center"/>
          </w:tcPr>
          <w:p>
            <w:r>
              <w:t>35</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T1-FIG-010</w:t>
            </w:r>
          </w:p>
        </w:tc>
        <w:tc>
          <w:tcPr>
            <w:tcW w:type="dxa" w:w="6690"/>
            <w:tcMar>
              <w:top w:w="90" w:type="dxa"/>
              <w:start w:w="110" w:type="dxa"/>
              <w:bottom w:w="90" w:type="dxa"/>
              <w:end w:w="110" w:type="dxa"/>
            </w:tcMar>
            <w:vAlign w:val="center"/>
            <w:shd w:fill="F4F7FA"/>
          </w:tcPr>
          <w:p>
            <w:pPr>
              <w:jc w:val="left"/>
            </w:pPr>
            <w:hyperlink w:anchor="T1_FIG_010" w:history="1">
              <w:r>
                <w:rPr>
                  <w:rStyle w:val="Hyperlink"/>
                  <w:color w:val="2E5F8A"/>
                  <w:u w:val="single"/>
                  <w:rFonts w:ascii="DejaVu Serif" w:hAnsi="DejaVu Serif" w:eastAsia="DejaVu Serif"/>
                  <w:sz w:val="14"/>
                </w:rPr>
                <w:t>Figure 8.1. Packet correspondence of the logical laws to Reper components and the packet syllogism.</w:t>
              </w:r>
            </w:hyperlink>
          </w:p>
        </w:tc>
        <w:tc>
          <w:tcPr>
            <w:tcW w:type="dxa" w:w="907"/>
            <w:tcMar>
              <w:top w:w="90" w:type="dxa"/>
              <w:start w:w="110" w:type="dxa"/>
              <w:bottom w:w="90" w:type="dxa"/>
              <w:end w:w="110" w:type="dxa"/>
            </w:tcMar>
            <w:vAlign w:val="center"/>
            <w:shd w:fill="F4F7FA"/>
          </w:tcPr>
          <w:p>
            <w:r>
              <w:t>38</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T1-FIG-011</w:t>
            </w:r>
          </w:p>
        </w:tc>
        <w:tc>
          <w:tcPr>
            <w:tcW w:type="dxa" w:w="6690"/>
            <w:tcMar>
              <w:top w:w="90" w:type="dxa"/>
              <w:start w:w="110" w:type="dxa"/>
              <w:bottom w:w="90" w:type="dxa"/>
              <w:end w:w="110" w:type="dxa"/>
            </w:tcMar>
            <w:vAlign w:val="center"/>
          </w:tcPr>
          <w:p>
            <w:pPr>
              <w:jc w:val="left"/>
            </w:pPr>
            <w:hyperlink w:anchor="T1_FIG_011" w:history="1">
              <w:r>
                <w:rPr>
                  <w:rStyle w:val="Hyperlink"/>
                  <w:color w:val="2E5F8A"/>
                  <w:u w:val="single"/>
                  <w:rFonts w:ascii="DejaVu Serif" w:hAnsi="DejaVu Serif" w:eastAsia="DejaVu Serif"/>
                  <w:sz w:val="14"/>
                </w:rPr>
                <w:t>Figure 9.1. Three independently justified projective roles and the two bridge obligations.</w:t>
              </w:r>
            </w:hyperlink>
          </w:p>
        </w:tc>
        <w:tc>
          <w:tcPr>
            <w:tcW w:type="dxa" w:w="907"/>
            <w:tcMar>
              <w:top w:w="90" w:type="dxa"/>
              <w:start w:w="110" w:type="dxa"/>
              <w:bottom w:w="90" w:type="dxa"/>
              <w:end w:w="110" w:type="dxa"/>
            </w:tcMar>
            <w:vAlign w:val="center"/>
          </w:tcPr>
          <w:p>
            <w:r>
              <w:t>42</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T1-FIG-012</w:t>
            </w:r>
          </w:p>
        </w:tc>
        <w:tc>
          <w:tcPr>
            <w:tcW w:type="dxa" w:w="6690"/>
            <w:tcMar>
              <w:top w:w="90" w:type="dxa"/>
              <w:start w:w="110" w:type="dxa"/>
              <w:bottom w:w="90" w:type="dxa"/>
              <w:end w:w="110" w:type="dxa"/>
            </w:tcMar>
            <w:vAlign w:val="center"/>
            <w:shd w:fill="F4F7FA"/>
          </w:tcPr>
          <w:p>
            <w:pPr>
              <w:jc w:val="left"/>
            </w:pPr>
            <w:hyperlink w:anchor="T1_FIG_012" w:history="1">
              <w:r>
                <w:rPr>
                  <w:rStyle w:val="Hyperlink"/>
                  <w:color w:val="2E5F8A"/>
                  <w:u w:val="single"/>
                  <w:rFonts w:ascii="DejaVu Serif" w:hAnsi="DejaVu Serif" w:eastAsia="DejaVu Serif"/>
                  <w:sz w:val="14"/>
                </w:rPr>
                <w:t>Figure 10.1. FOS as a compatible Reper carrier, world reduction, and the early PN.2 bridge.</w:t>
              </w:r>
            </w:hyperlink>
          </w:p>
        </w:tc>
        <w:tc>
          <w:tcPr>
            <w:tcW w:type="dxa" w:w="907"/>
            <w:tcMar>
              <w:top w:w="90" w:type="dxa"/>
              <w:start w:w="110" w:type="dxa"/>
              <w:bottom w:w="90" w:type="dxa"/>
              <w:end w:w="110" w:type="dxa"/>
            </w:tcMar>
            <w:vAlign w:val="center"/>
            <w:shd w:fill="F4F7FA"/>
          </w:tcPr>
          <w:p>
            <w:r>
              <w:t>45</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T1-FIG-013</w:t>
            </w:r>
          </w:p>
        </w:tc>
        <w:tc>
          <w:tcPr>
            <w:tcW w:type="dxa" w:w="6690"/>
            <w:tcMar>
              <w:top w:w="90" w:type="dxa"/>
              <w:start w:w="110" w:type="dxa"/>
              <w:bottom w:w="90" w:type="dxa"/>
              <w:end w:w="110" w:type="dxa"/>
            </w:tcMar>
            <w:vAlign w:val="center"/>
          </w:tcPr>
          <w:p>
            <w:pPr>
              <w:jc w:val="left"/>
            </w:pPr>
            <w:hyperlink w:anchor="T1_FIG_013" w:history="1">
              <w:r>
                <w:rPr>
                  <w:rStyle w:val="Hyperlink"/>
                  <w:color w:val="2E5F8A"/>
                  <w:u w:val="single"/>
                  <w:rFonts w:ascii="DejaVu Serif" w:hAnsi="DejaVu Serif" w:eastAsia="DejaVu Serif"/>
                  <w:sz w:val="14"/>
                </w:rPr>
                <w:t>Figure 11.1. Reduced NAPG deformation complex: operation, constraint, tangent quotient, and obstruction.</w:t>
              </w:r>
            </w:hyperlink>
          </w:p>
        </w:tc>
        <w:tc>
          <w:tcPr>
            <w:tcW w:type="dxa" w:w="907"/>
            <w:tcMar>
              <w:top w:w="90" w:type="dxa"/>
              <w:start w:w="110" w:type="dxa"/>
              <w:bottom w:w="90" w:type="dxa"/>
              <w:end w:w="110" w:type="dxa"/>
            </w:tcMar>
            <w:vAlign w:val="center"/>
          </w:tcPr>
          <w:p>
            <w:r>
              <w:t>48</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T1-FIG-014</w:t>
            </w:r>
          </w:p>
        </w:tc>
        <w:tc>
          <w:tcPr>
            <w:tcW w:type="dxa" w:w="6690"/>
            <w:tcMar>
              <w:top w:w="90" w:type="dxa"/>
              <w:start w:w="110" w:type="dxa"/>
              <w:bottom w:w="90" w:type="dxa"/>
              <w:end w:w="110" w:type="dxa"/>
            </w:tcMar>
            <w:vAlign w:val="center"/>
            <w:shd w:fill="F4F7FA"/>
          </w:tcPr>
          <w:p>
            <w:pPr>
              <w:jc w:val="left"/>
            </w:pPr>
            <w:hyperlink w:anchor="T1_FIG_014" w:history="1">
              <w:r>
                <w:rPr>
                  <w:rStyle w:val="Hyperlink"/>
                  <w:color w:val="2E5F8A"/>
                  <w:u w:val="single"/>
                  <w:rFonts w:ascii="DejaVu Serif" w:hAnsi="DejaVu Serif" w:eastAsia="DejaVu Serif"/>
                  <w:sz w:val="14"/>
                </w:rPr>
                <w:t>Figure 12.1. Formula-chain audit, FCOC carrier, and the quotient required to cross the Fano barrier.</w:t>
              </w:r>
            </w:hyperlink>
          </w:p>
        </w:tc>
        <w:tc>
          <w:tcPr>
            <w:tcW w:type="dxa" w:w="907"/>
            <w:tcMar>
              <w:top w:w="90" w:type="dxa"/>
              <w:start w:w="110" w:type="dxa"/>
              <w:bottom w:w="90" w:type="dxa"/>
              <w:end w:w="110" w:type="dxa"/>
            </w:tcMar>
            <w:vAlign w:val="center"/>
            <w:shd w:fill="F4F7FA"/>
          </w:tcPr>
          <w:p>
            <w:r>
              <w:t>50</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T1-FIG-015</w:t>
            </w:r>
          </w:p>
        </w:tc>
        <w:tc>
          <w:tcPr>
            <w:tcW w:type="dxa" w:w="6690"/>
            <w:tcMar>
              <w:top w:w="90" w:type="dxa"/>
              <w:start w:w="110" w:type="dxa"/>
              <w:bottom w:w="90" w:type="dxa"/>
              <w:end w:w="110" w:type="dxa"/>
            </w:tcMar>
            <w:vAlign w:val="center"/>
          </w:tcPr>
          <w:p>
            <w:pPr>
              <w:jc w:val="left"/>
            </w:pPr>
            <w:hyperlink w:anchor="T1_FIG_015" w:history="1">
              <w:r>
                <w:rPr>
                  <w:rStyle w:val="Hyperlink"/>
                  <w:color w:val="2E5F8A"/>
                  <w:u w:val="single"/>
                  <w:rFonts w:ascii="DejaVu Serif" w:hAnsi="DejaVu Serif" w:eastAsia="DejaVu Serif"/>
                  <w:sz w:val="14"/>
                </w:rPr>
                <w:t>Figure 13.1. KLT-RBD ingest, evidence graph, and set-valued prediction output.</w:t>
              </w:r>
            </w:hyperlink>
          </w:p>
        </w:tc>
        <w:tc>
          <w:tcPr>
            <w:tcW w:type="dxa" w:w="907"/>
            <w:tcMar>
              <w:top w:w="90" w:type="dxa"/>
              <w:start w:w="110" w:type="dxa"/>
              <w:bottom w:w="90" w:type="dxa"/>
              <w:end w:w="110" w:type="dxa"/>
            </w:tcMar>
            <w:vAlign w:val="center"/>
          </w:tcPr>
          <w:p>
            <w:r>
              <w:t>52</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T1-FIG-016</w:t>
            </w:r>
          </w:p>
        </w:tc>
        <w:tc>
          <w:tcPr>
            <w:tcW w:type="dxa" w:w="6690"/>
            <w:tcMar>
              <w:top w:w="90" w:type="dxa"/>
              <w:start w:w="110" w:type="dxa"/>
              <w:bottom w:w="90" w:type="dxa"/>
              <w:end w:w="110" w:type="dxa"/>
            </w:tcMar>
            <w:vAlign w:val="center"/>
            <w:shd w:fill="F4F7FA"/>
          </w:tcPr>
          <w:p>
            <w:pPr>
              <w:jc w:val="left"/>
            </w:pPr>
            <w:hyperlink w:anchor="T1_FIG_016" w:history="1">
              <w:r>
                <w:rPr>
                  <w:rStyle w:val="Hyperlink"/>
                  <w:color w:val="2E5F8A"/>
                  <w:u w:val="single"/>
                  <w:rFonts w:ascii="DejaVu Serif" w:hAnsi="DejaVu Serif" w:eastAsia="DejaVu Serif"/>
                  <w:sz w:val="14"/>
                </w:rPr>
                <w:t>Figure 14.1. EX-CERT evidence passport and the monotonicity rule for status.</w:t>
              </w:r>
            </w:hyperlink>
          </w:p>
        </w:tc>
        <w:tc>
          <w:tcPr>
            <w:tcW w:type="dxa" w:w="907"/>
            <w:tcMar>
              <w:top w:w="90" w:type="dxa"/>
              <w:start w:w="110" w:type="dxa"/>
              <w:bottom w:w="90" w:type="dxa"/>
              <w:end w:w="110" w:type="dxa"/>
            </w:tcMar>
            <w:vAlign w:val="center"/>
            <w:shd w:fill="F4F7FA"/>
          </w:tcPr>
          <w:p>
            <w:r>
              <w:t>54</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T1-FIG-017</w:t>
            </w:r>
          </w:p>
        </w:tc>
        <w:tc>
          <w:tcPr>
            <w:tcW w:type="dxa" w:w="6690"/>
            <w:tcMar>
              <w:top w:w="90" w:type="dxa"/>
              <w:start w:w="110" w:type="dxa"/>
              <w:bottom w:w="90" w:type="dxa"/>
              <w:end w:w="110" w:type="dxa"/>
            </w:tcMar>
            <w:vAlign w:val="center"/>
          </w:tcPr>
          <w:p>
            <w:pPr>
              <w:jc w:val="left"/>
            </w:pPr>
            <w:hyperlink w:anchor="T1_FIG_017" w:history="1">
              <w:r>
                <w:rPr>
                  <w:rStyle w:val="Hyperlink"/>
                  <w:color w:val="2E5F8A"/>
                  <w:u w:val="single"/>
                  <w:rFonts w:ascii="DejaVu Serif" w:hAnsi="DejaVu Serif" w:eastAsia="DejaVu Serif"/>
                  <w:sz w:val="14"/>
                </w:rPr>
                <w:t>Figure 15.1. Notation firewall and three-layer source passport.</w:t>
              </w:r>
            </w:hyperlink>
          </w:p>
        </w:tc>
        <w:tc>
          <w:tcPr>
            <w:tcW w:type="dxa" w:w="907"/>
            <w:tcMar>
              <w:top w:w="90" w:type="dxa"/>
              <w:start w:w="110" w:type="dxa"/>
              <w:bottom w:w="90" w:type="dxa"/>
              <w:end w:w="110" w:type="dxa"/>
            </w:tcMar>
            <w:vAlign w:val="center"/>
          </w:tcPr>
          <w:p>
            <w:r>
              <w:t>56</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T1-FIG-018</w:t>
            </w:r>
          </w:p>
        </w:tc>
        <w:tc>
          <w:tcPr>
            <w:tcW w:type="dxa" w:w="6690"/>
            <w:tcMar>
              <w:top w:w="90" w:type="dxa"/>
              <w:start w:w="110" w:type="dxa"/>
              <w:bottom w:w="90" w:type="dxa"/>
              <w:end w:w="110" w:type="dxa"/>
            </w:tcMar>
            <w:vAlign w:val="center"/>
            <w:shd w:fill="F4F7FA"/>
          </w:tcPr>
          <w:p>
            <w:pPr>
              <w:jc w:val="left"/>
            </w:pPr>
            <w:hyperlink w:anchor="T1_FIG_018" w:history="1">
              <w:r>
                <w:rPr>
                  <w:rStyle w:val="Hyperlink"/>
                  <w:color w:val="2E5F8A"/>
                  <w:u w:val="single"/>
                  <w:rFonts w:ascii="DejaVu Serif" w:hAnsi="DejaVu Serif" w:eastAsia="DejaVu Serif"/>
                  <w:sz w:val="14"/>
                </w:rPr>
                <w:t>Figure 16.1. Prior-art classes and the authorial synthesis boundary.</w:t>
              </w:r>
            </w:hyperlink>
          </w:p>
        </w:tc>
        <w:tc>
          <w:tcPr>
            <w:tcW w:type="dxa" w:w="907"/>
            <w:tcMar>
              <w:top w:w="90" w:type="dxa"/>
              <w:start w:w="110" w:type="dxa"/>
              <w:bottom w:w="90" w:type="dxa"/>
              <w:end w:w="110" w:type="dxa"/>
            </w:tcMar>
            <w:vAlign w:val="center"/>
            <w:shd w:fill="F4F7FA"/>
          </w:tcPr>
          <w:p>
            <w:r>
              <w:t>58</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T1-FIG-019</w:t>
            </w:r>
          </w:p>
        </w:tc>
        <w:tc>
          <w:tcPr>
            <w:tcW w:type="dxa" w:w="6690"/>
            <w:tcMar>
              <w:top w:w="90" w:type="dxa"/>
              <w:start w:w="110" w:type="dxa"/>
              <w:bottom w:w="90" w:type="dxa"/>
              <w:end w:w="110" w:type="dxa"/>
            </w:tcMar>
            <w:vAlign w:val="center"/>
          </w:tcPr>
          <w:p>
            <w:pPr>
              <w:jc w:val="left"/>
            </w:pPr>
            <w:hyperlink w:anchor="T1_FIG_019" w:history="1">
              <w:r>
                <w:rPr>
                  <w:rStyle w:val="Hyperlink"/>
                  <w:color w:val="2E5F8A"/>
                  <w:u w:val="single"/>
                  <w:rFonts w:ascii="DejaVu Serif" w:hAnsi="DejaVu Serif" w:eastAsia="DejaVu Serif"/>
                  <w:sz w:val="14"/>
                </w:rPr>
                <w:t>Figure 17.1. The complex Reper requires a chart, separation estimate, and an explicit real-reduction map.</w:t>
              </w:r>
            </w:hyperlink>
          </w:p>
        </w:tc>
        <w:tc>
          <w:tcPr>
            <w:tcW w:type="dxa" w:w="907"/>
            <w:tcMar>
              <w:top w:w="90" w:type="dxa"/>
              <w:start w:w="110" w:type="dxa"/>
              <w:bottom w:w="90" w:type="dxa"/>
              <w:end w:w="110" w:type="dxa"/>
            </w:tcMar>
            <w:vAlign w:val="center"/>
          </w:tcPr>
          <w:p>
            <w:r>
              <w:t>63</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T1-FIG-020</w:t>
            </w:r>
          </w:p>
        </w:tc>
        <w:tc>
          <w:tcPr>
            <w:tcW w:type="dxa" w:w="6690"/>
            <w:tcMar>
              <w:top w:w="90" w:type="dxa"/>
              <w:start w:w="110" w:type="dxa"/>
              <w:bottom w:w="90" w:type="dxa"/>
              <w:end w:w="110" w:type="dxa"/>
            </w:tcMar>
            <w:vAlign w:val="center"/>
            <w:shd w:fill="F4F7FA"/>
          </w:tcPr>
          <w:p>
            <w:pPr>
              <w:jc w:val="left"/>
            </w:pPr>
            <w:hyperlink w:anchor="T1_FIG_020" w:history="1">
              <w:r>
                <w:rPr>
                  <w:rStyle w:val="Hyperlink"/>
                  <w:color w:val="2E5F8A"/>
                  <w:u w:val="single"/>
                  <w:rFonts w:ascii="DejaVu Serif" w:hAnsi="DejaVu Serif" w:eastAsia="DejaVu Serif"/>
                  <w:sz w:val="14"/>
                </w:rPr>
                <w:t>Figure 18.1. The operator construction produces a conjugacy class or central diagnostic only after the domain gates are satisfied.</w:t>
              </w:r>
            </w:hyperlink>
          </w:p>
        </w:tc>
        <w:tc>
          <w:tcPr>
            <w:tcW w:type="dxa" w:w="907"/>
            <w:tcMar>
              <w:top w:w="90" w:type="dxa"/>
              <w:start w:w="110" w:type="dxa"/>
              <w:bottom w:w="90" w:type="dxa"/>
              <w:end w:w="110" w:type="dxa"/>
            </w:tcMar>
            <w:vAlign w:val="center"/>
            <w:shd w:fill="F4F7FA"/>
          </w:tcPr>
          <w:p>
            <w:r>
              <w:t>65</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T1-FIG-021</w:t>
            </w:r>
          </w:p>
        </w:tc>
        <w:tc>
          <w:tcPr>
            <w:tcW w:type="dxa" w:w="6690"/>
            <w:tcMar>
              <w:top w:w="90" w:type="dxa"/>
              <w:start w:w="110" w:type="dxa"/>
              <w:bottom w:w="90" w:type="dxa"/>
              <w:end w:w="110" w:type="dxa"/>
            </w:tcMar>
            <w:vAlign w:val="center"/>
          </w:tcPr>
          <w:p>
            <w:pPr>
              <w:jc w:val="left"/>
            </w:pPr>
            <w:hyperlink w:anchor="T1_FIG_021" w:history="1">
              <w:r>
                <w:rPr>
                  <w:rStyle w:val="Hyperlink"/>
                  <w:color w:val="2E5F8A"/>
                  <w:u w:val="single"/>
                  <w:rFonts w:ascii="DejaVu Serif" w:hAnsi="DejaVu Serif" w:eastAsia="DejaVu Serif"/>
                  <w:sz w:val="14"/>
                </w:rPr>
                <w:t>Figure 19.1. Proof-cleaning separates the classical constructions and the authorial bridge identities.</w:t>
              </w:r>
            </w:hyperlink>
          </w:p>
        </w:tc>
        <w:tc>
          <w:tcPr>
            <w:tcW w:type="dxa" w:w="907"/>
            <w:tcMar>
              <w:top w:w="90" w:type="dxa"/>
              <w:start w:w="110" w:type="dxa"/>
              <w:bottom w:w="90" w:type="dxa"/>
              <w:end w:w="110" w:type="dxa"/>
            </w:tcMar>
            <w:vAlign w:val="center"/>
          </w:tcPr>
          <w:p>
            <w:r>
              <w:t>67</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T1-FIG-022</w:t>
            </w:r>
          </w:p>
        </w:tc>
        <w:tc>
          <w:tcPr>
            <w:tcW w:type="dxa" w:w="6690"/>
            <w:tcMar>
              <w:top w:w="90" w:type="dxa"/>
              <w:start w:w="110" w:type="dxa"/>
              <w:bottom w:w="90" w:type="dxa"/>
              <w:end w:w="110" w:type="dxa"/>
            </w:tcMar>
            <w:vAlign w:val="center"/>
            <w:shd w:fill="F4F7FA"/>
          </w:tcPr>
          <w:p>
            <w:pPr>
              <w:jc w:val="left"/>
            </w:pPr>
            <w:hyperlink w:anchor="T1_FIG_022" w:history="1">
              <w:r>
                <w:rPr>
                  <w:rStyle w:val="Hyperlink"/>
                  <w:color w:val="2E5F8A"/>
                  <w:u w:val="single"/>
                  <w:rFonts w:ascii="DejaVu Serif" w:hAnsi="DejaVu Serif" w:eastAsia="DejaVu Serif"/>
                  <w:sz w:val="14"/>
                </w:rPr>
                <w:t>Figure 20.1. Typed reference edges preserve direction, role, and status.</w:t>
              </w:r>
            </w:hyperlink>
          </w:p>
        </w:tc>
        <w:tc>
          <w:tcPr>
            <w:tcW w:type="dxa" w:w="907"/>
            <w:tcMar>
              <w:top w:w="90" w:type="dxa"/>
              <w:start w:w="110" w:type="dxa"/>
              <w:bottom w:w="90" w:type="dxa"/>
              <w:end w:w="110" w:type="dxa"/>
            </w:tcMar>
            <w:vAlign w:val="center"/>
            <w:shd w:fill="F4F7FA"/>
          </w:tcPr>
          <w:p>
            <w:r>
              <w:t>69</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T1-FIG-023</w:t>
            </w:r>
          </w:p>
        </w:tc>
        <w:tc>
          <w:tcPr>
            <w:tcW w:type="dxa" w:w="6690"/>
            <w:tcMar>
              <w:top w:w="90" w:type="dxa"/>
              <w:start w:w="110" w:type="dxa"/>
              <w:bottom w:w="90" w:type="dxa"/>
              <w:end w:w="110" w:type="dxa"/>
            </w:tcMar>
            <w:vAlign w:val="center"/>
          </w:tcPr>
          <w:p>
            <w:pPr>
              <w:jc w:val="left"/>
            </w:pPr>
            <w:hyperlink w:anchor="T1_FIG_023" w:history="1">
              <w:r>
                <w:rPr>
                  <w:rStyle w:val="Hyperlink"/>
                  <w:color w:val="2E5F8A"/>
                  <w:u w:val="single"/>
                  <w:rFonts w:ascii="DejaVu Serif" w:hAnsi="DejaVu Serif" w:eastAsia="DejaVu Serif"/>
                  <w:sz w:val="14"/>
                </w:rPr>
                <w:t>Figure 21.1. Hidden bracketing creates two state targets and two structural targets for one estimator.</w:t>
              </w:r>
            </w:hyperlink>
          </w:p>
        </w:tc>
        <w:tc>
          <w:tcPr>
            <w:tcW w:type="dxa" w:w="907"/>
            <w:tcMar>
              <w:top w:w="90" w:type="dxa"/>
              <w:start w:w="110" w:type="dxa"/>
              <w:bottom w:w="90" w:type="dxa"/>
              <w:end w:w="110" w:type="dxa"/>
            </w:tcMar>
            <w:vAlign w:val="center"/>
          </w:tcPr>
          <w:p>
            <w:r>
              <w:t>70</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T1-FIG-024</w:t>
            </w:r>
          </w:p>
        </w:tc>
        <w:tc>
          <w:tcPr>
            <w:tcW w:type="dxa" w:w="6690"/>
            <w:tcMar>
              <w:top w:w="90" w:type="dxa"/>
              <w:start w:w="110" w:type="dxa"/>
              <w:bottom w:w="90" w:type="dxa"/>
              <w:end w:w="110" w:type="dxa"/>
            </w:tcMar>
            <w:vAlign w:val="center"/>
            <w:shd w:fill="F4F7FA"/>
          </w:tcPr>
          <w:p>
            <w:pPr>
              <w:jc w:val="left"/>
            </w:pPr>
            <w:hyperlink w:anchor="T1_FIG_024" w:history="1">
              <w:r>
                <w:rPr>
                  <w:rStyle w:val="Hyperlink"/>
                  <w:color w:val="2E5F8A"/>
                  <w:u w:val="single"/>
                  <w:rFonts w:ascii="DejaVu Serif" w:hAnsi="DejaVu Serif" w:eastAsia="DejaVu Serif"/>
                  <w:sz w:val="14"/>
                </w:rPr>
                <w:t>Figure 22.1. Prediction is authorized only after D/Dom, PN.2, calibration, and blocker gates.</w:t>
              </w:r>
            </w:hyperlink>
          </w:p>
        </w:tc>
        <w:tc>
          <w:tcPr>
            <w:tcW w:type="dxa" w:w="907"/>
            <w:tcMar>
              <w:top w:w="90" w:type="dxa"/>
              <w:start w:w="110" w:type="dxa"/>
              <w:bottom w:w="90" w:type="dxa"/>
              <w:end w:w="110" w:type="dxa"/>
            </w:tcMar>
            <w:vAlign w:val="center"/>
            <w:shd w:fill="F4F7FA"/>
          </w:tcPr>
          <w:p>
            <w:r>
              <w:t>72</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T1-FIG-025</w:t>
            </w:r>
          </w:p>
        </w:tc>
        <w:tc>
          <w:tcPr>
            <w:tcW w:type="dxa" w:w="6690"/>
            <w:tcMar>
              <w:top w:w="90" w:type="dxa"/>
              <w:start w:w="110" w:type="dxa"/>
              <w:bottom w:w="90" w:type="dxa"/>
              <w:end w:w="110" w:type="dxa"/>
            </w:tcMar>
            <w:vAlign w:val="center"/>
          </w:tcPr>
          <w:p>
            <w:pPr>
              <w:jc w:val="left"/>
            </w:pPr>
            <w:hyperlink w:anchor="T1_FIG_025" w:history="1">
              <w:r>
                <w:rPr>
                  <w:rStyle w:val="Hyperlink"/>
                  <w:color w:val="2E5F8A"/>
                  <w:u w:val="single"/>
                  <w:rFonts w:ascii="DejaVu Serif" w:hAnsi="DejaVu Serif" w:eastAsia="DejaVu Serif"/>
                  <w:sz w:val="14"/>
                </w:rPr>
                <w:t>Figure 23.1. A test matrix must contain positive witnesses, matched nulls, and counterexamples.</w:t>
              </w:r>
            </w:hyperlink>
          </w:p>
        </w:tc>
        <w:tc>
          <w:tcPr>
            <w:tcW w:type="dxa" w:w="907"/>
            <w:tcMar>
              <w:top w:w="90" w:type="dxa"/>
              <w:start w:w="110" w:type="dxa"/>
              <w:bottom w:w="90" w:type="dxa"/>
              <w:end w:w="110" w:type="dxa"/>
            </w:tcMar>
            <w:vAlign w:val="center"/>
          </w:tcPr>
          <w:p>
            <w:r>
              <w:t>74</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T1-FIG-026</w:t>
            </w:r>
          </w:p>
        </w:tc>
        <w:tc>
          <w:tcPr>
            <w:tcW w:type="dxa" w:w="6690"/>
            <w:tcMar>
              <w:top w:w="90" w:type="dxa"/>
              <w:start w:w="110" w:type="dxa"/>
              <w:bottom w:w="90" w:type="dxa"/>
              <w:end w:w="110" w:type="dxa"/>
            </w:tcMar>
            <w:vAlign w:val="center"/>
            <w:shd w:fill="F4F7FA"/>
          </w:tcPr>
          <w:p>
            <w:pPr>
              <w:jc w:val="left"/>
            </w:pPr>
            <w:hyperlink w:anchor="T1_FIG_026" w:history="1">
              <w:r>
                <w:rPr>
                  <w:rStyle w:val="Hyperlink"/>
                  <w:color w:val="2E5F8A"/>
                  <w:u w:val="single"/>
                  <w:rFonts w:ascii="DejaVu Serif" w:hAnsi="DejaVu Serif" w:eastAsia="DejaVu Serif"/>
                  <w:sz w:val="14"/>
                </w:rPr>
                <w:t>Figure 24.1. The export firewall separates an abstract theorem from an empirical observation.</w:t>
              </w:r>
            </w:hyperlink>
          </w:p>
        </w:tc>
        <w:tc>
          <w:tcPr>
            <w:tcW w:type="dxa" w:w="907"/>
            <w:tcMar>
              <w:top w:w="90" w:type="dxa"/>
              <w:start w:w="110" w:type="dxa"/>
              <w:bottom w:w="90" w:type="dxa"/>
              <w:end w:w="110" w:type="dxa"/>
            </w:tcMar>
            <w:vAlign w:val="center"/>
            <w:shd w:fill="F4F7FA"/>
          </w:tcPr>
          <w:p>
            <w:r>
              <w:t>75</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T1-FIG-027</w:t>
            </w:r>
          </w:p>
        </w:tc>
        <w:tc>
          <w:tcPr>
            <w:tcW w:type="dxa" w:w="6690"/>
            <w:tcMar>
              <w:top w:w="90" w:type="dxa"/>
              <w:start w:w="110" w:type="dxa"/>
              <w:bottom w:w="90" w:type="dxa"/>
              <w:end w:w="110" w:type="dxa"/>
            </w:tcMar>
            <w:vAlign w:val="center"/>
          </w:tcPr>
          <w:p>
            <w:pPr>
              <w:jc w:val="left"/>
            </w:pPr>
            <w:hyperlink w:anchor="T1_FIG_027" w:history="1">
              <w:r>
                <w:rPr>
                  <w:rStyle w:val="Hyperlink"/>
                  <w:color w:val="2E5F8A"/>
                  <w:u w:val="single"/>
                  <w:rFonts w:ascii="DejaVu Serif" w:hAnsi="DejaVu Serif" w:eastAsia="DejaVu Serif"/>
                  <w:sz w:val="14"/>
                </w:rPr>
                <w:t>Figure 25.1. The typed route from source through action and insertion to semigroup evolution.</w:t>
              </w:r>
            </w:hyperlink>
          </w:p>
        </w:tc>
        <w:tc>
          <w:tcPr>
            <w:tcW w:type="dxa" w:w="907"/>
            <w:tcMar>
              <w:top w:w="90" w:type="dxa"/>
              <w:start w:w="110" w:type="dxa"/>
              <w:bottom w:w="90" w:type="dxa"/>
              <w:end w:w="110" w:type="dxa"/>
            </w:tcMar>
            <w:vAlign w:val="center"/>
          </w:tcPr>
          <w:p>
            <w:r>
              <w:t>77</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T1-FIG-028</w:t>
            </w:r>
          </w:p>
        </w:tc>
        <w:tc>
          <w:tcPr>
            <w:tcW w:type="dxa" w:w="6690"/>
            <w:tcMar>
              <w:top w:w="90" w:type="dxa"/>
              <w:start w:w="110" w:type="dxa"/>
              <w:bottom w:w="90" w:type="dxa"/>
              <w:end w:w="110" w:type="dxa"/>
            </w:tcMar>
            <w:vAlign w:val="center"/>
            <w:shd w:fill="F4F7FA"/>
          </w:tcPr>
          <w:p>
            <w:pPr>
              <w:jc w:val="left"/>
            </w:pPr>
            <w:hyperlink w:anchor="T1_FIG_028" w:history="1">
              <w:r>
                <w:rPr>
                  <w:rStyle w:val="Hyperlink"/>
                  <w:color w:val="2E5F8A"/>
                  <w:u w:val="single"/>
                  <w:rFonts w:ascii="DejaVu Serif" w:hAnsi="DejaVu Serif" w:eastAsia="DejaVu Serif"/>
                  <w:sz w:val="14"/>
                </w:rPr>
                <w:t>Figure 26.1. Structure constants and weighted two-step paths carry the same based finite-dimensional data.</w:t>
              </w:r>
            </w:hyperlink>
          </w:p>
        </w:tc>
        <w:tc>
          <w:tcPr>
            <w:tcW w:type="dxa" w:w="907"/>
            <w:tcMar>
              <w:top w:w="90" w:type="dxa"/>
              <w:start w:w="110" w:type="dxa"/>
              <w:bottom w:w="90" w:type="dxa"/>
              <w:end w:w="110" w:type="dxa"/>
            </w:tcMar>
            <w:vAlign w:val="center"/>
            <w:shd w:fill="F4F7FA"/>
          </w:tcPr>
          <w:p>
            <w:r>
              <w:t>79</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T1-FIG-029</w:t>
            </w:r>
          </w:p>
        </w:tc>
        <w:tc>
          <w:tcPr>
            <w:tcW w:type="dxa" w:w="6690"/>
            <w:tcMar>
              <w:top w:w="90" w:type="dxa"/>
              <w:start w:w="110" w:type="dxa"/>
              <w:bottom w:w="90" w:type="dxa"/>
              <w:end w:w="110" w:type="dxa"/>
            </w:tcMar>
            <w:vAlign w:val="center"/>
          </w:tcPr>
          <w:p>
            <w:pPr>
              <w:jc w:val="left"/>
            </w:pPr>
            <w:hyperlink w:anchor="T1_FIG_029" w:history="1">
              <w:r>
                <w:rPr>
                  <w:rStyle w:val="Hyperlink"/>
                  <w:color w:val="2E5F8A"/>
                  <w:u w:val="single"/>
                  <w:rFonts w:ascii="DejaVu Serif" w:hAnsi="DejaVu Serif" w:eastAsia="DejaVu Serif"/>
                  <w:sz w:val="14"/>
                </w:rPr>
                <w:t>Figure 27.1. The canonical PN.2 route separates theorem, exact models, source certificate, and physical transfer.</w:t>
              </w:r>
            </w:hyperlink>
          </w:p>
        </w:tc>
        <w:tc>
          <w:tcPr>
            <w:tcW w:type="dxa" w:w="907"/>
            <w:tcMar>
              <w:top w:w="90" w:type="dxa"/>
              <w:start w:w="110" w:type="dxa"/>
              <w:bottom w:w="90" w:type="dxa"/>
              <w:end w:w="110" w:type="dxa"/>
            </w:tcMar>
            <w:vAlign w:val="center"/>
          </w:tcPr>
          <w:p>
            <w:r>
              <w:t>84</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T1-FIG-030</w:t>
            </w:r>
          </w:p>
        </w:tc>
        <w:tc>
          <w:tcPr>
            <w:tcW w:type="dxa" w:w="6690"/>
            <w:tcMar>
              <w:top w:w="90" w:type="dxa"/>
              <w:start w:w="110" w:type="dxa"/>
              <w:bottom w:w="90" w:type="dxa"/>
              <w:end w:w="110" w:type="dxa"/>
            </w:tcMar>
            <w:vAlign w:val="center"/>
            <w:shd w:fill="F4F7FA"/>
          </w:tcPr>
          <w:p>
            <w:pPr>
              <w:jc w:val="left"/>
            </w:pPr>
            <w:hyperlink w:anchor="T1_FIG_030" w:history="1">
              <w:r>
                <w:rPr>
                  <w:rStyle w:val="Hyperlink"/>
                  <w:color w:val="2E5F8A"/>
                  <w:u w:val="single"/>
                  <w:rFonts w:ascii="DejaVu Serif" w:hAnsi="DejaVu Serif" w:eastAsia="DejaVu Serif"/>
                  <w:sz w:val="14"/>
                </w:rPr>
                <w:t>Figure 28.1. The forecast horizon is controlled by the weakest of five typed limit functions.</w:t>
              </w:r>
            </w:hyperlink>
          </w:p>
        </w:tc>
        <w:tc>
          <w:tcPr>
            <w:tcW w:type="dxa" w:w="907"/>
            <w:tcMar>
              <w:top w:w="90" w:type="dxa"/>
              <w:start w:w="110" w:type="dxa"/>
              <w:bottom w:w="90" w:type="dxa"/>
              <w:end w:w="110" w:type="dxa"/>
            </w:tcMar>
            <w:vAlign w:val="center"/>
            <w:shd w:fill="F4F7FA"/>
          </w:tcPr>
          <w:p>
            <w:r>
              <w:t>89</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T1-FIG-031</w:t>
            </w:r>
          </w:p>
        </w:tc>
        <w:tc>
          <w:tcPr>
            <w:tcW w:type="dxa" w:w="6690"/>
            <w:tcMar>
              <w:top w:w="90" w:type="dxa"/>
              <w:start w:w="110" w:type="dxa"/>
              <w:bottom w:w="90" w:type="dxa"/>
              <w:end w:w="110" w:type="dxa"/>
            </w:tcMar>
            <w:vAlign w:val="center"/>
          </w:tcPr>
          <w:p>
            <w:pPr>
              <w:jc w:val="left"/>
            </w:pPr>
            <w:hyperlink w:anchor="T1_FIG_031" w:history="1">
              <w:r>
                <w:rPr>
                  <w:rStyle w:val="Hyperlink"/>
                  <w:color w:val="2E5F8A"/>
                  <w:u w:val="single"/>
                  <w:rFonts w:ascii="DejaVu Serif" w:hAnsi="DejaVu Serif" w:eastAsia="DejaVu Serif"/>
                  <w:sz w:val="14"/>
                </w:rPr>
                <w:t>Figure 29.1. A valid miss triggers a local, constrained, versioned update with rollback.</w:t>
              </w:r>
            </w:hyperlink>
          </w:p>
        </w:tc>
        <w:tc>
          <w:tcPr>
            <w:tcW w:type="dxa" w:w="907"/>
            <w:tcMar>
              <w:top w:w="90" w:type="dxa"/>
              <w:start w:w="110" w:type="dxa"/>
              <w:bottom w:w="90" w:type="dxa"/>
              <w:end w:w="110" w:type="dxa"/>
            </w:tcMar>
            <w:vAlign w:val="center"/>
          </w:tcPr>
          <w:p>
            <w:r>
              <w:t>90</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T1-FIG-032</w:t>
            </w:r>
          </w:p>
        </w:tc>
        <w:tc>
          <w:tcPr>
            <w:tcW w:type="dxa" w:w="6690"/>
            <w:tcMar>
              <w:top w:w="90" w:type="dxa"/>
              <w:start w:w="110" w:type="dxa"/>
              <w:bottom w:w="90" w:type="dxa"/>
              <w:end w:w="110" w:type="dxa"/>
            </w:tcMar>
            <w:vAlign w:val="center"/>
            <w:shd w:fill="F4F7FA"/>
          </w:tcPr>
          <w:p>
            <w:pPr>
              <w:jc w:val="left"/>
            </w:pPr>
            <w:hyperlink w:anchor="T1_FIG_032" w:history="1">
              <w:r>
                <w:rPr>
                  <w:rStyle w:val="Hyperlink"/>
                  <w:color w:val="2E5F8A"/>
                  <w:u w:val="single"/>
                  <w:rFonts w:ascii="DejaVu Serif" w:hAnsi="DejaVu Serif" w:eastAsia="DejaVu Serif"/>
                  <w:sz w:val="14"/>
                </w:rPr>
                <w:t>Figure 30.1. Cross-domain transfer is partial and carries an explicit curvature or path discrepancy.</w:t>
              </w:r>
            </w:hyperlink>
          </w:p>
        </w:tc>
        <w:tc>
          <w:tcPr>
            <w:tcW w:type="dxa" w:w="907"/>
            <w:tcMar>
              <w:top w:w="90" w:type="dxa"/>
              <w:start w:w="110" w:type="dxa"/>
              <w:bottom w:w="90" w:type="dxa"/>
              <w:end w:w="110" w:type="dxa"/>
            </w:tcMar>
            <w:vAlign w:val="center"/>
            <w:shd w:fill="F4F7FA"/>
          </w:tcPr>
          <w:p>
            <w:r>
              <w:t>91</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T1-FIG-033</w:t>
            </w:r>
          </w:p>
        </w:tc>
        <w:tc>
          <w:tcPr>
            <w:tcW w:type="dxa" w:w="6690"/>
            <w:tcMar>
              <w:top w:w="90" w:type="dxa"/>
              <w:start w:w="110" w:type="dxa"/>
              <w:bottom w:w="90" w:type="dxa"/>
              <w:end w:w="110" w:type="dxa"/>
            </w:tcMar>
            <w:vAlign w:val="center"/>
          </w:tcPr>
          <w:p>
            <w:pPr>
              <w:jc w:val="left"/>
            </w:pPr>
            <w:hyperlink w:anchor="T1_FIG_033" w:history="1">
              <w:r>
                <w:rPr>
                  <w:rStyle w:val="Hyperlink"/>
                  <w:color w:val="2E5F8A"/>
                  <w:u w:val="single"/>
                  <w:rFonts w:ascii="DejaVu Serif" w:hAnsi="DejaVu Serif" w:eastAsia="DejaVu Serif"/>
                  <w:sz w:val="14"/>
                </w:rPr>
                <w:t>Figure 31.1. Computational replay, independent rerun, and empirical observation are distinct evidence levels.</w:t>
              </w:r>
            </w:hyperlink>
          </w:p>
        </w:tc>
        <w:tc>
          <w:tcPr>
            <w:tcW w:type="dxa" w:w="907"/>
            <w:tcMar>
              <w:top w:w="90" w:type="dxa"/>
              <w:start w:w="110" w:type="dxa"/>
              <w:bottom w:w="90" w:type="dxa"/>
              <w:end w:w="110" w:type="dxa"/>
            </w:tcMar>
            <w:vAlign w:val="center"/>
          </w:tcPr>
          <w:p>
            <w:r>
              <w:t>92</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T1-FIG-034</w:t>
            </w:r>
          </w:p>
        </w:tc>
        <w:tc>
          <w:tcPr>
            <w:tcW w:type="dxa" w:w="6690"/>
            <w:tcMar>
              <w:top w:w="90" w:type="dxa"/>
              <w:start w:w="110" w:type="dxa"/>
              <w:bottom w:w="90" w:type="dxa"/>
              <w:end w:w="110" w:type="dxa"/>
            </w:tcMar>
            <w:vAlign w:val="center"/>
            <w:shd w:fill="F4F7FA"/>
          </w:tcPr>
          <w:p>
            <w:pPr>
              <w:jc w:val="left"/>
            </w:pPr>
            <w:hyperlink w:anchor="T1_FIG_034" w:history="1">
              <w:r>
                <w:rPr>
                  <w:rStyle w:val="Hyperlink"/>
                  <w:color w:val="2E5F8A"/>
                  <w:u w:val="single"/>
                  <w:rFonts w:ascii="DejaVu Serif" w:hAnsi="DejaVu Serif" w:eastAsia="DejaVu Serif"/>
                  <w:sz w:val="14"/>
                </w:rPr>
                <w:t>Figure 32.1. A domain adapter preserves types, units, D, Dom, and the source anchor.</w:t>
              </w:r>
            </w:hyperlink>
          </w:p>
        </w:tc>
        <w:tc>
          <w:tcPr>
            <w:tcW w:type="dxa" w:w="907"/>
            <w:tcMar>
              <w:top w:w="90" w:type="dxa"/>
              <w:start w:w="110" w:type="dxa"/>
              <w:bottom w:w="90" w:type="dxa"/>
              <w:end w:w="110" w:type="dxa"/>
            </w:tcMar>
            <w:vAlign w:val="center"/>
            <w:shd w:fill="F4F7FA"/>
          </w:tcPr>
          <w:p>
            <w:r>
              <w:t>97</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T1-FIG-035</w:t>
            </w:r>
          </w:p>
        </w:tc>
        <w:tc>
          <w:tcPr>
            <w:tcW w:type="dxa" w:w="6690"/>
            <w:tcMar>
              <w:top w:w="90" w:type="dxa"/>
              <w:start w:w="110" w:type="dxa"/>
              <w:bottom w:w="90" w:type="dxa"/>
              <w:end w:w="110" w:type="dxa"/>
            </w:tcMar>
            <w:vAlign w:val="center"/>
          </w:tcPr>
          <w:p>
            <w:pPr>
              <w:jc w:val="left"/>
            </w:pPr>
            <w:hyperlink w:anchor="T1_FIG_035" w:history="1">
              <w:r>
                <w:rPr>
                  <w:rStyle w:val="Hyperlink"/>
                  <w:color w:val="2E5F8A"/>
                  <w:u w:val="single"/>
                  <w:rFonts w:ascii="DejaVu Serif" w:hAnsi="DejaVu Serif" w:eastAsia="DejaVu Serif"/>
                  <w:sz w:val="14"/>
                </w:rPr>
                <w:t>Figure 33.1. Path, byte, and semantic identity are different relations; provenance records the transformation path.</w:t>
              </w:r>
            </w:hyperlink>
          </w:p>
        </w:tc>
        <w:tc>
          <w:tcPr>
            <w:tcW w:type="dxa" w:w="907"/>
            <w:tcMar>
              <w:top w:w="90" w:type="dxa"/>
              <w:start w:w="110" w:type="dxa"/>
              <w:bottom w:w="90" w:type="dxa"/>
              <w:end w:w="110" w:type="dxa"/>
            </w:tcMar>
            <w:vAlign w:val="center"/>
          </w:tcPr>
          <w:p>
            <w:r>
              <w:t>99</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T1-FIG-036</w:t>
            </w:r>
          </w:p>
        </w:tc>
        <w:tc>
          <w:tcPr>
            <w:tcW w:type="dxa" w:w="6690"/>
            <w:tcMar>
              <w:top w:w="90" w:type="dxa"/>
              <w:start w:w="110" w:type="dxa"/>
              <w:bottom w:w="90" w:type="dxa"/>
              <w:end w:w="110" w:type="dxa"/>
            </w:tcMar>
            <w:vAlign w:val="center"/>
            <w:shd w:fill="F4F7FA"/>
          </w:tcPr>
          <w:p>
            <w:pPr>
              <w:jc w:val="left"/>
            </w:pPr>
            <w:hyperlink w:anchor="T1_FIG_036" w:history="1">
              <w:r>
                <w:rPr>
                  <w:rStyle w:val="Hyperlink"/>
                  <w:color w:val="2E5F8A"/>
                  <w:u w:val="single"/>
                  <w:rFonts w:ascii="DejaVu Serif" w:hAnsi="DejaVu Serif" w:eastAsia="DejaVu Serif"/>
                  <w:sz w:val="14"/>
                </w:rPr>
                <w:t>Figure 34.1. Identifiability, support, matched-null, and independent-source gates are conjunctive.</w:t>
              </w:r>
            </w:hyperlink>
          </w:p>
        </w:tc>
        <w:tc>
          <w:tcPr>
            <w:tcW w:type="dxa" w:w="907"/>
            <w:tcMar>
              <w:top w:w="90" w:type="dxa"/>
              <w:start w:w="110" w:type="dxa"/>
              <w:bottom w:w="90" w:type="dxa"/>
              <w:end w:w="110" w:type="dxa"/>
            </w:tcMar>
            <w:vAlign w:val="center"/>
            <w:shd w:fill="F4F7FA"/>
          </w:tcPr>
          <w:p>
            <w:r>
              <w:t>101</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T1-FIG-037</w:t>
            </w:r>
          </w:p>
        </w:tc>
        <w:tc>
          <w:tcPr>
            <w:tcW w:type="dxa" w:w="6690"/>
            <w:tcMar>
              <w:top w:w="90" w:type="dxa"/>
              <w:start w:w="110" w:type="dxa"/>
              <w:bottom w:w="90" w:type="dxa"/>
              <w:end w:w="110" w:type="dxa"/>
            </w:tcMar>
            <w:vAlign w:val="center"/>
          </w:tcPr>
          <w:p>
            <w:pPr>
              <w:jc w:val="left"/>
            </w:pPr>
            <w:hyperlink w:anchor="T1_FIG_037" w:history="1">
              <w:r>
                <w:rPr>
                  <w:rStyle w:val="Hyperlink"/>
                  <w:color w:val="2E5F8A"/>
                  <w:u w:val="single"/>
                  <w:rFonts w:ascii="DejaVu Serif" w:hAnsi="DejaVu Serif" w:eastAsia="DejaVu Serif"/>
                  <w:sz w:val="14"/>
                </w:rPr>
                <w:t>Figure 35.1. Calibration produces branch corridors; the branch-blind output is their gated union.</w:t>
              </w:r>
            </w:hyperlink>
          </w:p>
        </w:tc>
        <w:tc>
          <w:tcPr>
            <w:tcW w:type="dxa" w:w="907"/>
            <w:tcMar>
              <w:top w:w="90" w:type="dxa"/>
              <w:start w:w="110" w:type="dxa"/>
              <w:bottom w:w="90" w:type="dxa"/>
              <w:end w:w="110" w:type="dxa"/>
            </w:tcMar>
            <w:vAlign w:val="center"/>
          </w:tcPr>
          <w:p>
            <w:r>
              <w:t>103</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T1-FIG-038</w:t>
            </w:r>
          </w:p>
        </w:tc>
        <w:tc>
          <w:tcPr>
            <w:tcW w:type="dxa" w:w="6690"/>
            <w:tcMar>
              <w:top w:w="90" w:type="dxa"/>
              <w:start w:w="110" w:type="dxa"/>
              <w:bottom w:w="90" w:type="dxa"/>
              <w:end w:w="110" w:type="dxa"/>
            </w:tcMar>
            <w:vAlign w:val="center"/>
            <w:shd w:fill="F4F7FA"/>
          </w:tcPr>
          <w:p>
            <w:pPr>
              <w:jc w:val="left"/>
            </w:pPr>
            <w:hyperlink w:anchor="T1_FIG_038" w:history="1">
              <w:r>
                <w:rPr>
                  <w:rStyle w:val="Hyperlink"/>
                  <w:color w:val="2E5F8A"/>
                  <w:u w:val="single"/>
                  <w:rFonts w:ascii="DejaVu Serif" w:hAnsi="DejaVu Serif" w:eastAsia="DejaVu Serif"/>
                  <w:sz w:val="14"/>
                </w:rPr>
                <w:t>Figure 36.1. Ten-stage KLT-RBD computational contract with a blocker-safe interface at every step.</w:t>
              </w:r>
            </w:hyperlink>
          </w:p>
        </w:tc>
        <w:tc>
          <w:tcPr>
            <w:tcW w:type="dxa" w:w="907"/>
            <w:tcMar>
              <w:top w:w="90" w:type="dxa"/>
              <w:start w:w="110" w:type="dxa"/>
              <w:bottom w:w="90" w:type="dxa"/>
              <w:end w:w="110" w:type="dxa"/>
            </w:tcMar>
            <w:vAlign w:val="center"/>
            <w:shd w:fill="F4F7FA"/>
          </w:tcPr>
          <w:p>
            <w:r>
              <w:t>105</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T1-FIG-039</w:t>
            </w:r>
          </w:p>
        </w:tc>
        <w:tc>
          <w:tcPr>
            <w:tcW w:type="dxa" w:w="6690"/>
            <w:tcMar>
              <w:top w:w="90" w:type="dxa"/>
              <w:start w:w="110" w:type="dxa"/>
              <w:bottom w:w="90" w:type="dxa"/>
              <w:end w:w="110" w:type="dxa"/>
            </w:tcMar>
            <w:vAlign w:val="center"/>
          </w:tcPr>
          <w:p>
            <w:pPr>
              <w:jc w:val="left"/>
            </w:pPr>
            <w:hyperlink w:anchor="T1_FIG_039" w:history="1">
              <w:r>
                <w:rPr>
                  <w:rStyle w:val="Hyperlink"/>
                  <w:color w:val="2E5F8A"/>
                  <w:u w:val="single"/>
                  <w:rFonts w:ascii="DejaVu Serif" w:hAnsi="DejaVu Serif" w:eastAsia="DejaVu Serif"/>
                  <w:sz w:val="14"/>
                </w:rPr>
                <w:t>Figure 37.1. Block is an absorbing result with a preserved reason and trace.</w:t>
              </w:r>
            </w:hyperlink>
          </w:p>
        </w:tc>
        <w:tc>
          <w:tcPr>
            <w:tcW w:type="dxa" w:w="907"/>
            <w:tcMar>
              <w:top w:w="90" w:type="dxa"/>
              <w:start w:w="110" w:type="dxa"/>
              <w:bottom w:w="90" w:type="dxa"/>
              <w:end w:w="110" w:type="dxa"/>
            </w:tcMar>
            <w:vAlign w:val="center"/>
          </w:tcPr>
          <w:p>
            <w:r>
              <w:t>108</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T1-FIG-040</w:t>
            </w:r>
          </w:p>
        </w:tc>
        <w:tc>
          <w:tcPr>
            <w:tcW w:type="dxa" w:w="6690"/>
            <w:tcMar>
              <w:top w:w="90" w:type="dxa"/>
              <w:start w:w="110" w:type="dxa"/>
              <w:bottom w:w="90" w:type="dxa"/>
              <w:end w:w="110" w:type="dxa"/>
            </w:tcMar>
            <w:vAlign w:val="center"/>
            <w:shd w:fill="F4F7FA"/>
          </w:tcPr>
          <w:p>
            <w:pPr>
              <w:jc w:val="left"/>
            </w:pPr>
            <w:hyperlink w:anchor="T1_FIG_040" w:history="1">
              <w:r>
                <w:rPr>
                  <w:rStyle w:val="Hyperlink"/>
                  <w:color w:val="2E5F8A"/>
                  <w:u w:val="single"/>
                  <w:rFonts w:ascii="DejaVu Serif" w:hAnsi="DejaVu Serif" w:eastAsia="DejaVu Serif"/>
                  <w:sz w:val="14"/>
                </w:rPr>
                <w:t>Figure 38.1. Weighted calibration requires support, a registered ratio model, and a finite-sample test atom.</w:t>
              </w:r>
            </w:hyperlink>
          </w:p>
        </w:tc>
        <w:tc>
          <w:tcPr>
            <w:tcW w:type="dxa" w:w="907"/>
            <w:tcMar>
              <w:top w:w="90" w:type="dxa"/>
              <w:start w:w="110" w:type="dxa"/>
              <w:bottom w:w="90" w:type="dxa"/>
              <w:end w:w="110" w:type="dxa"/>
            </w:tcMar>
            <w:vAlign w:val="center"/>
            <w:shd w:fill="F4F7FA"/>
          </w:tcPr>
          <w:p>
            <w:r>
              <w:t>110</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T1-FIG-041</w:t>
            </w:r>
          </w:p>
        </w:tc>
        <w:tc>
          <w:tcPr>
            <w:tcW w:type="dxa" w:w="6690"/>
            <w:tcMar>
              <w:top w:w="90" w:type="dxa"/>
              <w:start w:w="110" w:type="dxa"/>
              <w:bottom w:w="90" w:type="dxa"/>
              <w:end w:w="110" w:type="dxa"/>
            </w:tcMar>
            <w:vAlign w:val="center"/>
          </w:tcPr>
          <w:p>
            <w:pPr>
              <w:jc w:val="left"/>
            </w:pPr>
            <w:hyperlink w:anchor="T1_FIG_041" w:history="1">
              <w:r>
                <w:rPr>
                  <w:rStyle w:val="Hyperlink"/>
                  <w:color w:val="2E5F8A"/>
                  <w:u w:val="single"/>
                  <w:rFonts w:ascii="DejaVu Serif" w:hAnsi="DejaVu Serif" w:eastAsia="DejaVu Serif"/>
                  <w:sz w:val="14"/>
                </w:rPr>
                <w:t>Figure 39.1. Predictable e-factors accumulate into an anytime-valid process with a fixed boundary.</w:t>
              </w:r>
            </w:hyperlink>
          </w:p>
        </w:tc>
        <w:tc>
          <w:tcPr>
            <w:tcW w:type="dxa" w:w="907"/>
            <w:tcMar>
              <w:top w:w="90" w:type="dxa"/>
              <w:start w:w="110" w:type="dxa"/>
              <w:bottom w:w="90" w:type="dxa"/>
              <w:end w:w="110" w:type="dxa"/>
            </w:tcMar>
            <w:vAlign w:val="center"/>
          </w:tcPr>
          <w:p>
            <w:r>
              <w:t>112</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T1-FIG-042</w:t>
            </w:r>
          </w:p>
        </w:tc>
        <w:tc>
          <w:tcPr>
            <w:tcW w:type="dxa" w:w="6690"/>
            <w:tcMar>
              <w:top w:w="90" w:type="dxa"/>
              <w:start w:w="110" w:type="dxa"/>
              <w:bottom w:w="90" w:type="dxa"/>
              <w:end w:w="110" w:type="dxa"/>
            </w:tcMar>
            <w:vAlign w:val="center"/>
            <w:shd w:fill="F4F7FA"/>
          </w:tcPr>
          <w:p>
            <w:pPr>
              <w:jc w:val="left"/>
            </w:pPr>
            <w:hyperlink w:anchor="T1_FIG_042" w:history="1">
              <w:r>
                <w:rPr>
                  <w:rStyle w:val="Hyperlink"/>
                  <w:color w:val="2E5F8A"/>
                  <w:u w:val="single"/>
                  <w:rFonts w:ascii="DejaVu Serif" w:hAnsi="DejaVu Serif" w:eastAsia="DejaVu Serif"/>
                  <w:sz w:val="14"/>
                </w:rPr>
                <w:t>Figure 40.1. PN.2 branches are registered experts; regret, coverage, and truth remain separate channels.</w:t>
              </w:r>
            </w:hyperlink>
          </w:p>
        </w:tc>
        <w:tc>
          <w:tcPr>
            <w:tcW w:type="dxa" w:w="907"/>
            <w:tcMar>
              <w:top w:w="90" w:type="dxa"/>
              <w:start w:w="110" w:type="dxa"/>
              <w:bottom w:w="90" w:type="dxa"/>
              <w:end w:w="110" w:type="dxa"/>
            </w:tcMar>
            <w:vAlign w:val="center"/>
            <w:shd w:fill="F4F7FA"/>
          </w:tcPr>
          <w:p>
            <w:r>
              <w:t>114</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T1-FIG-043</w:t>
            </w:r>
          </w:p>
        </w:tc>
        <w:tc>
          <w:tcPr>
            <w:tcW w:type="dxa" w:w="6690"/>
            <w:tcMar>
              <w:top w:w="90" w:type="dxa"/>
              <w:start w:w="110" w:type="dxa"/>
              <w:bottom w:w="90" w:type="dxa"/>
              <w:end w:w="110" w:type="dxa"/>
            </w:tcMar>
            <w:vAlign w:val="center"/>
          </w:tcPr>
          <w:p>
            <w:pPr>
              <w:jc w:val="left"/>
            </w:pPr>
            <w:hyperlink w:anchor="T1_FIG_043" w:history="1">
              <w:r>
                <w:rPr>
                  <w:rStyle w:val="Hyperlink"/>
                  <w:color w:val="2E5F8A"/>
                  <w:u w:val="single"/>
                  <w:rFonts w:ascii="DejaVu Serif" w:hAnsi="DejaVu Serif" w:eastAsia="DejaVu Serif"/>
                  <w:sz w:val="14"/>
                </w:rPr>
                <w:t>Figure 41.1. Frozen validation design, multiplicity control, and separate decision states.</w:t>
              </w:r>
            </w:hyperlink>
          </w:p>
        </w:tc>
        <w:tc>
          <w:tcPr>
            <w:tcW w:type="dxa" w:w="907"/>
            <w:tcMar>
              <w:top w:w="90" w:type="dxa"/>
              <w:start w:w="110" w:type="dxa"/>
              <w:bottom w:w="90" w:type="dxa"/>
              <w:end w:w="110" w:type="dxa"/>
            </w:tcMar>
            <w:vAlign w:val="center"/>
          </w:tcPr>
          <w:p>
            <w:r>
              <w:t>117</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T1-FIG-044</w:t>
            </w:r>
          </w:p>
        </w:tc>
        <w:tc>
          <w:tcPr>
            <w:tcW w:type="dxa" w:w="6690"/>
            <w:tcMar>
              <w:top w:w="90" w:type="dxa"/>
              <w:start w:w="110" w:type="dxa"/>
              <w:bottom w:w="90" w:type="dxa"/>
              <w:end w:w="110" w:type="dxa"/>
            </w:tcMar>
            <w:vAlign w:val="center"/>
            <w:shd w:fill="F4F7FA"/>
          </w:tcPr>
          <w:p>
            <w:pPr>
              <w:jc w:val="left"/>
            </w:pPr>
            <w:hyperlink w:anchor="T1_FIG_044" w:history="1">
              <w:r>
                <w:rPr>
                  <w:rStyle w:val="Hyperlink"/>
                  <w:color w:val="2E5F8A"/>
                  <w:u w:val="single"/>
                  <w:rFonts w:ascii="DejaVu Serif" w:hAnsi="DejaVu Serif" w:eastAsia="DejaVu Serif"/>
                  <w:sz w:val="14"/>
                </w:rPr>
                <w:t>Figure 42.1. Domain selection is frozen before the key to external outcomes is released.</w:t>
              </w:r>
            </w:hyperlink>
          </w:p>
        </w:tc>
        <w:tc>
          <w:tcPr>
            <w:tcW w:type="dxa" w:w="907"/>
            <w:tcMar>
              <w:top w:w="90" w:type="dxa"/>
              <w:start w:w="110" w:type="dxa"/>
              <w:bottom w:w="90" w:type="dxa"/>
              <w:end w:w="110" w:type="dxa"/>
            </w:tcMar>
            <w:vAlign w:val="center"/>
            <w:shd w:fill="F4F7FA"/>
          </w:tcPr>
          <w:p>
            <w:r>
              <w:t>119</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T1-FIG-045</w:t>
            </w:r>
          </w:p>
        </w:tc>
        <w:tc>
          <w:tcPr>
            <w:tcW w:type="dxa" w:w="6690"/>
            <w:tcMar>
              <w:top w:w="90" w:type="dxa"/>
              <w:start w:w="110" w:type="dxa"/>
              <w:bottom w:w="90" w:type="dxa"/>
              <w:end w:w="110" w:type="dxa"/>
            </w:tcMar>
            <w:vAlign w:val="center"/>
          </w:tcPr>
          <w:p>
            <w:pPr>
              <w:jc w:val="left"/>
            </w:pPr>
            <w:hyperlink w:anchor="T1_FIG_045" w:history="1">
              <w:r>
                <w:rPr>
                  <w:rStyle w:val="Hyperlink"/>
                  <w:color w:val="2E5F8A"/>
                  <w:u w:val="single"/>
                  <w:rFonts w:ascii="DejaVu Serif" w:hAnsi="DejaVu Serif" w:eastAsia="DejaVu Serif"/>
                  <w:sz w:val="14"/>
                </w:rPr>
                <w:t>Figure 43.1. Power is planned from a domain-meaningful effect before external outcomes are observed.</w:t>
              </w:r>
            </w:hyperlink>
          </w:p>
        </w:tc>
        <w:tc>
          <w:tcPr>
            <w:tcW w:type="dxa" w:w="907"/>
            <w:tcMar>
              <w:top w:w="90" w:type="dxa"/>
              <w:start w:w="110" w:type="dxa"/>
              <w:bottom w:w="90" w:type="dxa"/>
              <w:end w:w="110" w:type="dxa"/>
            </w:tcMar>
            <w:vAlign w:val="center"/>
          </w:tcPr>
          <w:p>
            <w:r>
              <w:t>121</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T1-FIG-046</w:t>
            </w:r>
          </w:p>
        </w:tc>
        <w:tc>
          <w:tcPr>
            <w:tcW w:type="dxa" w:w="6690"/>
            <w:tcMar>
              <w:top w:w="90" w:type="dxa"/>
              <w:start w:w="110" w:type="dxa"/>
              <w:bottom w:w="90" w:type="dxa"/>
              <w:end w:w="110" w:type="dxa"/>
            </w:tcMar>
            <w:vAlign w:val="center"/>
            <w:shd w:fill="F4F7FA"/>
          </w:tcPr>
          <w:p>
            <w:pPr>
              <w:jc w:val="left"/>
            </w:pPr>
            <w:hyperlink w:anchor="T1_FIG_046" w:history="1">
              <w:r>
                <w:rPr>
                  <w:rStyle w:val="Hyperlink"/>
                  <w:color w:val="2E5F8A"/>
                  <w:u w:val="single"/>
                  <w:rFonts w:ascii="DejaVu Serif" w:hAnsi="DejaVu Serif" w:eastAsia="DejaVu Serif"/>
                  <w:sz w:val="14"/>
                </w:rPr>
                <w:t>Figure 44.1. Whole groups, not individual rows, are assigned to train, calibration, test, and external sets.</w:t>
              </w:r>
            </w:hyperlink>
          </w:p>
        </w:tc>
        <w:tc>
          <w:tcPr>
            <w:tcW w:type="dxa" w:w="907"/>
            <w:tcMar>
              <w:top w:w="90" w:type="dxa"/>
              <w:start w:w="110" w:type="dxa"/>
              <w:bottom w:w="90" w:type="dxa"/>
              <w:end w:w="110" w:type="dxa"/>
            </w:tcMar>
            <w:vAlign w:val="center"/>
            <w:shd w:fill="F4F7FA"/>
          </w:tcPr>
          <w:p>
            <w:r>
              <w:t>123</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T1-FIG-047</w:t>
            </w:r>
          </w:p>
        </w:tc>
        <w:tc>
          <w:tcPr>
            <w:tcW w:type="dxa" w:w="6690"/>
            <w:tcMar>
              <w:top w:w="90" w:type="dxa"/>
              <w:start w:w="110" w:type="dxa"/>
              <w:bottom w:w="90" w:type="dxa"/>
              <w:end w:w="110" w:type="dxa"/>
            </w:tcMar>
            <w:vAlign w:val="center"/>
          </w:tcPr>
          <w:p>
            <w:pPr>
              <w:jc w:val="left"/>
            </w:pPr>
            <w:hyperlink w:anchor="T1_FIG_047" w:history="1">
              <w:r>
                <w:rPr>
                  <w:rStyle w:val="Hyperlink"/>
                  <w:color w:val="2E5F8A"/>
                  <w:u w:val="single"/>
                  <w:rFonts w:ascii="DejaVu Serif" w:hAnsi="DejaVu Serif" w:eastAsia="DejaVu Serif"/>
                  <w:sz w:val="14"/>
                </w:rPr>
                <w:t>Figure 45.1. A causal answer requires a model and identification assumptions beyond predictive performance.</w:t>
              </w:r>
            </w:hyperlink>
          </w:p>
        </w:tc>
        <w:tc>
          <w:tcPr>
            <w:tcW w:type="dxa" w:w="907"/>
            <w:tcMar>
              <w:top w:w="90" w:type="dxa"/>
              <w:start w:w="110" w:type="dxa"/>
              <w:bottom w:w="90" w:type="dxa"/>
              <w:end w:w="110" w:type="dxa"/>
            </w:tcMar>
            <w:vAlign w:val="center"/>
          </w:tcPr>
          <w:p>
            <w:r>
              <w:t>125</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T1-FIG-048</w:t>
            </w:r>
          </w:p>
        </w:tc>
        <w:tc>
          <w:tcPr>
            <w:tcW w:type="dxa" w:w="6690"/>
            <w:tcMar>
              <w:top w:w="90" w:type="dxa"/>
              <w:start w:w="110" w:type="dxa"/>
              <w:bottom w:w="90" w:type="dxa"/>
              <w:end w:w="110" w:type="dxa"/>
            </w:tcMar>
            <w:vAlign w:val="center"/>
            <w:shd w:fill="F4F7FA"/>
          </w:tcPr>
          <w:p>
            <w:pPr>
              <w:jc w:val="left"/>
            </w:pPr>
            <w:hyperlink w:anchor="T1_FIG_048" w:history="1">
              <w:r>
                <w:rPr>
                  <w:rStyle w:val="Hyperlink"/>
                  <w:color w:val="2E5F8A"/>
                  <w:u w:val="single"/>
                  <w:rFonts w:ascii="DejaVu Serif" w:hAnsi="DejaVu Serif" w:eastAsia="DejaVu Serif"/>
                  <w:sz w:val="14"/>
                </w:rPr>
                <w:t>Figure 46.1. Nine-step EXT-RUN-000 route from frozen hashes to an immutable verdict certificate.</w:t>
              </w:r>
            </w:hyperlink>
          </w:p>
        </w:tc>
        <w:tc>
          <w:tcPr>
            <w:tcW w:type="dxa" w:w="907"/>
            <w:tcMar>
              <w:top w:w="90" w:type="dxa"/>
              <w:start w:w="110" w:type="dxa"/>
              <w:bottom w:w="90" w:type="dxa"/>
              <w:end w:w="110" w:type="dxa"/>
            </w:tcMar>
            <w:vAlign w:val="center"/>
            <w:shd w:fill="F4F7FA"/>
          </w:tcPr>
          <w:p>
            <w:r>
              <w:t>127</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T1-FIG-049</w:t>
            </w:r>
          </w:p>
        </w:tc>
        <w:tc>
          <w:tcPr>
            <w:tcW w:type="dxa" w:w="6690"/>
            <w:tcMar>
              <w:top w:w="90" w:type="dxa"/>
              <w:start w:w="110" w:type="dxa"/>
              <w:bottom w:w="90" w:type="dxa"/>
              <w:end w:w="110" w:type="dxa"/>
            </w:tcMar>
            <w:vAlign w:val="center"/>
          </w:tcPr>
          <w:p>
            <w:pPr>
              <w:jc w:val="left"/>
            </w:pPr>
            <w:hyperlink w:anchor="T1_FIG_049" w:history="1">
              <w:r>
                <w:rPr>
                  <w:rStyle w:val="Hyperlink"/>
                  <w:color w:val="2E5F8A"/>
                  <w:u w:val="single"/>
                  <w:rFonts w:ascii="DejaVu Serif" w:hAnsi="DejaVu Serif" w:eastAsia="DejaVu Serif"/>
                  <w:sz w:val="14"/>
                </w:rPr>
                <w:t>Figure 47.1. Typed composition and the absorbing BLOCK state.</w:t>
              </w:r>
            </w:hyperlink>
          </w:p>
        </w:tc>
        <w:tc>
          <w:tcPr>
            <w:tcW w:type="dxa" w:w="907"/>
            <w:tcMar>
              <w:top w:w="90" w:type="dxa"/>
              <w:start w:w="110" w:type="dxa"/>
              <w:bottom w:w="90" w:type="dxa"/>
              <w:end w:w="110" w:type="dxa"/>
            </w:tcMar>
            <w:vAlign w:val="center"/>
          </w:tcPr>
          <w:p>
            <w:r>
              <w:t>131</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T1-FIG-050</w:t>
            </w:r>
          </w:p>
        </w:tc>
        <w:tc>
          <w:tcPr>
            <w:tcW w:type="dxa" w:w="6690"/>
            <w:tcMar>
              <w:top w:w="90" w:type="dxa"/>
              <w:start w:w="110" w:type="dxa"/>
              <w:bottom w:w="90" w:type="dxa"/>
              <w:end w:w="110" w:type="dxa"/>
            </w:tcMar>
            <w:vAlign w:val="center"/>
            <w:shd w:fill="F4F7FA"/>
          </w:tcPr>
          <w:p>
            <w:pPr>
              <w:jc w:val="left"/>
            </w:pPr>
            <w:hyperlink w:anchor="T1_FIG_050" w:history="1">
              <w:r>
                <w:rPr>
                  <w:rStyle w:val="Hyperlink"/>
                  <w:color w:val="2E5F8A"/>
                  <w:u w:val="single"/>
                  <w:rFonts w:ascii="DejaVu Serif" w:hAnsi="DejaVu Serif" w:eastAsia="DejaVu Serif"/>
                  <w:sz w:val="14"/>
                </w:rPr>
                <w:t>Figure 48.1. Projective invariant, harmonic gate, admissible branches, and conclusion states.</w:t>
              </w:r>
            </w:hyperlink>
          </w:p>
        </w:tc>
        <w:tc>
          <w:tcPr>
            <w:tcW w:type="dxa" w:w="907"/>
            <w:tcMar>
              <w:top w:w="90" w:type="dxa"/>
              <w:start w:w="110" w:type="dxa"/>
              <w:bottom w:w="90" w:type="dxa"/>
              <w:end w:w="110" w:type="dxa"/>
            </w:tcMar>
            <w:vAlign w:val="center"/>
            <w:shd w:fill="F4F7FA"/>
          </w:tcPr>
          <w:p>
            <w:r>
              <w:t>132</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T1-FIG-051</w:t>
            </w:r>
          </w:p>
        </w:tc>
        <w:tc>
          <w:tcPr>
            <w:tcW w:type="dxa" w:w="6690"/>
            <w:tcMar>
              <w:top w:w="90" w:type="dxa"/>
              <w:start w:w="110" w:type="dxa"/>
              <w:bottom w:w="90" w:type="dxa"/>
              <w:end w:w="110" w:type="dxa"/>
            </w:tcMar>
            <w:vAlign w:val="center"/>
          </w:tcPr>
          <w:p>
            <w:pPr>
              <w:jc w:val="left"/>
            </w:pPr>
            <w:hyperlink w:anchor="T1_FIG_051" w:history="1">
              <w:r>
                <w:rPr>
                  <w:rStyle w:val="Hyperlink"/>
                  <w:color w:val="2E5F8A"/>
                  <w:u w:val="single"/>
                  <w:rFonts w:ascii="DejaVu Serif" w:hAnsi="DejaVu Serif" w:eastAsia="DejaVu Serif"/>
                  <w:sz w:val="14"/>
                </w:rPr>
                <w:t>Figure 49.1. Five registered limits, meet, join, and monotone forecast sets.</w:t>
              </w:r>
            </w:hyperlink>
          </w:p>
        </w:tc>
        <w:tc>
          <w:tcPr>
            <w:tcW w:type="dxa" w:w="907"/>
            <w:tcMar>
              <w:top w:w="90" w:type="dxa"/>
              <w:start w:w="110" w:type="dxa"/>
              <w:bottom w:w="90" w:type="dxa"/>
              <w:end w:w="110" w:type="dxa"/>
            </w:tcMar>
            <w:vAlign w:val="center"/>
          </w:tcPr>
          <w:p>
            <w:r>
              <w:t>134</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T1-FIG-052</w:t>
            </w:r>
          </w:p>
        </w:tc>
        <w:tc>
          <w:tcPr>
            <w:tcW w:type="dxa" w:w="6690"/>
            <w:tcMar>
              <w:top w:w="90" w:type="dxa"/>
              <w:start w:w="110" w:type="dxa"/>
              <w:bottom w:w="90" w:type="dxa"/>
              <w:end w:w="110" w:type="dxa"/>
            </w:tcMar>
            <w:vAlign w:val="center"/>
            <w:shd w:fill="F4F7FA"/>
          </w:tcPr>
          <w:p>
            <w:pPr>
              <w:jc w:val="left"/>
            </w:pPr>
            <w:hyperlink w:anchor="T1_FIG_052" w:history="1">
              <w:r>
                <w:rPr>
                  <w:rStyle w:val="Hyperlink"/>
                  <w:color w:val="2E5F8A"/>
                  <w:u w:val="single"/>
                  <w:rFonts w:ascii="DejaVu Serif" w:hAnsi="DejaVu Serif" w:eastAsia="DejaVu Serif"/>
                  <w:sz w:val="14"/>
                </w:rPr>
                <w:t>Figure 50.1. Registered neighbors, minimization, stability gap, and versioned history.</w:t>
              </w:r>
            </w:hyperlink>
          </w:p>
        </w:tc>
        <w:tc>
          <w:tcPr>
            <w:tcW w:type="dxa" w:w="907"/>
            <w:tcMar>
              <w:top w:w="90" w:type="dxa"/>
              <w:start w:w="110" w:type="dxa"/>
              <w:bottom w:w="90" w:type="dxa"/>
              <w:end w:w="110" w:type="dxa"/>
            </w:tcMar>
            <w:vAlign w:val="center"/>
            <w:shd w:fill="F4F7FA"/>
          </w:tcPr>
          <w:p>
            <w:r>
              <w:t>136</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T1-FIG-053</w:t>
            </w:r>
          </w:p>
        </w:tc>
        <w:tc>
          <w:tcPr>
            <w:tcW w:type="dxa" w:w="6690"/>
            <w:tcMar>
              <w:top w:w="90" w:type="dxa"/>
              <w:start w:w="110" w:type="dxa"/>
              <w:bottom w:w="90" w:type="dxa"/>
              <w:end w:w="110" w:type="dxa"/>
            </w:tcMar>
            <w:vAlign w:val="center"/>
          </w:tcPr>
          <w:p>
            <w:pPr>
              <w:jc w:val="left"/>
            </w:pPr>
            <w:hyperlink w:anchor="T1_FIG_053" w:history="1">
              <w:r>
                <w:rPr>
                  <w:rStyle w:val="Hyperlink"/>
                  <w:color w:val="2E5F8A"/>
                  <w:u w:val="single"/>
                  <w:rFonts w:ascii="DejaVu Serif" w:hAnsi="DejaVu Serif" w:eastAsia="DejaVu Serif"/>
                  <w:sz w:val="14"/>
                </w:rPr>
                <w:t>Figure 51.1. Typed graph filtering, abstention mass, contraction, and uncertainty envelope.</w:t>
              </w:r>
            </w:hyperlink>
          </w:p>
        </w:tc>
        <w:tc>
          <w:tcPr>
            <w:tcW w:type="dxa" w:w="907"/>
            <w:tcMar>
              <w:top w:w="90" w:type="dxa"/>
              <w:start w:w="110" w:type="dxa"/>
              <w:bottom w:w="90" w:type="dxa"/>
              <w:end w:w="110" w:type="dxa"/>
            </w:tcMar>
            <w:vAlign w:val="center"/>
          </w:tcPr>
          <w:p>
            <w:r>
              <w:t>138</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T1-FIG-054</w:t>
            </w:r>
          </w:p>
        </w:tc>
        <w:tc>
          <w:tcPr>
            <w:tcW w:type="dxa" w:w="6690"/>
            <w:tcMar>
              <w:top w:w="90" w:type="dxa"/>
              <w:start w:w="110" w:type="dxa"/>
              <w:bottom w:w="90" w:type="dxa"/>
              <w:end w:w="110" w:type="dxa"/>
            </w:tcMar>
            <w:vAlign w:val="center"/>
            <w:shd w:fill="F4F7FA"/>
          </w:tcPr>
          <w:p>
            <w:pPr>
              <w:jc w:val="left"/>
            </w:pPr>
            <w:hyperlink w:anchor="T1_FIG_054" w:history="1">
              <w:r>
                <w:rPr>
                  <w:rStyle w:val="Hyperlink"/>
                  <w:color w:val="2E5F8A"/>
                  <w:u w:val="single"/>
                  <w:rFonts w:ascii="DejaVu Serif" w:hAnsi="DejaVu Serif" w:eastAsia="DejaVu Serif"/>
                  <w:sz w:val="14"/>
                </w:rPr>
                <w:t>Figure 52.1. Assumptions, statistical guarantees, and the publication firewall of the main theorem.</w:t>
              </w:r>
            </w:hyperlink>
          </w:p>
        </w:tc>
        <w:tc>
          <w:tcPr>
            <w:tcW w:type="dxa" w:w="907"/>
            <w:tcMar>
              <w:top w:w="90" w:type="dxa"/>
              <w:start w:w="110" w:type="dxa"/>
              <w:bottom w:w="90" w:type="dxa"/>
              <w:end w:w="110" w:type="dxa"/>
            </w:tcMar>
            <w:vAlign w:val="center"/>
            <w:shd w:fill="F4F7FA"/>
          </w:tcPr>
          <w:p>
            <w:r>
              <w:t>140</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T1-FIG-055</w:t>
            </w:r>
          </w:p>
        </w:tc>
        <w:tc>
          <w:tcPr>
            <w:tcW w:type="dxa" w:w="6690"/>
            <w:tcMar>
              <w:top w:w="90" w:type="dxa"/>
              <w:start w:w="110" w:type="dxa"/>
              <w:bottom w:w="90" w:type="dxa"/>
              <w:end w:w="110" w:type="dxa"/>
            </w:tcMar>
            <w:vAlign w:val="center"/>
          </w:tcPr>
          <w:p>
            <w:pPr>
              <w:jc w:val="left"/>
            </w:pPr>
            <w:hyperlink w:anchor="T1_FIG_055" w:history="1">
              <w:r>
                <w:rPr>
                  <w:rStyle w:val="Hyperlink"/>
                  <w:color w:val="2E5F8A"/>
                  <w:u w:val="single"/>
                  <w:rFonts w:ascii="DejaVu Serif" w:hAnsi="DejaVu Serif" w:eastAsia="DejaVu Serif"/>
                  <w:sz w:val="14"/>
                </w:rPr>
                <w:t>Figure 52.2. Minimal obstruction complex, canonical internal class, and conditional external bridge.</w:t>
              </w:r>
            </w:hyperlink>
          </w:p>
        </w:tc>
        <w:tc>
          <w:tcPr>
            <w:tcW w:type="dxa" w:w="907"/>
            <w:tcMar>
              <w:top w:w="90" w:type="dxa"/>
              <w:start w:w="110" w:type="dxa"/>
              <w:bottom w:w="90" w:type="dxa"/>
              <w:end w:w="110" w:type="dxa"/>
            </w:tcMar>
            <w:vAlign w:val="center"/>
          </w:tcPr>
          <w:p>
            <w:r>
              <w:t>141</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T1-FIG-056</w:t>
            </w:r>
          </w:p>
        </w:tc>
        <w:tc>
          <w:tcPr>
            <w:tcW w:type="dxa" w:w="6690"/>
            <w:tcMar>
              <w:top w:w="90" w:type="dxa"/>
              <w:start w:w="110" w:type="dxa"/>
              <w:bottom w:w="90" w:type="dxa"/>
              <w:end w:w="110" w:type="dxa"/>
            </w:tcMar>
            <w:vAlign w:val="center"/>
            <w:shd w:fill="F4F7FA"/>
          </w:tcPr>
          <w:p>
            <w:pPr>
              <w:jc w:val="left"/>
            </w:pPr>
            <w:hyperlink w:anchor="T1_FIG_056" w:history="1">
              <w:r>
                <w:rPr>
                  <w:rStyle w:val="Hyperlink"/>
                  <w:color w:val="2E5F8A"/>
                  <w:u w:val="single"/>
                  <w:rFonts w:ascii="DejaVu Serif" w:hAnsi="DejaVu Serif" w:eastAsia="DejaVu Serif"/>
                  <w:sz w:val="14"/>
                </w:rPr>
                <w:t>Figure A0.1. Appendices A-G connect exact examples, computational provenance, formula addressing, and empirical status firewalls.</w:t>
              </w:r>
            </w:hyperlink>
          </w:p>
        </w:tc>
        <w:tc>
          <w:tcPr>
            <w:tcW w:type="dxa" w:w="907"/>
            <w:tcMar>
              <w:top w:w="90" w:type="dxa"/>
              <w:start w:w="110" w:type="dxa"/>
              <w:bottom w:w="90" w:type="dxa"/>
              <w:end w:w="110" w:type="dxa"/>
            </w:tcMar>
            <w:vAlign w:val="center"/>
            <w:shd w:fill="F4F7FA"/>
          </w:tcPr>
          <w:p>
            <w:r>
              <w:t>146</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T1-FIG-057</w:t>
            </w:r>
          </w:p>
        </w:tc>
        <w:tc>
          <w:tcPr>
            <w:tcW w:type="dxa" w:w="6690"/>
            <w:tcMar>
              <w:top w:w="90" w:type="dxa"/>
              <w:start w:w="110" w:type="dxa"/>
              <w:bottom w:w="90" w:type="dxa"/>
              <w:end w:w="110" w:type="dxa"/>
            </w:tcMar>
            <w:vAlign w:val="center"/>
          </w:tcPr>
          <w:p>
            <w:pPr>
              <w:jc w:val="left"/>
            </w:pPr>
            <w:hyperlink w:anchor="T1_FIG_057" w:history="1">
              <w:r>
                <w:rPr>
                  <w:rStyle w:val="Hyperlink"/>
                  <w:color w:val="2E5F8A"/>
                  <w:u w:val="single"/>
                  <w:rFonts w:ascii="DejaVu Serif" w:hAnsi="DejaVu Serif" w:eastAsia="DejaVu Serif"/>
                  <w:sz w:val="14"/>
                </w:rPr>
                <w:t>Figure A.1. Four witness regimes close PO-11 at the abstract theorem-package level.</w:t>
              </w:r>
            </w:hyperlink>
          </w:p>
        </w:tc>
        <w:tc>
          <w:tcPr>
            <w:tcW w:type="dxa" w:w="907"/>
            <w:tcMar>
              <w:top w:w="90" w:type="dxa"/>
              <w:start w:w="110" w:type="dxa"/>
              <w:bottom w:w="90" w:type="dxa"/>
              <w:end w:w="110" w:type="dxa"/>
            </w:tcMar>
            <w:vAlign w:val="center"/>
          </w:tcPr>
          <w:p>
            <w:r>
              <w:t>147</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T1-FIG-058</w:t>
            </w:r>
          </w:p>
        </w:tc>
        <w:tc>
          <w:tcPr>
            <w:tcW w:type="dxa" w:w="6690"/>
            <w:tcMar>
              <w:top w:w="90" w:type="dxa"/>
              <w:start w:w="110" w:type="dxa"/>
              <w:bottom w:w="90" w:type="dxa"/>
              <w:end w:w="110" w:type="dxa"/>
            </w:tcMar>
            <w:vAlign w:val="center"/>
            <w:shd w:fill="F4F7FA"/>
          </w:tcPr>
          <w:p>
            <w:pPr>
              <w:jc w:val="left"/>
            </w:pPr>
            <w:hyperlink w:anchor="T1_FIG_058" w:history="1">
              <w:r>
                <w:rPr>
                  <w:rStyle w:val="Hyperlink"/>
                  <w:color w:val="2E5F8A"/>
                  <w:u w:val="single"/>
                  <w:rFonts w:ascii="DejaVu Serif" w:hAnsi="DejaVu Serif" w:eastAsia="DejaVu Serif"/>
                  <w:sz w:val="14"/>
                </w:rPr>
                <w:t>Figure E.1. Ten-stage Atlas route with hash continuity, Block propagation, and publication gate.</w:t>
              </w:r>
            </w:hyperlink>
          </w:p>
        </w:tc>
        <w:tc>
          <w:tcPr>
            <w:tcW w:type="dxa" w:w="907"/>
            <w:tcMar>
              <w:top w:w="90" w:type="dxa"/>
              <w:start w:w="110" w:type="dxa"/>
              <w:bottom w:w="90" w:type="dxa"/>
              <w:end w:w="110" w:type="dxa"/>
            </w:tcMar>
            <w:vAlign w:val="center"/>
            <w:shd w:fill="F4F7FA"/>
          </w:tcPr>
          <w:p>
            <w:r>
              <w:t>152</w:t>
            </w:r>
          </w:p>
        </w:tc>
      </w:tr>
      <w:tr>
        <w:tc>
          <w:tcPr>
            <w:tcW w:type="dxa" w:w="1587"/>
            <w:tcMar>
              <w:top w:w="90" w:type="dxa"/>
              <w:start w:w="110" w:type="dxa"/>
              <w:bottom w:w="90" w:type="dxa"/>
              <w:end w:w="110" w:type="dxa"/>
            </w:tcMar>
            <w:vAlign w:val="center"/>
          </w:tcPr>
          <w:p>
            <w:pPr>
              <w:jc w:val="center"/>
            </w:pPr>
            <w:r>
              <w:rPr>
                <w:rFonts w:ascii="DejaVu Serif" w:hAnsi="DejaVu Serif" w:eastAsia="DejaVu Serif"/>
                <w:b w:val="0"/>
                <w:i w:val="0"/>
                <w:sz w:val="14"/>
              </w:rPr>
              <w:t>T1-FIG-059</w:t>
            </w:r>
          </w:p>
        </w:tc>
        <w:tc>
          <w:tcPr>
            <w:tcW w:type="dxa" w:w="6690"/>
            <w:tcMar>
              <w:top w:w="90" w:type="dxa"/>
              <w:start w:w="110" w:type="dxa"/>
              <w:bottom w:w="90" w:type="dxa"/>
              <w:end w:w="110" w:type="dxa"/>
            </w:tcMar>
            <w:vAlign w:val="center"/>
          </w:tcPr>
          <w:p>
            <w:pPr>
              <w:jc w:val="left"/>
            </w:pPr>
            <w:hyperlink w:anchor="T1_FIG_059" w:history="1">
              <w:r>
                <w:rPr>
                  <w:rStyle w:val="Hyperlink"/>
                  <w:color w:val="2E5F8A"/>
                  <w:u w:val="single"/>
                  <w:rFonts w:ascii="DejaVu Serif" w:hAnsi="DejaVu Serif" w:eastAsia="DejaVu Serif"/>
                  <w:sz w:val="14"/>
                </w:rPr>
                <w:t>Figure G.1. Mathematical closure, model completeness, empirical data, and protocol execution remain separate axes.</w:t>
              </w:r>
            </w:hyperlink>
          </w:p>
        </w:tc>
        <w:tc>
          <w:tcPr>
            <w:tcW w:type="dxa" w:w="907"/>
            <w:tcMar>
              <w:top w:w="90" w:type="dxa"/>
              <w:start w:w="110" w:type="dxa"/>
              <w:bottom w:w="90" w:type="dxa"/>
              <w:end w:w="110" w:type="dxa"/>
            </w:tcMar>
            <w:vAlign w:val="center"/>
          </w:tcPr>
          <w:p>
            <w:r>
              <w:t>157</w:t>
            </w:r>
          </w:p>
        </w:tc>
      </w:tr>
      <w:tr>
        <w:tc>
          <w:tcPr>
            <w:tcW w:type="dxa" w:w="1587"/>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T1-FIG-060</w:t>
            </w:r>
          </w:p>
        </w:tc>
        <w:tc>
          <w:tcPr>
            <w:tcW w:type="dxa" w:w="6690"/>
            <w:tcMar>
              <w:top w:w="90" w:type="dxa"/>
              <w:start w:w="110" w:type="dxa"/>
              <w:bottom w:w="90" w:type="dxa"/>
              <w:end w:w="110" w:type="dxa"/>
            </w:tcMar>
            <w:vAlign w:val="center"/>
            <w:shd w:fill="F4F7FA"/>
          </w:tcPr>
          <w:p>
            <w:pPr>
              <w:jc w:val="left"/>
            </w:pPr>
            <w:hyperlink w:anchor="T1_FIG_060" w:history="1">
              <w:r>
                <w:rPr>
                  <w:rStyle w:val="Hyperlink"/>
                  <w:color w:val="2E5F8A"/>
                  <w:u w:val="single"/>
                  <w:rFonts w:ascii="DejaVu Serif" w:hAnsi="DejaVu Serif" w:eastAsia="DejaVu Serif"/>
                  <w:sz w:val="14"/>
                </w:rPr>
                <w:t>Figure T1-EN-ASSEMBLY-001. Unified-master assembly and audit route.</w:t>
              </w:r>
            </w:hyperlink>
          </w:p>
        </w:tc>
        <w:tc>
          <w:tcPr>
            <w:tcW w:type="dxa" w:w="907"/>
            <w:tcMar>
              <w:top w:w="90" w:type="dxa"/>
              <w:start w:w="110" w:type="dxa"/>
              <w:bottom w:w="90" w:type="dxa"/>
              <w:end w:w="110" w:type="dxa"/>
            </w:tcMar>
            <w:vAlign w:val="center"/>
            <w:shd w:fill="F4F7FA"/>
          </w:tcPr>
          <w:p>
            <w:r>
              <w:t>160</w:t>
            </w:r>
          </w:p>
        </w:tc>
      </w:tr>
    </w:tbl>
    <w:p>
      <w:pPr>
        <w:spacing w:after="40"/>
      </w:pPr>
    </w:p>
    <w:p>
      <w:pPr>
        <w:pStyle w:val="Heading2"/>
        <w:keepNext/>
      </w:pPr>
      <w:r>
        <w:t>4. Table Inventory by Chapter and Appendix</w:t>
      </w:r>
    </w:p>
    <w:tbl>
      <w:tblPr>
        <w:tblStyle w:val="TableGrid"/>
        <w:tblW w:type="auto" w:w="0"/>
        <w:jc w:val="center"/>
        <w:tblLook w:firstColumn="1" w:firstRow="1" w:lastColumn="0" w:lastRow="0" w:noHBand="0" w:noVBand="1" w:val="04A0"/>
      </w:tblPr>
      <w:tblGrid>
        <w:gridCol w:w="2517"/>
        <w:gridCol w:w="2517"/>
        <w:gridCol w:w="2517"/>
        <w:gridCol w:w="2517"/>
      </w:tblGrid>
      <w:tr>
        <w:trPr>
          <w:tblHeader w:val="true"/>
        </w:trPr>
        <w:tc>
          <w:tcPr>
            <w:tcW w:type="dxa" w:w="113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4"/>
              </w:rPr>
              <w:t>Section</w:t>
            </w:r>
          </w:p>
        </w:tc>
        <w:tc>
          <w:tcPr>
            <w:tcW w:type="dxa" w:w="5669"/>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4"/>
              </w:rPr>
              <w:t>Linked title</w:t>
            </w:r>
          </w:p>
        </w:tc>
        <w:tc>
          <w:tcPr>
            <w:tcW w:type="dxa" w:w="96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4"/>
              </w:rPr>
              <w:t>Tables</w:t>
            </w:r>
          </w:p>
        </w:tc>
        <w:tc>
          <w:tcPr>
            <w:tcW w:type="dxa" w:w="1417"/>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4"/>
              </w:rPr>
              <w:t>EN page span</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CH-01</w:t>
            </w:r>
          </w:p>
        </w:tc>
        <w:tc>
          <w:tcPr>
            <w:tcW w:type="dxa" w:w="5669"/>
            <w:tcMar>
              <w:top w:w="90" w:type="dxa"/>
              <w:start w:w="110" w:type="dxa"/>
              <w:bottom w:w="90" w:type="dxa"/>
              <w:end w:w="110" w:type="dxa"/>
            </w:tcMar>
            <w:vAlign w:val="center"/>
          </w:tcPr>
          <w:p>
            <w:pPr>
              <w:jc w:val="left"/>
            </w:pPr>
            <w:hyperlink w:anchor="T1_CH_01" w:history="1">
              <w:r>
                <w:rPr>
                  <w:rStyle w:val="Hyperlink"/>
                  <w:color w:val="2E5F8A"/>
                  <w:u w:val="single"/>
                  <w:rFonts w:ascii="DejaVu Serif" w:hAnsi="DejaVu Serif" w:eastAsia="DejaVu Serif"/>
                  <w:sz w:val="14"/>
                </w:rPr>
                <w:t>Time@Space and Stratified Ontology</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8</w:t>
            </w:r>
          </w:p>
        </w:tc>
        <w:tc>
          <w:tcPr>
            <w:tcW w:type="dxa" w:w="1417"/>
            <w:tcMar>
              <w:top w:w="90" w:type="dxa"/>
              <w:start w:w="110" w:type="dxa"/>
              <w:bottom w:w="90" w:type="dxa"/>
              <w:end w:w="110" w:type="dxa"/>
            </w:tcMar>
            <w:vAlign w:val="center"/>
          </w:tcPr>
          <w:p>
            <w:r>
              <w:t>19-20</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CH-02</w:t>
            </w:r>
          </w:p>
        </w:tc>
        <w:tc>
          <w:tcPr>
            <w:tcW w:type="dxa" w:w="5669"/>
            <w:tcMar>
              <w:top w:w="90" w:type="dxa"/>
              <w:start w:w="110" w:type="dxa"/>
              <w:bottom w:w="90" w:type="dxa"/>
              <w:end w:w="110" w:type="dxa"/>
            </w:tcMar>
            <w:vAlign w:val="center"/>
            <w:shd w:fill="F4F7FA"/>
          </w:tcPr>
          <w:p>
            <w:pPr>
              <w:jc w:val="left"/>
            </w:pPr>
            <w:hyperlink w:anchor="T1_CH_02" w:history="1">
              <w:r>
                <w:rPr>
                  <w:rStyle w:val="Hyperlink"/>
                  <w:color w:val="2E5F8A"/>
                  <w:u w:val="single"/>
                  <w:rFonts w:ascii="DejaVu Serif" w:hAnsi="DejaVu Serif" w:eastAsia="DejaVu Serif"/>
                  <w:sz w:val="14"/>
                </w:rPr>
                <w:t>C@C: event@state as the Minimal Object</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8</w:t>
            </w:r>
          </w:p>
        </w:tc>
        <w:tc>
          <w:tcPr>
            <w:tcW w:type="dxa" w:w="1417"/>
            <w:tcMar>
              <w:top w:w="90" w:type="dxa"/>
              <w:start w:w="110" w:type="dxa"/>
              <w:bottom w:w="90" w:type="dxa"/>
              <w:end w:w="110" w:type="dxa"/>
            </w:tcMar>
            <w:vAlign w:val="center"/>
            <w:shd w:fill="F4F7FA"/>
          </w:tcPr>
          <w:p>
            <w:r>
              <w:t>21-22</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CH-03</w:t>
            </w:r>
          </w:p>
        </w:tc>
        <w:tc>
          <w:tcPr>
            <w:tcW w:type="dxa" w:w="5669"/>
            <w:tcMar>
              <w:top w:w="90" w:type="dxa"/>
              <w:start w:w="110" w:type="dxa"/>
              <w:bottom w:w="90" w:type="dxa"/>
              <w:end w:w="110" w:type="dxa"/>
            </w:tcMar>
            <w:vAlign w:val="center"/>
          </w:tcPr>
          <w:p>
            <w:pPr>
              <w:jc w:val="left"/>
            </w:pPr>
            <w:hyperlink w:anchor="T1_CH_03" w:history="1">
              <w:r>
                <w:rPr>
                  <w:rStyle w:val="Hyperlink"/>
                  <w:color w:val="2E5F8A"/>
                  <w:u w:val="single"/>
                  <w:rFonts w:ascii="DejaVu Serif" w:hAnsi="DejaVu Serif" w:eastAsia="DejaVu Serif"/>
                  <w:sz w:val="14"/>
                </w:rPr>
                <w:t>Packet Objects and the Category Pack</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11</w:t>
            </w:r>
          </w:p>
        </w:tc>
        <w:tc>
          <w:tcPr>
            <w:tcW w:type="dxa" w:w="1417"/>
            <w:tcMar>
              <w:top w:w="90" w:type="dxa"/>
              <w:start w:w="110" w:type="dxa"/>
              <w:bottom w:w="90" w:type="dxa"/>
              <w:end w:w="110" w:type="dxa"/>
            </w:tcMar>
            <w:vAlign w:val="center"/>
          </w:tcPr>
          <w:p>
            <w:r>
              <w:t>23-25</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CH-04</w:t>
            </w:r>
          </w:p>
        </w:tc>
        <w:tc>
          <w:tcPr>
            <w:tcW w:type="dxa" w:w="5669"/>
            <w:tcMar>
              <w:top w:w="90" w:type="dxa"/>
              <w:start w:w="110" w:type="dxa"/>
              <w:bottom w:w="90" w:type="dxa"/>
              <w:end w:w="110" w:type="dxa"/>
            </w:tcMar>
            <w:vAlign w:val="center"/>
            <w:shd w:fill="F4F7FA"/>
          </w:tcPr>
          <w:p>
            <w:pPr>
              <w:jc w:val="left"/>
            </w:pPr>
            <w:hyperlink w:anchor="T1_CH_04" w:history="1">
              <w:r>
                <w:rPr>
                  <w:rStyle w:val="Hyperlink"/>
                  <w:color w:val="2E5F8A"/>
                  <w:u w:val="single"/>
                  <w:rFonts w:ascii="DejaVu Serif" w:hAnsi="DejaVu Serif" w:eastAsia="DejaVu Serif"/>
                  <w:sz w:val="14"/>
                </w:rPr>
                <w:t>Packet Morphisms, Reductions, and Conservation Laws</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8</w:t>
            </w:r>
          </w:p>
        </w:tc>
        <w:tc>
          <w:tcPr>
            <w:tcW w:type="dxa" w:w="1417"/>
            <w:tcMar>
              <w:top w:w="90" w:type="dxa"/>
              <w:start w:w="110" w:type="dxa"/>
              <w:bottom w:w="90" w:type="dxa"/>
              <w:end w:w="110" w:type="dxa"/>
            </w:tcMar>
            <w:vAlign w:val="center"/>
            <w:shd w:fill="F4F7FA"/>
          </w:tcPr>
          <w:p>
            <w:r>
              <w:t>26-27</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CH-05</w:t>
            </w:r>
          </w:p>
        </w:tc>
        <w:tc>
          <w:tcPr>
            <w:tcW w:type="dxa" w:w="5669"/>
            <w:tcMar>
              <w:top w:w="90" w:type="dxa"/>
              <w:start w:w="110" w:type="dxa"/>
              <w:bottom w:w="90" w:type="dxa"/>
              <w:end w:w="110" w:type="dxa"/>
            </w:tcMar>
            <w:vAlign w:val="center"/>
          </w:tcPr>
          <w:p>
            <w:pPr>
              <w:jc w:val="left"/>
            </w:pPr>
            <w:hyperlink w:anchor="T1_CH_05" w:history="1">
              <w:r>
                <w:rPr>
                  <w:rStyle w:val="Hyperlink"/>
                  <w:color w:val="2E5F8A"/>
                  <w:u w:val="single"/>
                  <w:rFonts w:ascii="DejaVu Serif" w:hAnsi="DejaVu Serif" w:eastAsia="DejaVu Serif"/>
                  <w:sz w:val="14"/>
                </w:rPr>
                <w:t>Reper(R,I,U;D): Definition and Axioms</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14</w:t>
            </w:r>
          </w:p>
        </w:tc>
        <w:tc>
          <w:tcPr>
            <w:tcW w:type="dxa" w:w="1417"/>
            <w:tcMar>
              <w:top w:w="90" w:type="dxa"/>
              <w:start w:w="110" w:type="dxa"/>
              <w:bottom w:w="90" w:type="dxa"/>
              <w:end w:w="110" w:type="dxa"/>
            </w:tcMar>
            <w:vAlign w:val="center"/>
          </w:tcPr>
          <w:p>
            <w:r>
              <w:t>28-30</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CH-06</w:t>
            </w:r>
          </w:p>
        </w:tc>
        <w:tc>
          <w:tcPr>
            <w:tcW w:type="dxa" w:w="5669"/>
            <w:tcMar>
              <w:top w:w="90" w:type="dxa"/>
              <w:start w:w="110" w:type="dxa"/>
              <w:bottom w:w="90" w:type="dxa"/>
              <w:end w:w="110" w:type="dxa"/>
            </w:tcMar>
            <w:vAlign w:val="center"/>
            <w:shd w:fill="F4F7FA"/>
          </w:tcPr>
          <w:p>
            <w:pPr>
              <w:jc w:val="left"/>
            </w:pPr>
            <w:hyperlink w:anchor="T1_CH_06" w:history="1">
              <w:r>
                <w:rPr>
                  <w:rStyle w:val="Hyperlink"/>
                  <w:color w:val="2E5F8A"/>
                  <w:u w:val="single"/>
                  <w:rFonts w:ascii="DejaVu Serif" w:hAnsi="DejaVu Serif" w:eastAsia="DejaVu Serif"/>
                  <w:sz w:val="14"/>
                </w:rPr>
                <w:t>Projective-Harmonic Cross-Ratio</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11</w:t>
            </w:r>
          </w:p>
        </w:tc>
        <w:tc>
          <w:tcPr>
            <w:tcW w:type="dxa" w:w="1417"/>
            <w:tcMar>
              <w:top w:w="90" w:type="dxa"/>
              <w:start w:w="110" w:type="dxa"/>
              <w:bottom w:w="90" w:type="dxa"/>
              <w:end w:w="110" w:type="dxa"/>
            </w:tcMar>
            <w:vAlign w:val="center"/>
            <w:shd w:fill="F4F7FA"/>
          </w:tcPr>
          <w:p>
            <w:r>
              <w:t>31-33</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CH-07</w:t>
            </w:r>
          </w:p>
        </w:tc>
        <w:tc>
          <w:tcPr>
            <w:tcW w:type="dxa" w:w="5669"/>
            <w:tcMar>
              <w:top w:w="90" w:type="dxa"/>
              <w:start w:w="110" w:type="dxa"/>
              <w:bottom w:w="90" w:type="dxa"/>
              <w:end w:w="110" w:type="dxa"/>
            </w:tcMar>
            <w:vAlign w:val="center"/>
          </w:tcPr>
          <w:p>
            <w:pPr>
              <w:jc w:val="left"/>
            </w:pPr>
            <w:hyperlink w:anchor="T1_CH_07" w:history="1">
              <w:r>
                <w:rPr>
                  <w:rStyle w:val="Hyperlink"/>
                  <w:color w:val="2E5F8A"/>
                  <w:u w:val="single"/>
                  <w:rFonts w:ascii="DejaVu Serif" w:hAnsi="DejaVu Serif" w:eastAsia="DejaVu Serif"/>
                  <w:sz w:val="14"/>
                </w:rPr>
                <w:t>D/Dom and Sufficient Foundation</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15</w:t>
            </w:r>
          </w:p>
        </w:tc>
        <w:tc>
          <w:tcPr>
            <w:tcW w:type="dxa" w:w="1417"/>
            <w:tcMar>
              <w:top w:w="90" w:type="dxa"/>
              <w:start w:w="110" w:type="dxa"/>
              <w:bottom w:w="90" w:type="dxa"/>
              <w:end w:w="110" w:type="dxa"/>
            </w:tcMar>
            <w:vAlign w:val="center"/>
          </w:tcPr>
          <w:p>
            <w:r>
              <w:t>34-36</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CH-08</w:t>
            </w:r>
          </w:p>
        </w:tc>
        <w:tc>
          <w:tcPr>
            <w:tcW w:type="dxa" w:w="5669"/>
            <w:tcMar>
              <w:top w:w="90" w:type="dxa"/>
              <w:start w:w="110" w:type="dxa"/>
              <w:bottom w:w="90" w:type="dxa"/>
              <w:end w:w="110" w:type="dxa"/>
            </w:tcMar>
            <w:vAlign w:val="center"/>
            <w:shd w:fill="F4F7FA"/>
          </w:tcPr>
          <w:p>
            <w:pPr>
              <w:jc w:val="left"/>
            </w:pPr>
            <w:hyperlink w:anchor="T1_CH_08" w:history="1">
              <w:r>
                <w:rPr>
                  <w:rStyle w:val="Hyperlink"/>
                  <w:color w:val="2E5F8A"/>
                  <w:u w:val="single"/>
                  <w:rFonts w:ascii="DejaVu Serif" w:hAnsi="DejaVu Serif" w:eastAsia="DejaVu Serif"/>
                  <w:sz w:val="14"/>
                </w:rPr>
                <w:t>Packet Laws of Logic and Rules of Inference</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13</w:t>
            </w:r>
          </w:p>
        </w:tc>
        <w:tc>
          <w:tcPr>
            <w:tcW w:type="dxa" w:w="1417"/>
            <w:tcMar>
              <w:top w:w="90" w:type="dxa"/>
              <w:start w:w="110" w:type="dxa"/>
              <w:bottom w:w="90" w:type="dxa"/>
              <w:end w:w="110" w:type="dxa"/>
            </w:tcMar>
            <w:vAlign w:val="center"/>
            <w:shd w:fill="F4F7FA"/>
          </w:tcPr>
          <w:p>
            <w:r>
              <w:t>37-41</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CH-09</w:t>
            </w:r>
          </w:p>
        </w:tc>
        <w:tc>
          <w:tcPr>
            <w:tcW w:type="dxa" w:w="5669"/>
            <w:tcMar>
              <w:top w:w="90" w:type="dxa"/>
              <w:start w:w="110" w:type="dxa"/>
              <w:bottom w:w="90" w:type="dxa"/>
              <w:end w:w="110" w:type="dxa"/>
            </w:tcMar>
            <w:vAlign w:val="center"/>
          </w:tcPr>
          <w:p>
            <w:pPr>
              <w:jc w:val="left"/>
            </w:pPr>
            <w:hyperlink w:anchor="T1_CH_09" w:history="1">
              <w:r>
                <w:rPr>
                  <w:rStyle w:val="Hyperlink"/>
                  <w:color w:val="2E5F8A"/>
                  <w:u w:val="single"/>
                  <w:rFonts w:ascii="DejaVu Serif" w:hAnsi="DejaVu Serif" w:eastAsia="DejaVu Serif"/>
                  <w:sz w:val="14"/>
                </w:rPr>
                <w:t>Desargues–Kurpishev Theorem</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6</w:t>
            </w:r>
          </w:p>
        </w:tc>
        <w:tc>
          <w:tcPr>
            <w:tcW w:type="dxa" w:w="1417"/>
            <w:tcMar>
              <w:top w:w="90" w:type="dxa"/>
              <w:start w:w="110" w:type="dxa"/>
              <w:bottom w:w="90" w:type="dxa"/>
              <w:end w:w="110" w:type="dxa"/>
            </w:tcMar>
            <w:vAlign w:val="center"/>
          </w:tcPr>
          <w:p>
            <w:r>
              <w:t>42-44</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CH-10</w:t>
            </w:r>
          </w:p>
        </w:tc>
        <w:tc>
          <w:tcPr>
            <w:tcW w:type="dxa" w:w="5669"/>
            <w:tcMar>
              <w:top w:w="90" w:type="dxa"/>
              <w:start w:w="110" w:type="dxa"/>
              <w:bottom w:w="90" w:type="dxa"/>
              <w:end w:w="110" w:type="dxa"/>
            </w:tcMar>
            <w:vAlign w:val="center"/>
            <w:shd w:fill="F4F7FA"/>
          </w:tcPr>
          <w:p>
            <w:pPr>
              <w:jc w:val="left"/>
            </w:pPr>
            <w:hyperlink w:anchor="T1_CH_10" w:history="1">
              <w:r>
                <w:rPr>
                  <w:rStyle w:val="Hyperlink"/>
                  <w:color w:val="2E5F8A"/>
                  <w:u w:val="single"/>
                  <w:rFonts w:ascii="DejaVu Serif" w:hAnsi="DejaVu Serif" w:eastAsia="DejaVu Serif"/>
                  <w:sz w:val="14"/>
                </w:rPr>
                <w:t>Kurpishev FOS, Seven Size@Dimensions, and PN.2</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4</w:t>
            </w:r>
          </w:p>
        </w:tc>
        <w:tc>
          <w:tcPr>
            <w:tcW w:type="dxa" w:w="1417"/>
            <w:tcMar>
              <w:top w:w="90" w:type="dxa"/>
              <w:start w:w="110" w:type="dxa"/>
              <w:bottom w:w="90" w:type="dxa"/>
              <w:end w:w="110" w:type="dxa"/>
            </w:tcMar>
            <w:vAlign w:val="center"/>
            <w:shd w:fill="F4F7FA"/>
          </w:tcPr>
          <w:p>
            <w:r>
              <w:t>45-47</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CH-11</w:t>
            </w:r>
          </w:p>
        </w:tc>
        <w:tc>
          <w:tcPr>
            <w:tcW w:type="dxa" w:w="5669"/>
            <w:tcMar>
              <w:top w:w="90" w:type="dxa"/>
              <w:start w:w="110" w:type="dxa"/>
              <w:bottom w:w="90" w:type="dxa"/>
              <w:end w:w="110" w:type="dxa"/>
            </w:tcMar>
            <w:vAlign w:val="center"/>
          </w:tcPr>
          <w:p>
            <w:pPr>
              <w:jc w:val="left"/>
            </w:pPr>
            <w:hyperlink w:anchor="T1_CH_11" w:history="1">
              <w:r>
                <w:rPr>
                  <w:rStyle w:val="Hyperlink"/>
                  <w:color w:val="2E5F8A"/>
                  <w:u w:val="single"/>
                  <w:rFonts w:ascii="DejaVu Serif" w:hAnsi="DejaVu Serif" w:eastAsia="DejaVu Serif"/>
                  <w:sz w:val="14"/>
                </w:rPr>
                <w:t>NAPG: Nonassociative Packet Geometry</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4</w:t>
            </w:r>
          </w:p>
        </w:tc>
        <w:tc>
          <w:tcPr>
            <w:tcW w:type="dxa" w:w="1417"/>
            <w:tcMar>
              <w:top w:w="90" w:type="dxa"/>
              <w:start w:w="110" w:type="dxa"/>
              <w:bottom w:w="90" w:type="dxa"/>
              <w:end w:w="110" w:type="dxa"/>
            </w:tcMar>
            <w:vAlign w:val="center"/>
          </w:tcPr>
          <w:p>
            <w:r>
              <w:t>48-49</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CH-12</w:t>
            </w:r>
          </w:p>
        </w:tc>
        <w:tc>
          <w:tcPr>
            <w:tcW w:type="dxa" w:w="5669"/>
            <w:tcMar>
              <w:top w:w="90" w:type="dxa"/>
              <w:start w:w="110" w:type="dxa"/>
              <w:bottom w:w="90" w:type="dxa"/>
              <w:end w:w="110" w:type="dxa"/>
            </w:tcMar>
            <w:vAlign w:val="center"/>
            <w:shd w:fill="F4F7FA"/>
          </w:tcPr>
          <w:p>
            <w:pPr>
              <w:jc w:val="left"/>
            </w:pPr>
            <w:hyperlink w:anchor="T1_CH_12" w:history="1">
              <w:r>
                <w:rPr>
                  <w:rStyle w:val="Hyperlink"/>
                  <w:color w:val="2E5F8A"/>
                  <w:u w:val="single"/>
                  <w:rFonts w:ascii="DejaVu Serif" w:hAnsi="DejaVu Serif" w:eastAsia="DejaVu Serif"/>
                  <w:sz w:val="14"/>
                </w:rPr>
                <w:t>PILOT-01, Formula Chains, and the Fano Barrier</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4</w:t>
            </w:r>
          </w:p>
        </w:tc>
        <w:tc>
          <w:tcPr>
            <w:tcW w:type="dxa" w:w="1417"/>
            <w:tcMar>
              <w:top w:w="90" w:type="dxa"/>
              <w:start w:w="110" w:type="dxa"/>
              <w:bottom w:w="90" w:type="dxa"/>
              <w:end w:w="110" w:type="dxa"/>
            </w:tcMar>
            <w:vAlign w:val="center"/>
            <w:shd w:fill="F4F7FA"/>
          </w:tcPr>
          <w:p>
            <w:r>
              <w:t>50-51</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CH-13</w:t>
            </w:r>
          </w:p>
        </w:tc>
        <w:tc>
          <w:tcPr>
            <w:tcW w:type="dxa" w:w="5669"/>
            <w:tcMar>
              <w:top w:w="90" w:type="dxa"/>
              <w:start w:w="110" w:type="dxa"/>
              <w:bottom w:w="90" w:type="dxa"/>
              <w:end w:w="110" w:type="dxa"/>
            </w:tcMar>
            <w:vAlign w:val="center"/>
          </w:tcPr>
          <w:p>
            <w:pPr>
              <w:jc w:val="left"/>
            </w:pPr>
            <w:hyperlink w:anchor="T1_CH_13" w:history="1">
              <w:r>
                <w:rPr>
                  <w:rStyle w:val="Hyperlink"/>
                  <w:color w:val="2E5F8A"/>
                  <w:u w:val="single"/>
                  <w:rFonts w:ascii="DejaVu Serif" w:hAnsi="DejaVu Serif" w:eastAsia="DejaVu Serif"/>
                  <w:sz w:val="14"/>
                </w:rPr>
                <w:t>RBD/RPD and KLT-RBD as a Computational Architecture</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4</w:t>
            </w:r>
          </w:p>
        </w:tc>
        <w:tc>
          <w:tcPr>
            <w:tcW w:type="dxa" w:w="1417"/>
            <w:tcMar>
              <w:top w:w="90" w:type="dxa"/>
              <w:start w:w="110" w:type="dxa"/>
              <w:bottom w:w="90" w:type="dxa"/>
              <w:end w:w="110" w:type="dxa"/>
            </w:tcMar>
            <w:vAlign w:val="center"/>
          </w:tcPr>
          <w:p>
            <w:r>
              <w:t>52-53</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CH-14</w:t>
            </w:r>
          </w:p>
        </w:tc>
        <w:tc>
          <w:tcPr>
            <w:tcW w:type="dxa" w:w="5669"/>
            <w:tcMar>
              <w:top w:w="90" w:type="dxa"/>
              <w:start w:w="110" w:type="dxa"/>
              <w:bottom w:w="90" w:type="dxa"/>
              <w:end w:w="110" w:type="dxa"/>
            </w:tcMar>
            <w:vAlign w:val="center"/>
            <w:shd w:fill="F4F7FA"/>
          </w:tcPr>
          <w:p>
            <w:pPr>
              <w:jc w:val="left"/>
            </w:pPr>
            <w:hyperlink w:anchor="T1_CH_14" w:history="1">
              <w:r>
                <w:rPr>
                  <w:rStyle w:val="Hyperlink"/>
                  <w:color w:val="2E5F8A"/>
                  <w:u w:val="single"/>
                  <w:rFonts w:ascii="DejaVu Serif" w:hAnsi="DejaVu Serif" w:eastAsia="DejaVu Serif"/>
                  <w:sz w:val="14"/>
                </w:rPr>
                <w:t>Examples, Counterexamples, and Evidence Passports</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3</w:t>
            </w:r>
          </w:p>
        </w:tc>
        <w:tc>
          <w:tcPr>
            <w:tcW w:type="dxa" w:w="1417"/>
            <w:tcMar>
              <w:top w:w="90" w:type="dxa"/>
              <w:start w:w="110" w:type="dxa"/>
              <w:bottom w:w="90" w:type="dxa"/>
              <w:end w:w="110" w:type="dxa"/>
            </w:tcMar>
            <w:vAlign w:val="center"/>
            <w:shd w:fill="F4F7FA"/>
          </w:tcPr>
          <w:p>
            <w:r>
              <w:t>54-55</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CH-15</w:t>
            </w:r>
          </w:p>
        </w:tc>
        <w:tc>
          <w:tcPr>
            <w:tcW w:type="dxa" w:w="5669"/>
            <w:tcMar>
              <w:top w:w="90" w:type="dxa"/>
              <w:start w:w="110" w:type="dxa"/>
              <w:bottom w:w="90" w:type="dxa"/>
              <w:end w:w="110" w:type="dxa"/>
            </w:tcMar>
            <w:vAlign w:val="center"/>
          </w:tcPr>
          <w:p>
            <w:pPr>
              <w:jc w:val="left"/>
            </w:pPr>
            <w:hyperlink w:anchor="T1_CH_15" w:history="1">
              <w:r>
                <w:rPr>
                  <w:rStyle w:val="Hyperlink"/>
                  <w:color w:val="2E5F8A"/>
                  <w:u w:val="single"/>
                  <w:rFonts w:ascii="DejaVu Serif" w:hAnsi="DejaVu Serif" w:eastAsia="DejaVu Serif"/>
                  <w:sz w:val="14"/>
                </w:rPr>
                <w:t>Glossary, Notation, Formulae, and Bibliography</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5</w:t>
            </w:r>
          </w:p>
        </w:tc>
        <w:tc>
          <w:tcPr>
            <w:tcW w:type="dxa" w:w="1417"/>
            <w:tcMar>
              <w:top w:w="90" w:type="dxa"/>
              <w:start w:w="110" w:type="dxa"/>
              <w:bottom w:w="90" w:type="dxa"/>
              <w:end w:w="110" w:type="dxa"/>
            </w:tcMar>
            <w:vAlign w:val="center"/>
          </w:tcPr>
          <w:p>
            <w:r>
              <w:t>56-57</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CH-16</w:t>
            </w:r>
          </w:p>
        </w:tc>
        <w:tc>
          <w:tcPr>
            <w:tcW w:type="dxa" w:w="5669"/>
            <w:tcMar>
              <w:top w:w="90" w:type="dxa"/>
              <w:start w:w="110" w:type="dxa"/>
              <w:bottom w:w="90" w:type="dxa"/>
              <w:end w:w="110" w:type="dxa"/>
            </w:tcMar>
            <w:vAlign w:val="center"/>
            <w:shd w:fill="F4F7FA"/>
          </w:tcPr>
          <w:p>
            <w:pPr>
              <w:jc w:val="left"/>
            </w:pPr>
            <w:hyperlink w:anchor="T1_CH_16" w:history="1">
              <w:r>
                <w:rPr>
                  <w:rStyle w:val="Hyperlink"/>
                  <w:color w:val="2E5F8A"/>
                  <w:u w:val="single"/>
                  <w:rFonts w:ascii="DejaVu Serif" w:hAnsi="DejaVu Serif" w:eastAsia="DejaVu Serif"/>
                  <w:sz w:val="14"/>
                </w:rPr>
                <w:t>Historical-Mathematical Prior Art and the Boundary of the Authorial Contribution</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12</w:t>
            </w:r>
          </w:p>
        </w:tc>
        <w:tc>
          <w:tcPr>
            <w:tcW w:type="dxa" w:w="1417"/>
            <w:tcMar>
              <w:top w:w="90" w:type="dxa"/>
              <w:start w:w="110" w:type="dxa"/>
              <w:bottom w:w="90" w:type="dxa"/>
              <w:end w:w="110" w:type="dxa"/>
            </w:tcMar>
            <w:vAlign w:val="center"/>
            <w:shd w:fill="F4F7FA"/>
          </w:tcPr>
          <w:p>
            <w:r>
              <w:t>58-62</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CH-17</w:t>
            </w:r>
          </w:p>
        </w:tc>
        <w:tc>
          <w:tcPr>
            <w:tcW w:type="dxa" w:w="5669"/>
            <w:tcMar>
              <w:top w:w="90" w:type="dxa"/>
              <w:start w:w="110" w:type="dxa"/>
              <w:bottom w:w="90" w:type="dxa"/>
              <w:end w:w="110" w:type="dxa"/>
            </w:tcMar>
            <w:vAlign w:val="center"/>
          </w:tcPr>
          <w:p>
            <w:pPr>
              <w:jc w:val="left"/>
            </w:pPr>
            <w:hyperlink w:anchor="T1_CH_17" w:history="1">
              <w:r>
                <w:rPr>
                  <w:rStyle w:val="Hyperlink"/>
                  <w:color w:val="2E5F8A"/>
                  <w:u w:val="single"/>
                  <w:rFonts w:ascii="DejaVu Serif" w:hAnsi="DejaVu Serif" w:eastAsia="DejaVu Serif"/>
                  <w:sz w:val="14"/>
                </w:rPr>
                <w:t>Complex Cross-Ratio and Reper Geometry on CP¹</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2</w:t>
            </w:r>
          </w:p>
        </w:tc>
        <w:tc>
          <w:tcPr>
            <w:tcW w:type="dxa" w:w="1417"/>
            <w:tcMar>
              <w:top w:w="90" w:type="dxa"/>
              <w:start w:w="110" w:type="dxa"/>
              <w:bottom w:w="90" w:type="dxa"/>
              <w:end w:w="110" w:type="dxa"/>
            </w:tcMar>
            <w:vAlign w:val="center"/>
          </w:tcPr>
          <w:p>
            <w:r>
              <w:t>63-64</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CH-18</w:t>
            </w:r>
          </w:p>
        </w:tc>
        <w:tc>
          <w:tcPr>
            <w:tcW w:type="dxa" w:w="5669"/>
            <w:tcMar>
              <w:top w:w="90" w:type="dxa"/>
              <w:start w:w="110" w:type="dxa"/>
              <w:bottom w:w="90" w:type="dxa"/>
              <w:end w:w="110" w:type="dxa"/>
            </w:tcMar>
            <w:vAlign w:val="center"/>
            <w:shd w:fill="F4F7FA"/>
          </w:tcPr>
          <w:p>
            <w:pPr>
              <w:jc w:val="left"/>
            </w:pPr>
            <w:hyperlink w:anchor="T1_CH_18" w:history="1">
              <w:r>
                <w:rPr>
                  <w:rStyle w:val="Hyperlink"/>
                  <w:color w:val="2E5F8A"/>
                  <w:u w:val="single"/>
                  <w:rFonts w:ascii="DejaVu Serif" w:hAnsi="DejaVu Serif" w:eastAsia="DejaVu Serif"/>
                  <w:sz w:val="14"/>
                </w:rPr>
                <w:t>Matrix and Operator Cross-Ratio</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3</w:t>
            </w:r>
          </w:p>
        </w:tc>
        <w:tc>
          <w:tcPr>
            <w:tcW w:type="dxa" w:w="1417"/>
            <w:tcMar>
              <w:top w:w="90" w:type="dxa"/>
              <w:start w:w="110" w:type="dxa"/>
              <w:bottom w:w="90" w:type="dxa"/>
              <w:end w:w="110" w:type="dxa"/>
            </w:tcMar>
            <w:vAlign w:val="center"/>
            <w:shd w:fill="F4F7FA"/>
          </w:tcPr>
          <w:p>
            <w:r>
              <w:t>65-66</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CH-19</w:t>
            </w:r>
          </w:p>
        </w:tc>
        <w:tc>
          <w:tcPr>
            <w:tcW w:type="dxa" w:w="5669"/>
            <w:tcMar>
              <w:top w:w="90" w:type="dxa"/>
              <w:start w:w="110" w:type="dxa"/>
              <w:bottom w:w="90" w:type="dxa"/>
              <w:end w:w="110" w:type="dxa"/>
            </w:tcMar>
            <w:vAlign w:val="center"/>
          </w:tcPr>
          <w:p>
            <w:pPr>
              <w:jc w:val="left"/>
            </w:pPr>
            <w:hyperlink w:anchor="T1_CH_19" w:history="1">
              <w:r>
                <w:rPr>
                  <w:rStyle w:val="Hyperlink"/>
                  <w:color w:val="2E5F8A"/>
                  <w:u w:val="single"/>
                  <w:rFonts w:ascii="DejaVu Serif" w:hAnsi="DejaVu Serif" w:eastAsia="DejaVu Serif"/>
                  <w:sz w:val="14"/>
                </w:rPr>
                <w:t>Evidence-Level Refinement of the Desargues–Kurpishev Theorem</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3</w:t>
            </w:r>
          </w:p>
        </w:tc>
        <w:tc>
          <w:tcPr>
            <w:tcW w:type="dxa" w:w="1417"/>
            <w:tcMar>
              <w:top w:w="90" w:type="dxa"/>
              <w:start w:w="110" w:type="dxa"/>
              <w:bottom w:w="90" w:type="dxa"/>
              <w:end w:w="110" w:type="dxa"/>
            </w:tcMar>
            <w:vAlign w:val="center"/>
          </w:tcPr>
          <w:p>
            <w:r>
              <w:t>67-68</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CH-20</w:t>
            </w:r>
          </w:p>
        </w:tc>
        <w:tc>
          <w:tcPr>
            <w:tcW w:type="dxa" w:w="5669"/>
            <w:tcMar>
              <w:top w:w="90" w:type="dxa"/>
              <w:start w:w="110" w:type="dxa"/>
              <w:bottom w:w="90" w:type="dxa"/>
              <w:end w:w="110" w:type="dxa"/>
            </w:tcMar>
            <w:vAlign w:val="center"/>
            <w:shd w:fill="F4F7FA"/>
          </w:tcPr>
          <w:p>
            <w:pPr>
              <w:jc w:val="left"/>
            </w:pPr>
            <w:hyperlink w:anchor="T1_CH_20" w:history="1">
              <w:r>
                <w:rPr>
                  <w:rStyle w:val="Hyperlink"/>
                  <w:color w:val="2E5F8A"/>
                  <w:u w:val="single"/>
                  <w:rFonts w:ascii="DejaVu Serif" w:hAnsi="DejaVu Serif" w:eastAsia="DejaVu Serif"/>
                  <w:sz w:val="14"/>
                </w:rPr>
                <w:t>Subject Index, Formula Index, and Cross-Reference System</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3</w:t>
            </w:r>
          </w:p>
        </w:tc>
        <w:tc>
          <w:tcPr>
            <w:tcW w:type="dxa" w:w="1417"/>
            <w:tcMar>
              <w:top w:w="90" w:type="dxa"/>
              <w:start w:w="110" w:type="dxa"/>
              <w:bottom w:w="90" w:type="dxa"/>
              <w:end w:w="110" w:type="dxa"/>
            </w:tcMar>
            <w:vAlign w:val="center"/>
            <w:shd w:fill="F4F7FA"/>
          </w:tcPr>
          <w:p>
            <w:r>
              <w:t>69</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CH-21</w:t>
            </w:r>
          </w:p>
        </w:tc>
        <w:tc>
          <w:tcPr>
            <w:tcW w:type="dxa" w:w="5669"/>
            <w:tcMar>
              <w:top w:w="90" w:type="dxa"/>
              <w:start w:w="110" w:type="dxa"/>
              <w:bottom w:w="90" w:type="dxa"/>
              <w:end w:w="110" w:type="dxa"/>
            </w:tcMar>
            <w:vAlign w:val="center"/>
          </w:tcPr>
          <w:p>
            <w:pPr>
              <w:jc w:val="left"/>
            </w:pPr>
            <w:hyperlink w:anchor="T1_CH_21" w:history="1">
              <w:r>
                <w:rPr>
                  <w:rStyle w:val="Hyperlink"/>
                  <w:color w:val="2E5F8A"/>
                  <w:u w:val="single"/>
                  <w:rFonts w:ascii="DejaVu Serif" w:hAnsi="DejaVu Serif" w:eastAsia="DejaVu Serif"/>
                  <w:sz w:val="14"/>
                </w:rPr>
                <w:t>Canonical Mathematical Construction of Kurpishev PN.2</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4</w:t>
            </w:r>
          </w:p>
        </w:tc>
        <w:tc>
          <w:tcPr>
            <w:tcW w:type="dxa" w:w="1417"/>
            <w:tcMar>
              <w:top w:w="90" w:type="dxa"/>
              <w:start w:w="110" w:type="dxa"/>
              <w:bottom w:w="90" w:type="dxa"/>
              <w:end w:w="110" w:type="dxa"/>
            </w:tcMar>
            <w:vAlign w:val="center"/>
          </w:tcPr>
          <w:p>
            <w:r>
              <w:t>70-71</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CH-22</w:t>
            </w:r>
          </w:p>
        </w:tc>
        <w:tc>
          <w:tcPr>
            <w:tcW w:type="dxa" w:w="5669"/>
            <w:tcMar>
              <w:top w:w="90" w:type="dxa"/>
              <w:start w:w="110" w:type="dxa"/>
              <w:bottom w:w="90" w:type="dxa"/>
              <w:end w:w="110" w:type="dxa"/>
            </w:tcMar>
            <w:vAlign w:val="center"/>
            <w:shd w:fill="F4F7FA"/>
          </w:tcPr>
          <w:p>
            <w:pPr>
              <w:jc w:val="left"/>
            </w:pPr>
            <w:hyperlink w:anchor="T1_CH_22" w:history="1">
              <w:r>
                <w:rPr>
                  <w:rStyle w:val="Hyperlink"/>
                  <w:color w:val="2E5F8A"/>
                  <w:u w:val="single"/>
                  <w:rFonts w:ascii="DejaVu Serif" w:hAnsi="DejaVu Serif" w:eastAsia="DejaVu Serif"/>
                  <w:sz w:val="14"/>
                </w:rPr>
                <w:t>PN.2 as a Constraint and Driver of the KLT-RBD Predictive Method</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3</w:t>
            </w:r>
          </w:p>
        </w:tc>
        <w:tc>
          <w:tcPr>
            <w:tcW w:type="dxa" w:w="1417"/>
            <w:tcMar>
              <w:top w:w="90" w:type="dxa"/>
              <w:start w:w="110" w:type="dxa"/>
              <w:bottom w:w="90" w:type="dxa"/>
              <w:end w:w="110" w:type="dxa"/>
            </w:tcMar>
            <w:vAlign w:val="center"/>
            <w:shd w:fill="F4F7FA"/>
          </w:tcPr>
          <w:p>
            <w:r>
              <w:t>72-73</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CH-23</w:t>
            </w:r>
          </w:p>
        </w:tc>
        <w:tc>
          <w:tcPr>
            <w:tcW w:type="dxa" w:w="5669"/>
            <w:tcMar>
              <w:top w:w="90" w:type="dxa"/>
              <w:start w:w="110" w:type="dxa"/>
              <w:bottom w:w="90" w:type="dxa"/>
              <w:end w:w="110" w:type="dxa"/>
            </w:tcMar>
            <w:vAlign w:val="center"/>
          </w:tcPr>
          <w:p>
            <w:pPr>
              <w:jc w:val="left"/>
            </w:pPr>
            <w:hyperlink w:anchor="T1_CH_23" w:history="1">
              <w:r>
                <w:rPr>
                  <w:rStyle w:val="Hyperlink"/>
                  <w:color w:val="2E5F8A"/>
                  <w:u w:val="single"/>
                  <w:rFonts w:ascii="DejaVu Serif" w:hAnsi="DejaVu Serif" w:eastAsia="DejaVu Serif"/>
                  <w:sz w:val="14"/>
                </w:rPr>
                <w:t>PN.2 Examples, Counterexamples, and Computational Tests</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2</w:t>
            </w:r>
          </w:p>
        </w:tc>
        <w:tc>
          <w:tcPr>
            <w:tcW w:type="dxa" w:w="1417"/>
            <w:tcMar>
              <w:top w:w="90" w:type="dxa"/>
              <w:start w:w="110" w:type="dxa"/>
              <w:bottom w:w="90" w:type="dxa"/>
              <w:end w:w="110" w:type="dxa"/>
            </w:tcMar>
            <w:vAlign w:val="center"/>
          </w:tcPr>
          <w:p>
            <w:r>
              <w:t>74</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CH-24</w:t>
            </w:r>
          </w:p>
        </w:tc>
        <w:tc>
          <w:tcPr>
            <w:tcW w:type="dxa" w:w="5669"/>
            <w:tcMar>
              <w:top w:w="90" w:type="dxa"/>
              <w:start w:w="110" w:type="dxa"/>
              <w:bottom w:w="90" w:type="dxa"/>
              <w:end w:w="110" w:type="dxa"/>
            </w:tcMar>
            <w:vAlign w:val="center"/>
            <w:shd w:fill="F4F7FA"/>
          </w:tcPr>
          <w:p>
            <w:pPr>
              <w:jc w:val="left"/>
            </w:pPr>
            <w:hyperlink w:anchor="T1_CH_24" w:history="1">
              <w:r>
                <w:rPr>
                  <w:rStyle w:val="Hyperlink"/>
                  <w:color w:val="2E5F8A"/>
                  <w:u w:val="single"/>
                  <w:rFonts w:ascii="DejaVu Serif" w:hAnsi="DejaVu Serif" w:eastAsia="DejaVu Serif"/>
                  <w:sz w:val="14"/>
                </w:rPr>
                <w:t>Export of PN.2 to Physics, Chemistry, Biology, and DNA: Boundaries and Verification Programme</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4</w:t>
            </w:r>
          </w:p>
        </w:tc>
        <w:tc>
          <w:tcPr>
            <w:tcW w:type="dxa" w:w="1417"/>
            <w:tcMar>
              <w:top w:w="90" w:type="dxa"/>
              <w:start w:w="110" w:type="dxa"/>
              <w:bottom w:w="90" w:type="dxa"/>
              <w:end w:w="110" w:type="dxa"/>
            </w:tcMar>
            <w:vAlign w:val="center"/>
            <w:shd w:fill="F4F7FA"/>
          </w:tcPr>
          <w:p>
            <w:r>
              <w:t>75-76</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CH-25</w:t>
            </w:r>
          </w:p>
        </w:tc>
        <w:tc>
          <w:tcPr>
            <w:tcW w:type="dxa" w:w="5669"/>
            <w:tcMar>
              <w:top w:w="90" w:type="dxa"/>
              <w:start w:w="110" w:type="dxa"/>
              <w:bottom w:w="90" w:type="dxa"/>
              <w:end w:w="110" w:type="dxa"/>
            </w:tcMar>
            <w:vAlign w:val="center"/>
          </w:tcPr>
          <w:p>
            <w:pPr>
              <w:jc w:val="left"/>
            </w:pPr>
            <w:hyperlink w:anchor="T1_CH_25" w:history="1">
              <w:r>
                <w:rPr>
                  <w:rStyle w:val="Hyperlink"/>
                  <w:color w:val="2E5F8A"/>
                  <w:u w:val="single"/>
                  <w:rFonts w:ascii="DejaVu Serif" w:hAnsi="DejaVu Serif" w:eastAsia="DejaVu Serif"/>
                  <w:sz w:val="14"/>
                </w:rPr>
                <w:t>Operators of Action, Change, and Reversal</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3</w:t>
            </w:r>
          </w:p>
        </w:tc>
        <w:tc>
          <w:tcPr>
            <w:tcW w:type="dxa" w:w="1417"/>
            <w:tcMar>
              <w:top w:w="90" w:type="dxa"/>
              <w:start w:w="110" w:type="dxa"/>
              <w:bottom w:w="90" w:type="dxa"/>
              <w:end w:w="110" w:type="dxa"/>
            </w:tcMar>
            <w:vAlign w:val="center"/>
          </w:tcPr>
          <w:p>
            <w:r>
              <w:t>77-78</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CH-26</w:t>
            </w:r>
          </w:p>
        </w:tc>
        <w:tc>
          <w:tcPr>
            <w:tcW w:type="dxa" w:w="5669"/>
            <w:tcMar>
              <w:top w:w="90" w:type="dxa"/>
              <w:start w:w="110" w:type="dxa"/>
              <w:bottom w:w="90" w:type="dxa"/>
              <w:end w:w="110" w:type="dxa"/>
            </w:tcMar>
            <w:vAlign w:val="center"/>
            <w:shd w:fill="F4F7FA"/>
          </w:tcPr>
          <w:p>
            <w:pPr>
              <w:jc w:val="left"/>
            </w:pPr>
            <w:hyperlink w:anchor="T1_CH_26" w:history="1">
              <w:r>
                <w:rPr>
                  <w:rStyle w:val="Hyperlink"/>
                  <w:color w:val="2E5F8A"/>
                  <w:u w:val="single"/>
                  <w:rFonts w:ascii="DejaVu Serif" w:hAnsi="DejaVu Serif" w:eastAsia="DejaVu Serif"/>
                  <w:sz w:val="14"/>
                </w:rPr>
                <w:t>Nonassociative Packet Reper Algebra of Size@Dimensions</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9</w:t>
            </w:r>
          </w:p>
        </w:tc>
        <w:tc>
          <w:tcPr>
            <w:tcW w:type="dxa" w:w="1417"/>
            <w:tcMar>
              <w:top w:w="90" w:type="dxa"/>
              <w:start w:w="110" w:type="dxa"/>
              <w:bottom w:w="90" w:type="dxa"/>
              <w:end w:w="110" w:type="dxa"/>
            </w:tcMar>
            <w:vAlign w:val="center"/>
            <w:shd w:fill="F4F7FA"/>
          </w:tcPr>
          <w:p>
            <w:r>
              <w:t>79-83</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CH-27</w:t>
            </w:r>
          </w:p>
        </w:tc>
        <w:tc>
          <w:tcPr>
            <w:tcW w:type="dxa" w:w="5669"/>
            <w:tcMar>
              <w:top w:w="90" w:type="dxa"/>
              <w:start w:w="110" w:type="dxa"/>
              <w:bottom w:w="90" w:type="dxa"/>
              <w:end w:w="110" w:type="dxa"/>
            </w:tcMar>
            <w:vAlign w:val="center"/>
          </w:tcPr>
          <w:p>
            <w:pPr>
              <w:jc w:val="left"/>
            </w:pPr>
            <w:hyperlink w:anchor="T1_CH_27" w:history="1">
              <w:r>
                <w:rPr>
                  <w:rStyle w:val="Hyperlink"/>
                  <w:color w:val="2E5F8A"/>
                  <w:u w:val="single"/>
                  <w:rFonts w:ascii="DejaVu Serif" w:hAnsi="DejaVu Serif" w:eastAsia="DejaVu Serif"/>
                  <w:sz w:val="14"/>
                </w:rPr>
                <w:t>Canonical PN.2 with Appendices A–B and Philosophical Blocks</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12</w:t>
            </w:r>
          </w:p>
        </w:tc>
        <w:tc>
          <w:tcPr>
            <w:tcW w:type="dxa" w:w="1417"/>
            <w:tcMar>
              <w:top w:w="90" w:type="dxa"/>
              <w:start w:w="110" w:type="dxa"/>
              <w:bottom w:w="90" w:type="dxa"/>
              <w:end w:w="110" w:type="dxa"/>
            </w:tcMar>
            <w:vAlign w:val="center"/>
          </w:tcPr>
          <w:p>
            <w:r>
              <w:t>84-87</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CH-28</w:t>
            </w:r>
          </w:p>
        </w:tc>
        <w:tc>
          <w:tcPr>
            <w:tcW w:type="dxa" w:w="5669"/>
            <w:tcMar>
              <w:top w:w="90" w:type="dxa"/>
              <w:start w:w="110" w:type="dxa"/>
              <w:bottom w:w="90" w:type="dxa"/>
              <w:end w:w="110" w:type="dxa"/>
            </w:tcMar>
            <w:vAlign w:val="center"/>
            <w:shd w:fill="F4F7FA"/>
          </w:tcPr>
          <w:p>
            <w:pPr>
              <w:jc w:val="left"/>
            </w:pPr>
            <w:hyperlink w:anchor="T1_CH_28" w:history="1">
              <w:r>
                <w:rPr>
                  <w:rStyle w:val="Hyperlink"/>
                  <w:color w:val="2E5F8A"/>
                  <w:u w:val="single"/>
                  <w:rFonts w:ascii="DejaVu Serif" w:hAnsi="DejaVu Serif" w:eastAsia="DejaVu Serif"/>
                  <w:sz w:val="14"/>
                </w:rPr>
                <w:t>Predictive Limits and the Finite Horizon of Reper Action</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3</w:t>
            </w:r>
          </w:p>
        </w:tc>
        <w:tc>
          <w:tcPr>
            <w:tcW w:type="dxa" w:w="1417"/>
            <w:tcMar>
              <w:top w:w="90" w:type="dxa"/>
              <w:start w:w="110" w:type="dxa"/>
              <w:bottom w:w="90" w:type="dxa"/>
              <w:end w:w="110" w:type="dxa"/>
            </w:tcMar>
            <w:vAlign w:val="center"/>
            <w:shd w:fill="F4F7FA"/>
          </w:tcPr>
          <w:p>
            <w:r>
              <w:t>88-89</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CH-29</w:t>
            </w:r>
          </w:p>
        </w:tc>
        <w:tc>
          <w:tcPr>
            <w:tcW w:type="dxa" w:w="5669"/>
            <w:tcMar>
              <w:top w:w="90" w:type="dxa"/>
              <w:start w:w="110" w:type="dxa"/>
              <w:bottom w:w="90" w:type="dxa"/>
              <w:end w:w="110" w:type="dxa"/>
            </w:tcMar>
            <w:vAlign w:val="center"/>
          </w:tcPr>
          <w:p>
            <w:pPr>
              <w:jc w:val="left"/>
            </w:pPr>
            <w:hyperlink w:anchor="T1_CH_29" w:history="1">
              <w:r>
                <w:rPr>
                  <w:rStyle w:val="Hyperlink"/>
                  <w:color w:val="2E5F8A"/>
                  <w:u w:val="single"/>
                  <w:rFonts w:ascii="DejaVu Serif" w:hAnsi="DejaVu Serif" w:eastAsia="DejaVu Serif"/>
                  <w:sz w:val="14"/>
                </w:rPr>
                <w:t>Adaptive Rebuilding of the Reper Graph</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2</w:t>
            </w:r>
          </w:p>
        </w:tc>
        <w:tc>
          <w:tcPr>
            <w:tcW w:type="dxa" w:w="1417"/>
            <w:tcMar>
              <w:top w:w="90" w:type="dxa"/>
              <w:start w:w="110" w:type="dxa"/>
              <w:bottom w:w="90" w:type="dxa"/>
              <w:end w:w="110" w:type="dxa"/>
            </w:tcMar>
            <w:vAlign w:val="center"/>
          </w:tcPr>
          <w:p>
            <w:r>
              <w:t>90</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CH-30</w:t>
            </w:r>
          </w:p>
        </w:tc>
        <w:tc>
          <w:tcPr>
            <w:tcW w:type="dxa" w:w="5669"/>
            <w:tcMar>
              <w:top w:w="90" w:type="dxa"/>
              <w:start w:w="110" w:type="dxa"/>
              <w:bottom w:w="90" w:type="dxa"/>
              <w:end w:w="110" w:type="dxa"/>
            </w:tcMar>
            <w:vAlign w:val="center"/>
            <w:shd w:fill="F4F7FA"/>
          </w:tcPr>
          <w:p>
            <w:pPr>
              <w:jc w:val="left"/>
            </w:pPr>
            <w:hyperlink w:anchor="T1_CH_30" w:history="1">
              <w:r>
                <w:rPr>
                  <w:rStyle w:val="Hyperlink"/>
                  <w:color w:val="2E5F8A"/>
                  <w:u w:val="single"/>
                  <w:rFonts w:ascii="DejaVu Serif" w:hAnsi="DejaVu Serif" w:eastAsia="DejaVu Serif"/>
                  <w:sz w:val="14"/>
                </w:rPr>
                <w:t>Predictive Reper Bundle</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2</w:t>
            </w:r>
          </w:p>
        </w:tc>
        <w:tc>
          <w:tcPr>
            <w:tcW w:type="dxa" w:w="1417"/>
            <w:tcMar>
              <w:top w:w="90" w:type="dxa"/>
              <w:start w:w="110" w:type="dxa"/>
              <w:bottom w:w="90" w:type="dxa"/>
              <w:end w:w="110" w:type="dxa"/>
            </w:tcMar>
            <w:vAlign w:val="center"/>
            <w:shd w:fill="F4F7FA"/>
          </w:tcPr>
          <w:p>
            <w:r>
              <w:t>91</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CH-31</w:t>
            </w:r>
          </w:p>
        </w:tc>
        <w:tc>
          <w:tcPr>
            <w:tcW w:type="dxa" w:w="5669"/>
            <w:tcMar>
              <w:top w:w="90" w:type="dxa"/>
              <w:start w:w="110" w:type="dxa"/>
              <w:bottom w:w="90" w:type="dxa"/>
              <w:end w:w="110" w:type="dxa"/>
            </w:tcMar>
            <w:vAlign w:val="center"/>
          </w:tcPr>
          <w:p>
            <w:pPr>
              <w:jc w:val="left"/>
            </w:pPr>
            <w:hyperlink w:anchor="T1_CH_31" w:history="1">
              <w:r>
                <w:rPr>
                  <w:rStyle w:val="Hyperlink"/>
                  <w:color w:val="2E5F8A"/>
                  <w:u w:val="single"/>
                  <w:rFonts w:ascii="DejaVu Serif" w:hAnsi="DejaVu Serif" w:eastAsia="DejaVu Serif"/>
                  <w:sz w:val="14"/>
                </w:rPr>
                <w:t>Computational Certification and the Evidence-Status Boundary</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8</w:t>
            </w:r>
          </w:p>
        </w:tc>
        <w:tc>
          <w:tcPr>
            <w:tcW w:type="dxa" w:w="1417"/>
            <w:tcMar>
              <w:top w:w="90" w:type="dxa"/>
              <w:start w:w="110" w:type="dxa"/>
              <w:bottom w:w="90" w:type="dxa"/>
              <w:end w:w="110" w:type="dxa"/>
            </w:tcMar>
            <w:vAlign w:val="center"/>
          </w:tcPr>
          <w:p>
            <w:r>
              <w:t>92-95</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CH-32</w:t>
            </w:r>
          </w:p>
        </w:tc>
        <w:tc>
          <w:tcPr>
            <w:tcW w:type="dxa" w:w="5669"/>
            <w:tcMar>
              <w:top w:w="90" w:type="dxa"/>
              <w:start w:w="110" w:type="dxa"/>
              <w:bottom w:w="90" w:type="dxa"/>
              <w:end w:w="110" w:type="dxa"/>
            </w:tcMar>
            <w:vAlign w:val="center"/>
            <w:shd w:fill="F4F7FA"/>
          </w:tcPr>
          <w:p>
            <w:pPr>
              <w:jc w:val="left"/>
            </w:pPr>
            <w:hyperlink w:anchor="T1_CH_32" w:history="1">
              <w:r>
                <w:rPr>
                  <w:rStyle w:val="Hyperlink"/>
                  <w:color w:val="2E5F8A"/>
                  <w:u w:val="single"/>
                  <w:rFonts w:ascii="DejaVu Serif" w:hAnsi="DejaVu Serif" w:eastAsia="DejaVu Serif"/>
                  <w:sz w:val="14"/>
                </w:rPr>
                <w:t>Strict Specification of KLT-RBD Domain Adapters</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4</w:t>
            </w:r>
          </w:p>
        </w:tc>
        <w:tc>
          <w:tcPr>
            <w:tcW w:type="dxa" w:w="1417"/>
            <w:tcMar>
              <w:top w:w="90" w:type="dxa"/>
              <w:start w:w="110" w:type="dxa"/>
              <w:bottom w:w="90" w:type="dxa"/>
              <w:end w:w="110" w:type="dxa"/>
            </w:tcMar>
            <w:vAlign w:val="center"/>
            <w:shd w:fill="F4F7FA"/>
          </w:tcPr>
          <w:p>
            <w:r>
              <w:t>96-98</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CH-33</w:t>
            </w:r>
          </w:p>
        </w:tc>
        <w:tc>
          <w:tcPr>
            <w:tcW w:type="dxa" w:w="5669"/>
            <w:tcMar>
              <w:top w:w="90" w:type="dxa"/>
              <w:start w:w="110" w:type="dxa"/>
              <w:bottom w:w="90" w:type="dxa"/>
              <w:end w:w="110" w:type="dxa"/>
            </w:tcMar>
            <w:vAlign w:val="center"/>
          </w:tcPr>
          <w:p>
            <w:pPr>
              <w:jc w:val="left"/>
            </w:pPr>
            <w:hyperlink w:anchor="T1_CH_33" w:history="1">
              <w:r>
                <w:rPr>
                  <w:rStyle w:val="Hyperlink"/>
                  <w:color w:val="2E5F8A"/>
                  <w:u w:val="single"/>
                  <w:rFonts w:ascii="DejaVu Serif" w:hAnsi="DejaVu Serif" w:eastAsia="DejaVu Serif"/>
                  <w:sz w:val="14"/>
                </w:rPr>
                <w:t>Identity, Provenance, and Data Integrity</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4</w:t>
            </w:r>
          </w:p>
        </w:tc>
        <w:tc>
          <w:tcPr>
            <w:tcW w:type="dxa" w:w="1417"/>
            <w:tcMar>
              <w:top w:w="90" w:type="dxa"/>
              <w:start w:w="110" w:type="dxa"/>
              <w:bottom w:w="90" w:type="dxa"/>
              <w:end w:w="110" w:type="dxa"/>
            </w:tcMar>
            <w:vAlign w:val="center"/>
          </w:tcPr>
          <w:p>
            <w:r>
              <w:t>99-100</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CH-34</w:t>
            </w:r>
          </w:p>
        </w:tc>
        <w:tc>
          <w:tcPr>
            <w:tcW w:type="dxa" w:w="5669"/>
            <w:tcMar>
              <w:top w:w="90" w:type="dxa"/>
              <w:start w:w="110" w:type="dxa"/>
              <w:bottom w:w="90" w:type="dxa"/>
              <w:end w:w="110" w:type="dxa"/>
            </w:tcMar>
            <w:vAlign w:val="center"/>
            <w:shd w:fill="F4F7FA"/>
          </w:tcPr>
          <w:p>
            <w:pPr>
              <w:jc w:val="left"/>
            </w:pPr>
            <w:hyperlink w:anchor="T1_CH_34" w:history="1">
              <w:r>
                <w:rPr>
                  <w:rStyle w:val="Hyperlink"/>
                  <w:color w:val="2E5F8A"/>
                  <w:u w:val="single"/>
                  <w:rFonts w:ascii="DejaVu Serif" w:hAnsi="DejaVu Serif" w:eastAsia="DejaVu Serif"/>
                  <w:sz w:val="14"/>
                </w:rPr>
                <w:t>Identifiability, Transportability, and Independent Verification</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4</w:t>
            </w:r>
          </w:p>
        </w:tc>
        <w:tc>
          <w:tcPr>
            <w:tcW w:type="dxa" w:w="1417"/>
            <w:tcMar>
              <w:top w:w="90" w:type="dxa"/>
              <w:start w:w="110" w:type="dxa"/>
              <w:bottom w:w="90" w:type="dxa"/>
              <w:end w:w="110" w:type="dxa"/>
            </w:tcMar>
            <w:vAlign w:val="center"/>
            <w:shd w:fill="F4F7FA"/>
          </w:tcPr>
          <w:p>
            <w:r>
              <w:t>101-102</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CH-35</w:t>
            </w:r>
          </w:p>
        </w:tc>
        <w:tc>
          <w:tcPr>
            <w:tcW w:type="dxa" w:w="5669"/>
            <w:tcMar>
              <w:top w:w="90" w:type="dxa"/>
              <w:start w:w="110" w:type="dxa"/>
              <w:bottom w:w="90" w:type="dxa"/>
              <w:end w:w="110" w:type="dxa"/>
            </w:tcMar>
            <w:vAlign w:val="center"/>
          </w:tcPr>
          <w:p>
            <w:pPr>
              <w:jc w:val="left"/>
            </w:pPr>
            <w:hyperlink w:anchor="T1_CH_35" w:history="1">
              <w:r>
                <w:rPr>
                  <w:rStyle w:val="Hyperlink"/>
                  <w:color w:val="2E5F8A"/>
                  <w:u w:val="single"/>
                  <w:rFonts w:ascii="DejaVu Serif" w:hAnsi="DejaVu Serif" w:eastAsia="DejaVu Serif"/>
                  <w:sz w:val="14"/>
                </w:rPr>
                <w:t>Forecast Corridors, Conformal Calibration, and Abstention</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4</w:t>
            </w:r>
          </w:p>
        </w:tc>
        <w:tc>
          <w:tcPr>
            <w:tcW w:type="dxa" w:w="1417"/>
            <w:tcMar>
              <w:top w:w="90" w:type="dxa"/>
              <w:start w:w="110" w:type="dxa"/>
              <w:bottom w:w="90" w:type="dxa"/>
              <w:end w:w="110" w:type="dxa"/>
            </w:tcMar>
            <w:vAlign w:val="center"/>
          </w:tcPr>
          <w:p>
            <w:r>
              <w:t>103-104</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CH-36</w:t>
            </w:r>
          </w:p>
        </w:tc>
        <w:tc>
          <w:tcPr>
            <w:tcW w:type="dxa" w:w="5669"/>
            <w:tcMar>
              <w:top w:w="90" w:type="dxa"/>
              <w:start w:w="110" w:type="dxa"/>
              <w:bottom w:w="90" w:type="dxa"/>
              <w:end w:w="110" w:type="dxa"/>
            </w:tcMar>
            <w:vAlign w:val="center"/>
            <w:shd w:fill="F4F7FA"/>
          </w:tcPr>
          <w:p>
            <w:pPr>
              <w:jc w:val="left"/>
            </w:pPr>
            <w:hyperlink w:anchor="T1_CH_36" w:history="1">
              <w:r>
                <w:rPr>
                  <w:rStyle w:val="Hyperlink"/>
                  <w:color w:val="2E5F8A"/>
                  <w:u w:val="single"/>
                  <w:rFonts w:ascii="DejaVu Serif" w:hAnsi="DejaVu Serif" w:eastAsia="DejaVu Serif"/>
                  <w:sz w:val="14"/>
                </w:rPr>
                <w:t>KLT-RBD Computational Contract and Final Audit</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6</w:t>
            </w:r>
          </w:p>
        </w:tc>
        <w:tc>
          <w:tcPr>
            <w:tcW w:type="dxa" w:w="1417"/>
            <w:tcMar>
              <w:top w:w="90" w:type="dxa"/>
              <w:start w:w="110" w:type="dxa"/>
              <w:bottom w:w="90" w:type="dxa"/>
              <w:end w:w="110" w:type="dxa"/>
            </w:tcMar>
            <w:vAlign w:val="center"/>
            <w:shd w:fill="F4F7FA"/>
          </w:tcPr>
          <w:p>
            <w:r>
              <w:t>105-107</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CH-37</w:t>
            </w:r>
          </w:p>
        </w:tc>
        <w:tc>
          <w:tcPr>
            <w:tcW w:type="dxa" w:w="5669"/>
            <w:tcMar>
              <w:top w:w="90" w:type="dxa"/>
              <w:start w:w="110" w:type="dxa"/>
              <w:bottom w:w="90" w:type="dxa"/>
              <w:end w:w="110" w:type="dxa"/>
            </w:tcMar>
            <w:vAlign w:val="center"/>
          </w:tcPr>
          <w:p>
            <w:pPr>
              <w:jc w:val="left"/>
            </w:pPr>
            <w:hyperlink w:anchor="T1_CH_37" w:history="1">
              <w:r>
                <w:rPr>
                  <w:rStyle w:val="Hyperlink"/>
                  <w:color w:val="2E5F8A"/>
                  <w:u w:val="single"/>
                  <w:rFonts w:ascii="DejaVu Serif" w:hAnsi="DejaVu Serif" w:eastAsia="DejaVu Serif"/>
                  <w:sz w:val="14"/>
                </w:rPr>
                <w:t>End-to-End Blocker-Safe Adapter and Reproducibility</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4</w:t>
            </w:r>
          </w:p>
        </w:tc>
        <w:tc>
          <w:tcPr>
            <w:tcW w:type="dxa" w:w="1417"/>
            <w:tcMar>
              <w:top w:w="90" w:type="dxa"/>
              <w:start w:w="110" w:type="dxa"/>
              <w:bottom w:w="90" w:type="dxa"/>
              <w:end w:w="110" w:type="dxa"/>
            </w:tcMar>
            <w:vAlign w:val="center"/>
          </w:tcPr>
          <w:p>
            <w:r>
              <w:t>108-109</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CH-38</w:t>
            </w:r>
          </w:p>
        </w:tc>
        <w:tc>
          <w:tcPr>
            <w:tcW w:type="dxa" w:w="5669"/>
            <w:tcMar>
              <w:top w:w="90" w:type="dxa"/>
              <w:start w:w="110" w:type="dxa"/>
              <w:bottom w:w="90" w:type="dxa"/>
              <w:end w:w="110" w:type="dxa"/>
            </w:tcMar>
            <w:vAlign w:val="center"/>
            <w:shd w:fill="F4F7FA"/>
          </w:tcPr>
          <w:p>
            <w:pPr>
              <w:jc w:val="left"/>
            </w:pPr>
            <w:hyperlink w:anchor="T1_CH_38" w:history="1">
              <w:r>
                <w:rPr>
                  <w:rStyle w:val="Hyperlink"/>
                  <w:color w:val="2E5F8A"/>
                  <w:u w:val="single"/>
                  <w:rFonts w:ascii="DejaVu Serif" w:hAnsi="DejaVu Serif" w:eastAsia="DejaVu Serif"/>
                  <w:sz w:val="14"/>
                </w:rPr>
                <w:t>Weighted Calibration under Covariate Shift</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3</w:t>
            </w:r>
          </w:p>
        </w:tc>
        <w:tc>
          <w:tcPr>
            <w:tcW w:type="dxa" w:w="1417"/>
            <w:tcMar>
              <w:top w:w="90" w:type="dxa"/>
              <w:start w:w="110" w:type="dxa"/>
              <w:bottom w:w="90" w:type="dxa"/>
              <w:end w:w="110" w:type="dxa"/>
            </w:tcMar>
            <w:vAlign w:val="center"/>
            <w:shd w:fill="F4F7FA"/>
          </w:tcPr>
          <w:p>
            <w:r>
              <w:t>110-111</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CH-39</w:t>
            </w:r>
          </w:p>
        </w:tc>
        <w:tc>
          <w:tcPr>
            <w:tcW w:type="dxa" w:w="5669"/>
            <w:tcMar>
              <w:top w:w="90" w:type="dxa"/>
              <w:start w:w="110" w:type="dxa"/>
              <w:bottom w:w="90" w:type="dxa"/>
              <w:end w:w="110" w:type="dxa"/>
            </w:tcMar>
            <w:vAlign w:val="center"/>
          </w:tcPr>
          <w:p>
            <w:pPr>
              <w:jc w:val="left"/>
            </w:pPr>
            <w:hyperlink w:anchor="T1_CH_39" w:history="1">
              <w:r>
                <w:rPr>
                  <w:rStyle w:val="Hyperlink"/>
                  <w:color w:val="2E5F8A"/>
                  <w:u w:val="single"/>
                  <w:rFonts w:ascii="DejaVu Serif" w:hAnsi="DejaVu Serif" w:eastAsia="DejaVu Serif"/>
                  <w:sz w:val="14"/>
                </w:rPr>
                <w:t>E-Processes, Ville’s Inequality, and Optional Stopping</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3</w:t>
            </w:r>
          </w:p>
        </w:tc>
        <w:tc>
          <w:tcPr>
            <w:tcW w:type="dxa" w:w="1417"/>
            <w:tcMar>
              <w:top w:w="90" w:type="dxa"/>
              <w:start w:w="110" w:type="dxa"/>
              <w:bottom w:w="90" w:type="dxa"/>
              <w:end w:w="110" w:type="dxa"/>
            </w:tcMar>
            <w:vAlign w:val="center"/>
          </w:tcPr>
          <w:p>
            <w:r>
              <w:t>112</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CH-40</w:t>
            </w:r>
          </w:p>
        </w:tc>
        <w:tc>
          <w:tcPr>
            <w:tcW w:type="dxa" w:w="5669"/>
            <w:tcMar>
              <w:top w:w="90" w:type="dxa"/>
              <w:start w:w="110" w:type="dxa"/>
              <w:bottom w:w="90" w:type="dxa"/>
              <w:end w:w="110" w:type="dxa"/>
            </w:tcMar>
            <w:vAlign w:val="center"/>
            <w:shd w:fill="F4F7FA"/>
          </w:tcPr>
          <w:p>
            <w:pPr>
              <w:jc w:val="left"/>
            </w:pPr>
            <w:hyperlink w:anchor="T1_CH_40" w:history="1">
              <w:r>
                <w:rPr>
                  <w:rStyle w:val="Hyperlink"/>
                  <w:color w:val="2E5F8A"/>
                  <w:u w:val="single"/>
                  <w:rFonts w:ascii="DejaVu Serif" w:hAnsi="DejaVu Serif" w:eastAsia="DejaVu Serif"/>
                  <w:sz w:val="14"/>
                </w:rPr>
                <w:t>Aggregation of PN.2 Branches and Regret Bounds</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5</w:t>
            </w:r>
          </w:p>
        </w:tc>
        <w:tc>
          <w:tcPr>
            <w:tcW w:type="dxa" w:w="1417"/>
            <w:tcMar>
              <w:top w:w="90" w:type="dxa"/>
              <w:start w:w="110" w:type="dxa"/>
              <w:bottom w:w="90" w:type="dxa"/>
              <w:end w:w="110" w:type="dxa"/>
            </w:tcMar>
            <w:vAlign w:val="center"/>
            <w:shd w:fill="F4F7FA"/>
          </w:tcPr>
          <w:p>
            <w:r>
              <w:t>113-115</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CH-41</w:t>
            </w:r>
          </w:p>
        </w:tc>
        <w:tc>
          <w:tcPr>
            <w:tcW w:type="dxa" w:w="5669"/>
            <w:tcMar>
              <w:top w:w="90" w:type="dxa"/>
              <w:start w:w="110" w:type="dxa"/>
              <w:bottom w:w="90" w:type="dxa"/>
              <w:end w:w="110" w:type="dxa"/>
            </w:tcMar>
            <w:vAlign w:val="center"/>
          </w:tcPr>
          <w:p>
            <w:pPr>
              <w:jc w:val="left"/>
            </w:pPr>
            <w:hyperlink w:anchor="T1_CH_41" w:history="1">
              <w:r>
                <w:rPr>
                  <w:rStyle w:val="Hyperlink"/>
                  <w:color w:val="2E5F8A"/>
                  <w:u w:val="single"/>
                  <w:rFonts w:ascii="DejaVu Serif" w:hAnsi="DejaVu Serif" w:eastAsia="DejaVu Serif"/>
                  <w:sz w:val="14"/>
                </w:rPr>
                <w:t>Independent Verification and Composition of Error Budgets</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5</w:t>
            </w:r>
          </w:p>
        </w:tc>
        <w:tc>
          <w:tcPr>
            <w:tcW w:type="dxa" w:w="1417"/>
            <w:tcMar>
              <w:top w:w="90" w:type="dxa"/>
              <w:start w:w="110" w:type="dxa"/>
              <w:bottom w:w="90" w:type="dxa"/>
              <w:end w:w="110" w:type="dxa"/>
            </w:tcMar>
            <w:vAlign w:val="center"/>
          </w:tcPr>
          <w:p>
            <w:r>
              <w:t>116-118</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CH-42</w:t>
            </w:r>
          </w:p>
        </w:tc>
        <w:tc>
          <w:tcPr>
            <w:tcW w:type="dxa" w:w="5669"/>
            <w:tcMar>
              <w:top w:w="90" w:type="dxa"/>
              <w:start w:w="110" w:type="dxa"/>
              <w:bottom w:w="90" w:type="dxa"/>
              <w:end w:w="110" w:type="dxa"/>
            </w:tcMar>
            <w:vAlign w:val="center"/>
            <w:shd w:fill="F4F7FA"/>
          </w:tcPr>
          <w:p>
            <w:pPr>
              <w:jc w:val="left"/>
            </w:pPr>
            <w:hyperlink w:anchor="T1_CH_42" w:history="1">
              <w:r>
                <w:rPr>
                  <w:rStyle w:val="Hyperlink"/>
                  <w:color w:val="2E5F8A"/>
                  <w:u w:val="single"/>
                  <w:rFonts w:ascii="DejaVu Serif" w:hAnsi="DejaVu Serif" w:eastAsia="DejaVu Serif"/>
                  <w:sz w:val="14"/>
                </w:rPr>
                <w:t>Domain Selection before Result Disclosure and Protection against Post-Selection</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5</w:t>
            </w:r>
          </w:p>
        </w:tc>
        <w:tc>
          <w:tcPr>
            <w:tcW w:type="dxa" w:w="1417"/>
            <w:tcMar>
              <w:top w:w="90" w:type="dxa"/>
              <w:start w:w="110" w:type="dxa"/>
              <w:bottom w:w="90" w:type="dxa"/>
              <w:end w:w="110" w:type="dxa"/>
            </w:tcMar>
            <w:vAlign w:val="center"/>
            <w:shd w:fill="F4F7FA"/>
          </w:tcPr>
          <w:p>
            <w:r>
              <w:t>119</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CH-43</w:t>
            </w:r>
          </w:p>
        </w:tc>
        <w:tc>
          <w:tcPr>
            <w:tcW w:type="dxa" w:w="5669"/>
            <w:tcMar>
              <w:top w:w="90" w:type="dxa"/>
              <w:start w:w="110" w:type="dxa"/>
              <w:bottom w:w="90" w:type="dxa"/>
              <w:end w:w="110" w:type="dxa"/>
            </w:tcMar>
            <w:vAlign w:val="center"/>
          </w:tcPr>
          <w:p>
            <w:pPr>
              <w:jc w:val="left"/>
            </w:pPr>
            <w:hyperlink w:anchor="T1_CH_43" w:history="1">
              <w:r>
                <w:rPr>
                  <w:rStyle w:val="Hyperlink"/>
                  <w:color w:val="2E5F8A"/>
                  <w:u w:val="single"/>
                  <w:rFonts w:ascii="DejaVu Serif" w:hAnsi="DejaVu Serif" w:eastAsia="DejaVu Serif"/>
                  <w:sz w:val="14"/>
                </w:rPr>
                <w:t>Power, Sample Size, and the Minimum Meaningful Effect</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4</w:t>
            </w:r>
          </w:p>
        </w:tc>
        <w:tc>
          <w:tcPr>
            <w:tcW w:type="dxa" w:w="1417"/>
            <w:tcMar>
              <w:top w:w="90" w:type="dxa"/>
              <w:start w:w="110" w:type="dxa"/>
              <w:bottom w:w="90" w:type="dxa"/>
              <w:end w:w="110" w:type="dxa"/>
            </w:tcMar>
            <w:vAlign w:val="center"/>
          </w:tcPr>
          <w:p>
            <w:r>
              <w:t>120-121</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CH-44</w:t>
            </w:r>
          </w:p>
        </w:tc>
        <w:tc>
          <w:tcPr>
            <w:tcW w:type="dxa" w:w="5669"/>
            <w:tcMar>
              <w:top w:w="90" w:type="dxa"/>
              <w:start w:w="110" w:type="dxa"/>
              <w:bottom w:w="90" w:type="dxa"/>
              <w:end w:w="110" w:type="dxa"/>
            </w:tcMar>
            <w:vAlign w:val="center"/>
            <w:shd w:fill="F4F7FA"/>
          </w:tcPr>
          <w:p>
            <w:pPr>
              <w:jc w:val="left"/>
            </w:pPr>
            <w:hyperlink w:anchor="T1_CH_44" w:history="1">
              <w:r>
                <w:rPr>
                  <w:rStyle w:val="Hyperlink"/>
                  <w:color w:val="2E5F8A"/>
                  <w:u w:val="single"/>
                  <w:rFonts w:ascii="DejaVu Serif" w:hAnsi="DejaVu Serif" w:eastAsia="DejaVu Serif"/>
                  <w:sz w:val="14"/>
                </w:rPr>
                <w:t>Cluster Dependence and Groupwise Predictive Calibration</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3</w:t>
            </w:r>
          </w:p>
        </w:tc>
        <w:tc>
          <w:tcPr>
            <w:tcW w:type="dxa" w:w="1417"/>
            <w:tcMar>
              <w:top w:w="90" w:type="dxa"/>
              <w:start w:w="110" w:type="dxa"/>
              <w:bottom w:w="90" w:type="dxa"/>
              <w:end w:w="110" w:type="dxa"/>
            </w:tcMar>
            <w:vAlign w:val="center"/>
            <w:shd w:fill="F4F7FA"/>
          </w:tcPr>
          <w:p>
            <w:r>
              <w:t>122-123</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CH-45</w:t>
            </w:r>
          </w:p>
        </w:tc>
        <w:tc>
          <w:tcPr>
            <w:tcW w:type="dxa" w:w="5669"/>
            <w:tcMar>
              <w:top w:w="90" w:type="dxa"/>
              <w:start w:w="110" w:type="dxa"/>
              <w:bottom w:w="90" w:type="dxa"/>
              <w:end w:w="110" w:type="dxa"/>
            </w:tcMar>
            <w:vAlign w:val="center"/>
          </w:tcPr>
          <w:p>
            <w:pPr>
              <w:jc w:val="left"/>
            </w:pPr>
            <w:hyperlink w:anchor="T1_CH_45" w:history="1">
              <w:r>
                <w:rPr>
                  <w:rStyle w:val="Hyperlink"/>
                  <w:color w:val="2E5F8A"/>
                  <w:u w:val="single"/>
                  <w:rFonts w:ascii="DejaVu Serif" w:hAnsi="DejaVu Serif" w:eastAsia="DejaVu Serif"/>
                  <w:sz w:val="14"/>
                </w:rPr>
                <w:t>Prediction, Intervention, and the Limit of Causal Inference</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4</w:t>
            </w:r>
          </w:p>
        </w:tc>
        <w:tc>
          <w:tcPr>
            <w:tcW w:type="dxa" w:w="1417"/>
            <w:tcMar>
              <w:top w:w="90" w:type="dxa"/>
              <w:start w:w="110" w:type="dxa"/>
              <w:bottom w:w="90" w:type="dxa"/>
              <w:end w:w="110" w:type="dxa"/>
            </w:tcMar>
            <w:vAlign w:val="center"/>
          </w:tcPr>
          <w:p>
            <w:r>
              <w:t>124-125</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CH-46</w:t>
            </w:r>
          </w:p>
        </w:tc>
        <w:tc>
          <w:tcPr>
            <w:tcW w:type="dxa" w:w="5669"/>
            <w:tcMar>
              <w:top w:w="90" w:type="dxa"/>
              <w:start w:w="110" w:type="dxa"/>
              <w:bottom w:w="90" w:type="dxa"/>
              <w:end w:w="110" w:type="dxa"/>
            </w:tcMar>
            <w:vAlign w:val="center"/>
            <w:shd w:fill="F4F7FA"/>
          </w:tcPr>
          <w:p>
            <w:pPr>
              <w:jc w:val="left"/>
            </w:pPr>
            <w:hyperlink w:anchor="T1_CH_46" w:history="1">
              <w:r>
                <w:rPr>
                  <w:rStyle w:val="Hyperlink"/>
                  <w:color w:val="2E5F8A"/>
                  <w:u w:val="single"/>
                  <w:rFonts w:ascii="DejaVu Serif" w:hAnsi="DejaVu Serif" w:eastAsia="DejaVu Serif"/>
                  <w:sz w:val="14"/>
                </w:rPr>
                <w:t>Executable External Validation Protocol for Volume I</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9</w:t>
            </w:r>
          </w:p>
        </w:tc>
        <w:tc>
          <w:tcPr>
            <w:tcW w:type="dxa" w:w="1417"/>
            <w:tcMar>
              <w:top w:w="90" w:type="dxa"/>
              <w:start w:w="110" w:type="dxa"/>
              <w:bottom w:w="90" w:type="dxa"/>
              <w:end w:w="110" w:type="dxa"/>
            </w:tcMar>
            <w:vAlign w:val="center"/>
            <w:shd w:fill="F4F7FA"/>
          </w:tcPr>
          <w:p>
            <w:r>
              <w:t>126-129</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CH-47</w:t>
            </w:r>
          </w:p>
        </w:tc>
        <w:tc>
          <w:tcPr>
            <w:tcW w:type="dxa" w:w="5669"/>
            <w:tcMar>
              <w:top w:w="90" w:type="dxa"/>
              <w:start w:w="110" w:type="dxa"/>
              <w:bottom w:w="90" w:type="dxa"/>
              <w:end w:w="110" w:type="dxa"/>
            </w:tcMar>
            <w:vAlign w:val="center"/>
          </w:tcPr>
          <w:p>
            <w:pPr>
              <w:jc w:val="left"/>
            </w:pPr>
            <w:hyperlink w:anchor="T1_CH_47" w:history="1">
              <w:r>
                <w:rPr>
                  <w:rStyle w:val="Hyperlink"/>
                  <w:color w:val="2E5F8A"/>
                  <w:u w:val="single"/>
                  <w:rFonts w:ascii="DejaVu Serif" w:hAnsi="DejaVu Serif" w:eastAsia="DejaVu Serif"/>
                  <w:sz w:val="14"/>
                </w:rPr>
                <w:t>Typed Space of Packets and Repers</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3</w:t>
            </w:r>
          </w:p>
        </w:tc>
        <w:tc>
          <w:tcPr>
            <w:tcW w:type="dxa" w:w="1417"/>
            <w:tcMar>
              <w:top w:w="90" w:type="dxa"/>
              <w:start w:w="110" w:type="dxa"/>
              <w:bottom w:w="90" w:type="dxa"/>
              <w:end w:w="110" w:type="dxa"/>
            </w:tcMar>
            <w:vAlign w:val="center"/>
          </w:tcPr>
          <w:p>
            <w:r>
              <w:t>130-131</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CH-48</w:t>
            </w:r>
          </w:p>
        </w:tc>
        <w:tc>
          <w:tcPr>
            <w:tcW w:type="dxa" w:w="5669"/>
            <w:tcMar>
              <w:top w:w="90" w:type="dxa"/>
              <w:start w:w="110" w:type="dxa"/>
              <w:bottom w:w="90" w:type="dxa"/>
              <w:end w:w="110" w:type="dxa"/>
            </w:tcMar>
            <w:vAlign w:val="center"/>
            <w:shd w:fill="F4F7FA"/>
          </w:tcPr>
          <w:p>
            <w:pPr>
              <w:jc w:val="left"/>
            </w:pPr>
            <w:hyperlink w:anchor="T1_CH_48" w:history="1">
              <w:r>
                <w:rPr>
                  <w:rStyle w:val="Hyperlink"/>
                  <w:color w:val="2E5F8A"/>
                  <w:u w:val="single"/>
                  <w:rFonts w:ascii="DejaVu Serif" w:hAnsi="DejaVu Serif" w:eastAsia="DejaVu Serif"/>
                  <w:sz w:val="14"/>
                </w:rPr>
                <w:t>Projective-Harmonic Prediction Operator</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3</w:t>
            </w:r>
          </w:p>
        </w:tc>
        <w:tc>
          <w:tcPr>
            <w:tcW w:type="dxa" w:w="1417"/>
            <w:tcMar>
              <w:top w:w="90" w:type="dxa"/>
              <w:start w:w="110" w:type="dxa"/>
              <w:bottom w:w="90" w:type="dxa"/>
              <w:end w:w="110" w:type="dxa"/>
            </w:tcMar>
            <w:vAlign w:val="center"/>
            <w:shd w:fill="F4F7FA"/>
          </w:tcPr>
          <w:p>
            <w:r>
              <w:t>132-133</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CH-49</w:t>
            </w:r>
          </w:p>
        </w:tc>
        <w:tc>
          <w:tcPr>
            <w:tcW w:type="dxa" w:w="5669"/>
            <w:tcMar>
              <w:top w:w="90" w:type="dxa"/>
              <w:start w:w="110" w:type="dxa"/>
              <w:bottom w:w="90" w:type="dxa"/>
              <w:end w:w="110" w:type="dxa"/>
            </w:tcMar>
            <w:vAlign w:val="center"/>
          </w:tcPr>
          <w:p>
            <w:pPr>
              <w:jc w:val="left"/>
            </w:pPr>
            <w:hyperlink w:anchor="T1_CH_49" w:history="1">
              <w:r>
                <w:rPr>
                  <w:rStyle w:val="Hyperlink"/>
                  <w:color w:val="2E5F8A"/>
                  <w:u w:val="single"/>
                  <w:rFonts w:ascii="DejaVu Serif" w:hAnsi="DejaVu Serif" w:eastAsia="DejaVu Serif"/>
                  <w:sz w:val="14"/>
                </w:rPr>
                <w:t>Five Limits as an Admissibility Lattice</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4</w:t>
            </w:r>
          </w:p>
        </w:tc>
        <w:tc>
          <w:tcPr>
            <w:tcW w:type="dxa" w:w="1417"/>
            <w:tcMar>
              <w:top w:w="90" w:type="dxa"/>
              <w:start w:w="110" w:type="dxa"/>
              <w:bottom w:w="90" w:type="dxa"/>
              <w:end w:w="110" w:type="dxa"/>
            </w:tcMar>
            <w:vAlign w:val="center"/>
          </w:tcPr>
          <w:p>
            <w:r>
              <w:t>134</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CH-50</w:t>
            </w:r>
          </w:p>
        </w:tc>
        <w:tc>
          <w:tcPr>
            <w:tcW w:type="dxa" w:w="5669"/>
            <w:tcMar>
              <w:top w:w="90" w:type="dxa"/>
              <w:start w:w="110" w:type="dxa"/>
              <w:bottom w:w="90" w:type="dxa"/>
              <w:end w:w="110" w:type="dxa"/>
            </w:tcMar>
            <w:vAlign w:val="center"/>
            <w:shd w:fill="F4F7FA"/>
          </w:tcPr>
          <w:p>
            <w:pPr>
              <w:jc w:val="left"/>
            </w:pPr>
            <w:hyperlink w:anchor="T1_CH_50" w:history="1">
              <w:r>
                <w:rPr>
                  <w:rStyle w:val="Hyperlink"/>
                  <w:color w:val="2E5F8A"/>
                  <w:u w:val="single"/>
                  <w:rFonts w:ascii="DejaVu Serif" w:hAnsi="DejaVu Serif" w:eastAsia="DejaVu Serif"/>
                  <w:sz w:val="14"/>
                </w:rPr>
                <w:t>Mismatch Metric and Stable Rebuilding</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4</w:t>
            </w:r>
          </w:p>
        </w:tc>
        <w:tc>
          <w:tcPr>
            <w:tcW w:type="dxa" w:w="1417"/>
            <w:tcMar>
              <w:top w:w="90" w:type="dxa"/>
              <w:start w:w="110" w:type="dxa"/>
              <w:bottom w:w="90" w:type="dxa"/>
              <w:end w:w="110" w:type="dxa"/>
            </w:tcMar>
            <w:vAlign w:val="center"/>
            <w:shd w:fill="F4F7FA"/>
          </w:tcPr>
          <w:p>
            <w:r>
              <w:t>135-136</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CH-51</w:t>
            </w:r>
          </w:p>
        </w:tc>
        <w:tc>
          <w:tcPr>
            <w:tcW w:type="dxa" w:w="5669"/>
            <w:tcMar>
              <w:top w:w="90" w:type="dxa"/>
              <w:start w:w="110" w:type="dxa"/>
              <w:bottom w:w="90" w:type="dxa"/>
              <w:end w:w="110" w:type="dxa"/>
            </w:tcMar>
            <w:vAlign w:val="center"/>
          </w:tcPr>
          <w:p>
            <w:pPr>
              <w:jc w:val="left"/>
            </w:pPr>
            <w:hyperlink w:anchor="T1_CH_51" w:history="1">
              <w:r>
                <w:rPr>
                  <w:rStyle w:val="Hyperlink"/>
                  <w:color w:val="2E5F8A"/>
                  <w:u w:val="single"/>
                  <w:rFonts w:ascii="DejaVu Serif" w:hAnsi="DejaVu Serif" w:eastAsia="DejaVu Serif"/>
                  <w:sz w:val="14"/>
                </w:rPr>
                <w:t>RBD as a Propagation and Contraction Operator</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3</w:t>
            </w:r>
          </w:p>
        </w:tc>
        <w:tc>
          <w:tcPr>
            <w:tcW w:type="dxa" w:w="1417"/>
            <w:tcMar>
              <w:top w:w="90" w:type="dxa"/>
              <w:start w:w="110" w:type="dxa"/>
              <w:bottom w:w="90" w:type="dxa"/>
              <w:end w:w="110" w:type="dxa"/>
            </w:tcMar>
            <w:vAlign w:val="center"/>
          </w:tcPr>
          <w:p>
            <w:r>
              <w:t>137-138</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CH-52</w:t>
            </w:r>
          </w:p>
        </w:tc>
        <w:tc>
          <w:tcPr>
            <w:tcW w:type="dxa" w:w="5669"/>
            <w:tcMar>
              <w:top w:w="90" w:type="dxa"/>
              <w:start w:w="110" w:type="dxa"/>
              <w:bottom w:w="90" w:type="dxa"/>
              <w:end w:w="110" w:type="dxa"/>
            </w:tcMar>
            <w:vAlign w:val="center"/>
            <w:shd w:fill="F4F7FA"/>
          </w:tcPr>
          <w:p>
            <w:pPr>
              <w:jc w:val="left"/>
            </w:pPr>
            <w:hyperlink w:anchor="T1_CH_52" w:history="1">
              <w:r>
                <w:rPr>
                  <w:rStyle w:val="Hyperlink"/>
                  <w:color w:val="2E5F8A"/>
                  <w:u w:val="single"/>
                  <w:rFonts w:ascii="DejaVu Serif" w:hAnsi="DejaVu Serif" w:eastAsia="DejaVu Serif"/>
                  <w:sz w:val="14"/>
                </w:rPr>
                <w:t>Main Conditional Theorem of the Predictive Method</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12</w:t>
            </w:r>
          </w:p>
        </w:tc>
        <w:tc>
          <w:tcPr>
            <w:tcW w:type="dxa" w:w="1417"/>
            <w:tcMar>
              <w:top w:w="90" w:type="dxa"/>
              <w:start w:w="110" w:type="dxa"/>
              <w:bottom w:w="90" w:type="dxa"/>
              <w:end w:w="110" w:type="dxa"/>
            </w:tcMar>
            <w:vAlign w:val="center"/>
            <w:shd w:fill="F4F7FA"/>
          </w:tcPr>
          <w:p>
            <w:r>
              <w:t>139-145</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APP-A</w:t>
            </w:r>
          </w:p>
        </w:tc>
        <w:tc>
          <w:tcPr>
            <w:tcW w:type="dxa" w:w="5669"/>
            <w:tcMar>
              <w:top w:w="90" w:type="dxa"/>
              <w:start w:w="110" w:type="dxa"/>
              <w:bottom w:w="90" w:type="dxa"/>
              <w:end w:w="110" w:type="dxa"/>
            </w:tcMar>
            <w:vAlign w:val="center"/>
          </w:tcPr>
          <w:p>
            <w:pPr>
              <w:jc w:val="left"/>
            </w:pPr>
            <w:hyperlink w:anchor="T1_APP_A" w:history="1">
              <w:r>
                <w:rPr>
                  <w:rStyle w:val="Hyperlink"/>
                  <w:color w:val="2E5F8A"/>
                  <w:u w:val="single"/>
                  <w:rFonts w:ascii="DejaVu Serif" w:hAnsi="DejaVu Serif" w:eastAsia="DejaVu Serif"/>
                  <w:sz w:val="14"/>
                </w:rPr>
                <w:t>Explicit Examples and Counterexamples for PO-11 (§27.2.A)</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3</w:t>
            </w:r>
          </w:p>
        </w:tc>
        <w:tc>
          <w:tcPr>
            <w:tcW w:type="dxa" w:w="1417"/>
            <w:tcMar>
              <w:top w:w="90" w:type="dxa"/>
              <w:start w:w="110" w:type="dxa"/>
              <w:bottom w:w="90" w:type="dxa"/>
              <w:end w:w="110" w:type="dxa"/>
            </w:tcMar>
            <w:vAlign w:val="center"/>
          </w:tcPr>
          <w:p>
            <w:r>
              <w:t>146-147</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APP-B</w:t>
            </w:r>
          </w:p>
        </w:tc>
        <w:tc>
          <w:tcPr>
            <w:tcW w:type="dxa" w:w="5669"/>
            <w:tcMar>
              <w:top w:w="90" w:type="dxa"/>
              <w:start w:w="110" w:type="dxa"/>
              <w:bottom w:w="90" w:type="dxa"/>
              <w:end w:w="110" w:type="dxa"/>
            </w:tcMar>
            <w:vAlign w:val="center"/>
            <w:shd w:fill="F4F7FA"/>
          </w:tcPr>
          <w:p>
            <w:pPr>
              <w:jc w:val="left"/>
            </w:pPr>
            <w:hyperlink w:anchor="T1_APP_B" w:history="1">
              <w:r>
                <w:rPr>
                  <w:rStyle w:val="Hyperlink"/>
                  <w:color w:val="2E5F8A"/>
                  <w:u w:val="single"/>
                  <w:rFonts w:ascii="DejaVu Serif" w:hAnsi="DejaVu Serif" w:eastAsia="DejaVu Serif"/>
                  <w:sz w:val="14"/>
                </w:rPr>
                <w:t>Computable Certificate for PO-12 (§27.2.B)</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4</w:t>
            </w:r>
          </w:p>
        </w:tc>
        <w:tc>
          <w:tcPr>
            <w:tcW w:type="dxa" w:w="1417"/>
            <w:tcMar>
              <w:top w:w="90" w:type="dxa"/>
              <w:start w:w="110" w:type="dxa"/>
              <w:bottom w:w="90" w:type="dxa"/>
              <w:end w:w="110" w:type="dxa"/>
            </w:tcMar>
            <w:vAlign w:val="center"/>
            <w:shd w:fill="F4F7FA"/>
          </w:tcPr>
          <w:p>
            <w:r>
              <w:t>148-149</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APP-C</w:t>
            </w:r>
          </w:p>
        </w:tc>
        <w:tc>
          <w:tcPr>
            <w:tcW w:type="dxa" w:w="5669"/>
            <w:tcMar>
              <w:top w:w="90" w:type="dxa"/>
              <w:start w:w="110" w:type="dxa"/>
              <w:bottom w:w="90" w:type="dxa"/>
              <w:end w:w="110" w:type="dxa"/>
            </w:tcMar>
            <w:vAlign w:val="center"/>
          </w:tcPr>
          <w:p>
            <w:pPr>
              <w:jc w:val="left"/>
            </w:pPr>
            <w:hyperlink w:anchor="T1_APP_C" w:history="1">
              <w:r>
                <w:rPr>
                  <w:rStyle w:val="Hyperlink"/>
                  <w:color w:val="2E5F8A"/>
                  <w:u w:val="single"/>
                  <w:rFonts w:ascii="DejaVu Serif" w:hAnsi="DejaVu Serif" w:eastAsia="DejaVu Serif"/>
                  <w:sz w:val="14"/>
                </w:rPr>
                <w:t>Complete Genealogy of the Canonical Construction</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2</w:t>
            </w:r>
          </w:p>
        </w:tc>
        <w:tc>
          <w:tcPr>
            <w:tcW w:type="dxa" w:w="1417"/>
            <w:tcMar>
              <w:top w:w="90" w:type="dxa"/>
              <w:start w:w="110" w:type="dxa"/>
              <w:bottom w:w="90" w:type="dxa"/>
              <w:end w:w="110" w:type="dxa"/>
            </w:tcMar>
            <w:vAlign w:val="center"/>
          </w:tcPr>
          <w:p>
            <w:r>
              <w:t>150</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APP-D</w:t>
            </w:r>
          </w:p>
        </w:tc>
        <w:tc>
          <w:tcPr>
            <w:tcW w:type="dxa" w:w="5669"/>
            <w:tcMar>
              <w:top w:w="90" w:type="dxa"/>
              <w:start w:w="110" w:type="dxa"/>
              <w:bottom w:w="90" w:type="dxa"/>
              <w:end w:w="110" w:type="dxa"/>
            </w:tcMar>
            <w:vAlign w:val="center"/>
            <w:shd w:fill="F4F7FA"/>
          </w:tcPr>
          <w:p>
            <w:pPr>
              <w:jc w:val="left"/>
            </w:pPr>
            <w:hyperlink w:anchor="T1_APP_D" w:history="1">
              <w:r>
                <w:rPr>
                  <w:rStyle w:val="Hyperlink"/>
                  <w:color w:val="2E5F8A"/>
                  <w:u w:val="single"/>
                  <w:rFonts w:ascii="DejaVu Serif" w:hAnsi="DejaVu Serif" w:eastAsia="DejaVu Serif"/>
                  <w:sz w:val="14"/>
                </w:rPr>
                <w:t>PN.2: Negative Statements and Repairs</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1</w:t>
            </w:r>
          </w:p>
        </w:tc>
        <w:tc>
          <w:tcPr>
            <w:tcW w:type="dxa" w:w="1417"/>
            <w:tcMar>
              <w:top w:w="90" w:type="dxa"/>
              <w:start w:w="110" w:type="dxa"/>
              <w:bottom w:w="90" w:type="dxa"/>
              <w:end w:w="110" w:type="dxa"/>
            </w:tcMar>
            <w:vAlign w:val="center"/>
            <w:shd w:fill="F4F7FA"/>
          </w:tcPr>
          <w:p>
            <w:r>
              <w:t>151</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APP-E</w:t>
            </w:r>
          </w:p>
        </w:tc>
        <w:tc>
          <w:tcPr>
            <w:tcW w:type="dxa" w:w="5669"/>
            <w:tcMar>
              <w:top w:w="90" w:type="dxa"/>
              <w:start w:w="110" w:type="dxa"/>
              <w:bottom w:w="90" w:type="dxa"/>
              <w:end w:w="110" w:type="dxa"/>
            </w:tcMar>
            <w:vAlign w:val="center"/>
          </w:tcPr>
          <w:p>
            <w:pPr>
              <w:jc w:val="left"/>
            </w:pPr>
            <w:hyperlink w:anchor="T1_APP_E" w:history="1">
              <w:r>
                <w:rPr>
                  <w:rStyle w:val="Hyperlink"/>
                  <w:color w:val="2E5F8A"/>
                  <w:u w:val="single"/>
                  <w:rFonts w:ascii="DejaVu Serif" w:hAnsi="DejaVu Serif" w:eastAsia="DejaVu Serif"/>
                  <w:sz w:val="14"/>
                </w:rPr>
                <w:t>Executable Ten-Stage Atlas Protocol</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3</w:t>
            </w:r>
          </w:p>
        </w:tc>
        <w:tc>
          <w:tcPr>
            <w:tcW w:type="dxa" w:w="1417"/>
            <w:tcMar>
              <w:top w:w="90" w:type="dxa"/>
              <w:start w:w="110" w:type="dxa"/>
              <w:bottom w:w="90" w:type="dxa"/>
              <w:end w:w="110" w:type="dxa"/>
            </w:tcMar>
            <w:vAlign w:val="center"/>
          </w:tcPr>
          <w:p>
            <w:r>
              <w:t>152</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APP-F</w:t>
            </w:r>
          </w:p>
        </w:tc>
        <w:tc>
          <w:tcPr>
            <w:tcW w:type="dxa" w:w="5669"/>
            <w:tcMar>
              <w:top w:w="90" w:type="dxa"/>
              <w:start w:w="110" w:type="dxa"/>
              <w:bottom w:w="90" w:type="dxa"/>
              <w:end w:w="110" w:type="dxa"/>
            </w:tcMar>
            <w:vAlign w:val="center"/>
            <w:shd w:fill="F4F7FA"/>
          </w:tcPr>
          <w:p>
            <w:pPr>
              <w:jc w:val="left"/>
            </w:pPr>
            <w:hyperlink w:anchor="T1_APP_F" w:history="1">
              <w:r>
                <w:rPr>
                  <w:rStyle w:val="Hyperlink"/>
                  <w:color w:val="2E5F8A"/>
                  <w:u w:val="single"/>
                  <w:rFonts w:ascii="DejaVu Serif" w:hAnsi="DejaVu Serif" w:eastAsia="DejaVu Serif"/>
                  <w:sz w:val="14"/>
                </w:rPr>
                <w:t>Formula Register of Edition v196i14</w:t>
              </w:r>
            </w:hyperlink>
          </w:p>
        </w:tc>
        <w:tc>
          <w:tcPr>
            <w:tcW w:type="dxa" w:w="964"/>
            <w:tcMar>
              <w:top w:w="90" w:type="dxa"/>
              <w:start w:w="110" w:type="dxa"/>
              <w:bottom w:w="90" w:type="dxa"/>
              <w:end w:w="110" w:type="dxa"/>
            </w:tcMar>
            <w:vAlign w:val="center"/>
            <w:shd w:fill="F4F7FA"/>
          </w:tcPr>
          <w:p>
            <w:pPr>
              <w:jc w:val="center"/>
            </w:pPr>
            <w:r>
              <w:rPr>
                <w:rFonts w:ascii="DejaVu Serif" w:hAnsi="DejaVu Serif" w:eastAsia="DejaVu Serif"/>
                <w:b w:val="0"/>
                <w:i w:val="0"/>
                <w:sz w:val="14"/>
              </w:rPr>
              <w:t>7</w:t>
            </w:r>
          </w:p>
        </w:tc>
        <w:tc>
          <w:tcPr>
            <w:tcW w:type="dxa" w:w="1417"/>
            <w:tcMar>
              <w:top w:w="90" w:type="dxa"/>
              <w:start w:w="110" w:type="dxa"/>
              <w:bottom w:w="90" w:type="dxa"/>
              <w:end w:w="110" w:type="dxa"/>
            </w:tcMar>
            <w:vAlign w:val="center"/>
            <w:shd w:fill="F4F7FA"/>
          </w:tcPr>
          <w:p>
            <w:r>
              <w:t>153-156</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4"/>
              </w:rPr>
              <w:t>APP-G</w:t>
            </w:r>
          </w:p>
        </w:tc>
        <w:tc>
          <w:tcPr>
            <w:tcW w:type="dxa" w:w="5669"/>
            <w:tcMar>
              <w:top w:w="90" w:type="dxa"/>
              <w:start w:w="110" w:type="dxa"/>
              <w:bottom w:w="90" w:type="dxa"/>
              <w:end w:w="110" w:type="dxa"/>
            </w:tcMar>
            <w:vAlign w:val="center"/>
          </w:tcPr>
          <w:p>
            <w:pPr>
              <w:jc w:val="left"/>
            </w:pPr>
            <w:hyperlink w:anchor="T1_APP_G" w:history="1">
              <w:r>
                <w:rPr>
                  <w:rStyle w:val="Hyperlink"/>
                  <w:color w:val="2E5F8A"/>
                  <w:u w:val="single"/>
                  <w:rFonts w:ascii="DejaVu Serif" w:hAnsi="DejaVu Serif" w:eastAsia="DejaVu Serif"/>
                  <w:sz w:val="14"/>
                </w:rPr>
                <w:t>Canonical Synchronisation of PN.2 and F-1–F-14</w:t>
              </w:r>
            </w:hyperlink>
          </w:p>
        </w:tc>
        <w:tc>
          <w:tcPr>
            <w:tcW w:type="dxa" w:w="964"/>
            <w:tcMar>
              <w:top w:w="90" w:type="dxa"/>
              <w:start w:w="110" w:type="dxa"/>
              <w:bottom w:w="90" w:type="dxa"/>
              <w:end w:w="110" w:type="dxa"/>
            </w:tcMar>
            <w:vAlign w:val="center"/>
          </w:tcPr>
          <w:p>
            <w:pPr>
              <w:jc w:val="center"/>
            </w:pPr>
            <w:r>
              <w:rPr>
                <w:rFonts w:ascii="DejaVu Serif" w:hAnsi="DejaVu Serif" w:eastAsia="DejaVu Serif"/>
                <w:b w:val="0"/>
                <w:i w:val="0"/>
                <w:sz w:val="14"/>
              </w:rPr>
              <w:t>7</w:t>
            </w:r>
          </w:p>
        </w:tc>
        <w:tc>
          <w:tcPr>
            <w:tcW w:type="dxa" w:w="1417"/>
            <w:tcMar>
              <w:top w:w="90" w:type="dxa"/>
              <w:start w:w="110" w:type="dxa"/>
              <w:bottom w:w="90" w:type="dxa"/>
              <w:end w:w="110" w:type="dxa"/>
            </w:tcMar>
            <w:vAlign w:val="center"/>
          </w:tcPr>
          <w:p>
            <w:r>
              <w:t>157-159</w:t>
            </w:r>
          </w:p>
        </w:tc>
      </w:tr>
    </w:tbl>
    <w:p>
      <w:pPr>
        <w:spacing w:after="40"/>
      </w:pPr>
    </w:p>
    <w:p>
      <w:pPr>
        <w:spacing w:after="80" w:line="269" w:lineRule="auto"/>
        <w:jc w:val="both"/>
      </w:pPr>
      <w:r>
        <w:rPr>
          <w:rFonts w:ascii="DejaVu Serif" w:hAnsi="DejaVu Serif" w:eastAsia="DejaVu Serif"/>
          <w:b w:val="0"/>
          <w:i w:val="0"/>
        </w:rPr>
        <w:t>The inventory covers 316 tables in the chapter and appendix layer. Front-matter and assembly-control tables are recorded separately in the global audit rather than assigned to a scientific chapter.</w:t>
      </w:r>
    </w:p>
    <w:p>
      <w:pPr>
        <w:pStyle w:val="Heading2"/>
        <w:keepNext/>
      </w:pPr>
      <w:r>
        <w:t>5. Consolidated Bibliography and Source-Card Ledger</w:t>
      </w:r>
    </w:p>
    <w:tbl>
      <w:tblPr>
        <w:tblStyle w:val="TableGrid"/>
        <w:tblW w:type="auto" w:w="0"/>
        <w:jc w:val="center"/>
        <w:tblLook w:firstColumn="1" w:firstRow="1" w:lastColumn="0" w:lastRow="0" w:noHBand="0" w:noVBand="1" w:val="04A0"/>
      </w:tblPr>
      <w:tblGrid>
        <w:gridCol w:w="1439"/>
        <w:gridCol w:w="1439"/>
        <w:gridCol w:w="1439"/>
        <w:gridCol w:w="1439"/>
        <w:gridCol w:w="1439"/>
        <w:gridCol w:w="1439"/>
        <w:gridCol w:w="1439"/>
      </w:tblGrid>
      <w:tr>
        <w:trPr>
          <w:tblHeader w:val="true"/>
        </w:trPr>
        <w:tc>
          <w:tcPr>
            <w:tcW w:type="dxa" w:w="113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2"/>
              </w:rPr>
              <w:t>ID</w:t>
            </w:r>
          </w:p>
        </w:tc>
        <w:tc>
          <w:tcPr>
            <w:tcW w:type="dxa" w:w="2268"/>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2"/>
              </w:rPr>
              <w:t>Artifact</w:t>
            </w:r>
          </w:p>
        </w:tc>
        <w:tc>
          <w:tcPr>
            <w:tcW w:type="dxa" w:w="147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2"/>
              </w:rPr>
              <w:t>Class</w:t>
            </w:r>
          </w:p>
        </w:tc>
        <w:tc>
          <w:tcPr>
            <w:tcW w:type="dxa" w:w="272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2"/>
              </w:rPr>
              <w:t>Role</w:t>
            </w:r>
          </w:p>
        </w:tc>
        <w:tc>
          <w:tcPr>
            <w:tcW w:type="dxa" w:w="147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2"/>
              </w:rPr>
              <w:t>Status</w:t>
            </w:r>
          </w:p>
        </w:tc>
        <w:tc>
          <w:tcPr>
            <w:tcW w:type="dxa" w:w="113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2"/>
              </w:rPr>
              <w:t>Bytes</w:t>
            </w:r>
          </w:p>
        </w:tc>
        <w:tc>
          <w:tcPr>
            <w:tcW w:type="dxa" w:w="3969"/>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2"/>
              </w:rPr>
              <w:t>SHA-256</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2"/>
              </w:rPr>
              <w:t>SRC-T1-001</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2"/>
              </w:rPr>
              <w:t>tom1_v197_ru.pdf</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2"/>
              </w:rPr>
              <w:t>canonical RU freeze</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2"/>
              </w:rPr>
              <w:t>authority for chapters, appendices, formula IDs, and status lock</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2"/>
              </w:rPr>
              <w:t>INTERNAL-CANONICAL</w:t>
            </w:r>
          </w:p>
        </w:tc>
        <w:tc>
          <w:tcPr>
            <w:tcW w:type="dxa" w:w="1134"/>
            <w:tcMar>
              <w:top w:w="90" w:type="dxa"/>
              <w:start w:w="110" w:type="dxa"/>
              <w:bottom w:w="90" w:type="dxa"/>
              <w:end w:w="110" w:type="dxa"/>
            </w:tcMar>
            <w:vAlign w:val="center"/>
          </w:tcPr>
          <w:p>
            <w:pPr>
              <w:jc w:val="left"/>
            </w:pPr>
            <w:r>
              <w:rPr>
                <w:rFonts w:ascii="DejaVu Serif" w:hAnsi="DejaVu Serif" w:eastAsia="DejaVu Serif"/>
                <w:b w:val="0"/>
                <w:i w:val="0"/>
                <w:sz w:val="12"/>
              </w:rPr>
              <w:t>7,333,052</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2"/>
              </w:rPr>
              <w:t>5a2021c02428e3e395fe81e029c46cd26b4a0e06ceb7dbfc89befddffd84a7d8</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2"/>
              </w:rPr>
              <w:t>SRC-T1-002</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2"/>
              </w:rPr>
              <w:t>tom1_en_v0_9.docx</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2"/>
              </w:rPr>
              <w:t>English predecessor</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2"/>
              </w:rPr>
              <w:t>source of the complete chapter and appendix layer</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2"/>
              </w:rPr>
              <w:t>PREDECESSOR</w:t>
            </w:r>
          </w:p>
        </w:tc>
        <w:tc>
          <w:tcPr>
            <w:tcW w:type="dxa" w:w="1134"/>
            <w:tcMar>
              <w:top w:w="90" w:type="dxa"/>
              <w:start w:w="110" w:type="dxa"/>
              <w:bottom w:w="90" w:type="dxa"/>
              <w:end w:w="110" w:type="dxa"/>
            </w:tcMar>
            <w:vAlign w:val="center"/>
            <w:shd w:fill="F4F7FA"/>
          </w:tcPr>
          <w:p>
            <w:pPr>
              <w:jc w:val="left"/>
            </w:pPr>
            <w:r>
              <w:rPr>
                <w:rFonts w:ascii="DejaVu Serif" w:hAnsi="DejaVu Serif" w:eastAsia="DejaVu Serif"/>
                <w:b w:val="0"/>
                <w:i w:val="0"/>
                <w:sz w:val="12"/>
              </w:rPr>
              <w:t>4,159,036</w:t>
            </w:r>
          </w:p>
        </w:tc>
        <w:tc>
          <w:tcPr>
            <w:tcW w:type="dxa" w:w="3969"/>
            <w:tcMar>
              <w:top w:w="90" w:type="dxa"/>
              <w:start w:w="110" w:type="dxa"/>
              <w:bottom w:w="90" w:type="dxa"/>
              <w:end w:w="110" w:type="dxa"/>
            </w:tcMar>
            <w:vAlign w:val="center"/>
            <w:shd w:fill="F4F7FA"/>
          </w:tcPr>
          <w:p>
            <w:pPr>
              <w:jc w:val="left"/>
            </w:pPr>
            <w:r>
              <w:rPr>
                <w:rFonts w:ascii="DejaVu Serif" w:hAnsi="DejaVu Serif" w:eastAsia="DejaVu Serif"/>
                <w:b w:val="0"/>
                <w:i w:val="0"/>
                <w:sz w:val="12"/>
              </w:rPr>
              <w:t>3757d1820f6014088a832e37219e8119ae1b6784ca40443d339ffc89e8b2b703</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2"/>
              </w:rPr>
              <w:t>SRC-T1-003</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2"/>
              </w:rPr>
              <w:t>tom1_en_v0_9.pdf</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2"/>
              </w:rPr>
              <w:t>rendered predecessor</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2"/>
              </w:rPr>
              <w:t>pagination and visual baseline</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2"/>
              </w:rPr>
              <w:t>PREDECESSOR-QA</w:t>
            </w:r>
          </w:p>
        </w:tc>
        <w:tc>
          <w:tcPr>
            <w:tcW w:type="dxa" w:w="1134"/>
            <w:tcMar>
              <w:top w:w="90" w:type="dxa"/>
              <w:start w:w="110" w:type="dxa"/>
              <w:bottom w:w="90" w:type="dxa"/>
              <w:end w:w="110" w:type="dxa"/>
            </w:tcMar>
            <w:vAlign w:val="center"/>
          </w:tcPr>
          <w:p>
            <w:pPr>
              <w:jc w:val="left"/>
            </w:pPr>
            <w:r>
              <w:rPr>
                <w:rFonts w:ascii="DejaVu Serif" w:hAnsi="DejaVu Serif" w:eastAsia="DejaVu Serif"/>
                <w:b w:val="0"/>
                <w:i w:val="0"/>
                <w:sz w:val="12"/>
              </w:rPr>
              <w:t>6,547,072</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2"/>
              </w:rPr>
              <w:t>e7058ddfa07776df6c589d056ed3b8ee89ecc576839d343fa853aedcb448f19c</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2"/>
              </w:rPr>
              <w:t>SRC-T1-004</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2"/>
              </w:rPr>
              <w:t>monograph5_0_ru.pdf</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2"/>
              </w:rPr>
              <w:t>legacy monograph</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2"/>
              </w:rPr>
              <w:t>C@C, Reper, NAPG, KLT/RBD legacy layer</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2"/>
              </w:rPr>
              <w:t>INTERNAL-LEGACY</w:t>
            </w:r>
          </w:p>
        </w:tc>
        <w:tc>
          <w:tcPr>
            <w:tcW w:type="dxa" w:w="1134"/>
            <w:tcMar>
              <w:top w:w="90" w:type="dxa"/>
              <w:start w:w="110" w:type="dxa"/>
              <w:bottom w:w="90" w:type="dxa"/>
              <w:end w:w="110" w:type="dxa"/>
            </w:tcMar>
            <w:vAlign w:val="center"/>
            <w:shd w:fill="F4F7FA"/>
          </w:tcPr>
          <w:p>
            <w:pPr>
              <w:jc w:val="left"/>
            </w:pPr>
            <w:r>
              <w:rPr>
                <w:rFonts w:ascii="DejaVu Serif" w:hAnsi="DejaVu Serif" w:eastAsia="DejaVu Serif"/>
                <w:b w:val="0"/>
                <w:i w:val="0"/>
                <w:sz w:val="12"/>
              </w:rPr>
              <w:t>14,300,260</w:t>
            </w:r>
          </w:p>
        </w:tc>
        <w:tc>
          <w:tcPr>
            <w:tcW w:type="dxa" w:w="3969"/>
            <w:tcMar>
              <w:top w:w="90" w:type="dxa"/>
              <w:start w:w="110" w:type="dxa"/>
              <w:bottom w:w="90" w:type="dxa"/>
              <w:end w:w="110" w:type="dxa"/>
            </w:tcMar>
            <w:vAlign w:val="center"/>
            <w:shd w:fill="F4F7FA"/>
          </w:tcPr>
          <w:p>
            <w:pPr>
              <w:jc w:val="left"/>
            </w:pPr>
            <w:r>
              <w:rPr>
                <w:rFonts w:ascii="DejaVu Serif" w:hAnsi="DejaVu Serif" w:eastAsia="DejaVu Serif"/>
                <w:b w:val="0"/>
                <w:i w:val="0"/>
                <w:sz w:val="12"/>
              </w:rPr>
              <w:t>ea84bab141342eb6dc91926ef01f8130fa1dbdb0487a4f279a4e09aed5337fef</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2"/>
              </w:rPr>
              <w:t>SRC-T1-005</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2"/>
              </w:rPr>
              <w:t>monograph5_1_ru_full_text.html</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2"/>
              </w:rPr>
              <w:t>legacy master corpus</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2"/>
              </w:rPr>
              <w:t>genealogy, RPD/RBD, KPF/RPHD, predictive mathematics</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2"/>
              </w:rPr>
              <w:t>INTERNAL-LEGACY</w:t>
            </w:r>
          </w:p>
        </w:tc>
        <w:tc>
          <w:tcPr>
            <w:tcW w:type="dxa" w:w="1134"/>
            <w:tcMar>
              <w:top w:w="90" w:type="dxa"/>
              <w:start w:w="110" w:type="dxa"/>
              <w:bottom w:w="90" w:type="dxa"/>
              <w:end w:w="110" w:type="dxa"/>
            </w:tcMar>
            <w:vAlign w:val="center"/>
          </w:tcPr>
          <w:p>
            <w:pPr>
              <w:jc w:val="left"/>
            </w:pPr>
            <w:r>
              <w:rPr>
                <w:rFonts w:ascii="DejaVu Serif" w:hAnsi="DejaVu Serif" w:eastAsia="DejaVu Serif"/>
                <w:b w:val="0"/>
                <w:i w:val="0"/>
                <w:sz w:val="12"/>
              </w:rPr>
              <w:t>564,004</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2"/>
              </w:rPr>
              <w:t>7c61593ee9641e8841abccc2917f55c134735183f9b24352d5b7d63e7265fd3a</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2"/>
              </w:rPr>
              <w:t>SRC-T1-006</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2"/>
              </w:rPr>
              <w:t>PILOT01_PREPRINT_RU_FINAL.pdf</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2"/>
              </w:rPr>
              <w:t>authorial preprint</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2"/>
              </w:rPr>
              <w:t>formula-chain audit, FCOC, Fano barrier</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2"/>
              </w:rPr>
              <w:t>INTERNAL-PRIMARY</w:t>
            </w:r>
          </w:p>
        </w:tc>
        <w:tc>
          <w:tcPr>
            <w:tcW w:type="dxa" w:w="1134"/>
            <w:tcMar>
              <w:top w:w="90" w:type="dxa"/>
              <w:start w:w="110" w:type="dxa"/>
              <w:bottom w:w="90" w:type="dxa"/>
              <w:end w:w="110" w:type="dxa"/>
            </w:tcMar>
            <w:vAlign w:val="center"/>
            <w:shd w:fill="F4F7FA"/>
          </w:tcPr>
          <w:p>
            <w:pPr>
              <w:jc w:val="left"/>
            </w:pPr>
            <w:r>
              <w:rPr>
                <w:rFonts w:ascii="DejaVu Serif" w:hAnsi="DejaVu Serif" w:eastAsia="DejaVu Serif"/>
                <w:b w:val="0"/>
                <w:i w:val="0"/>
                <w:sz w:val="12"/>
              </w:rPr>
              <w:t>413,030</w:t>
            </w:r>
          </w:p>
        </w:tc>
        <w:tc>
          <w:tcPr>
            <w:tcW w:type="dxa" w:w="3969"/>
            <w:tcMar>
              <w:top w:w="90" w:type="dxa"/>
              <w:start w:w="110" w:type="dxa"/>
              <w:bottom w:w="90" w:type="dxa"/>
              <w:end w:w="110" w:type="dxa"/>
            </w:tcMar>
            <w:vAlign w:val="center"/>
            <w:shd w:fill="F4F7FA"/>
          </w:tcPr>
          <w:p>
            <w:pPr>
              <w:jc w:val="left"/>
            </w:pPr>
            <w:r>
              <w:rPr>
                <w:rFonts w:ascii="DejaVu Serif" w:hAnsi="DejaVu Serif" w:eastAsia="DejaVu Serif"/>
                <w:b w:val="0"/>
                <w:i w:val="0"/>
                <w:sz w:val="12"/>
              </w:rPr>
              <w:t>9e1606df415d42683ed295ff675e07e0411ba8ac2f9158adce46ae4b5e6cdbe0</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2"/>
              </w:rPr>
              <w:t>SRC-T1-007</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2"/>
              </w:rPr>
              <w:t>monographiaNAPG (1).docx</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2"/>
              </w:rPr>
              <w:t>authorial mathematical source</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2"/>
              </w:rPr>
              <w:t>stratified time, Hodge packets, NAPG model</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2"/>
              </w:rPr>
              <w:t>INTERNAL-PRIMARY</w:t>
            </w:r>
          </w:p>
        </w:tc>
        <w:tc>
          <w:tcPr>
            <w:tcW w:type="dxa" w:w="1134"/>
            <w:tcMar>
              <w:top w:w="90" w:type="dxa"/>
              <w:start w:w="110" w:type="dxa"/>
              <w:bottom w:w="90" w:type="dxa"/>
              <w:end w:w="110" w:type="dxa"/>
            </w:tcMar>
            <w:vAlign w:val="center"/>
          </w:tcPr>
          <w:p>
            <w:pPr>
              <w:jc w:val="left"/>
            </w:pPr>
            <w:r>
              <w:rPr>
                <w:rFonts w:ascii="DejaVu Serif" w:hAnsi="DejaVu Serif" w:eastAsia="DejaVu Serif"/>
                <w:b w:val="0"/>
                <w:i w:val="0"/>
                <w:sz w:val="12"/>
              </w:rPr>
              <w:t>53,914</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2"/>
              </w:rPr>
              <w:t>ba675fbaa11f506921787037342862bcafc67a23f3ae69ba000dad2493ed4044</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2"/>
              </w:rPr>
              <w:t>SRC-T1-008</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2"/>
              </w:rPr>
              <w:t>main_SIGMA_freeze (1).tex</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2"/>
              </w:rPr>
              <w:t>journal source</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2"/>
              </w:rPr>
              <w:t>associator rigidity and reduced deformation layer</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2"/>
              </w:rPr>
              <w:t>INTERNAL-PRIMARY</w:t>
            </w:r>
          </w:p>
        </w:tc>
        <w:tc>
          <w:tcPr>
            <w:tcW w:type="dxa" w:w="1134"/>
            <w:tcMar>
              <w:top w:w="90" w:type="dxa"/>
              <w:start w:w="110" w:type="dxa"/>
              <w:bottom w:w="90" w:type="dxa"/>
              <w:end w:w="110" w:type="dxa"/>
            </w:tcMar>
            <w:vAlign w:val="center"/>
            <w:shd w:fill="F4F7FA"/>
          </w:tcPr>
          <w:p>
            <w:pPr>
              <w:jc w:val="left"/>
            </w:pPr>
            <w:r>
              <w:rPr>
                <w:rFonts w:ascii="DejaVu Serif" w:hAnsi="DejaVu Serif" w:eastAsia="DejaVu Serif"/>
                <w:b w:val="0"/>
                <w:i w:val="0"/>
                <w:sz w:val="12"/>
              </w:rPr>
              <w:t>98,795</w:t>
            </w:r>
          </w:p>
        </w:tc>
        <w:tc>
          <w:tcPr>
            <w:tcW w:type="dxa" w:w="3969"/>
            <w:tcMar>
              <w:top w:w="90" w:type="dxa"/>
              <w:start w:w="110" w:type="dxa"/>
              <w:bottom w:w="90" w:type="dxa"/>
              <w:end w:w="110" w:type="dxa"/>
            </w:tcMar>
            <w:vAlign w:val="center"/>
            <w:shd w:fill="F4F7FA"/>
          </w:tcPr>
          <w:p>
            <w:pPr>
              <w:jc w:val="left"/>
            </w:pPr>
            <w:r>
              <w:rPr>
                <w:rFonts w:ascii="DejaVu Serif" w:hAnsi="DejaVu Serif" w:eastAsia="DejaVu Serif"/>
                <w:b w:val="0"/>
                <w:i w:val="0"/>
                <w:sz w:val="12"/>
              </w:rPr>
              <w:t>e321aab8351e34c147ce93ce8706db74b7e7add980beb89621b4f2e0416f7c6c</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2"/>
              </w:rPr>
              <w:t>SRC-T1-009</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2"/>
              </w:rPr>
              <w:t>Kurpishev_arXiv_SIGMA_submission_bundle (1).zip</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2"/>
              </w:rPr>
              <w:t>submission bundle</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2"/>
              </w:rPr>
              <w:t>publication provenance for SIGMA/arXiv layer</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2"/>
              </w:rPr>
              <w:t>INTERNAL-BUNDLE</w:t>
            </w:r>
          </w:p>
        </w:tc>
        <w:tc>
          <w:tcPr>
            <w:tcW w:type="dxa" w:w="1134"/>
            <w:tcMar>
              <w:top w:w="90" w:type="dxa"/>
              <w:start w:w="110" w:type="dxa"/>
              <w:bottom w:w="90" w:type="dxa"/>
              <w:end w:w="110" w:type="dxa"/>
            </w:tcMar>
            <w:vAlign w:val="center"/>
          </w:tcPr>
          <w:p>
            <w:pPr>
              <w:jc w:val="left"/>
            </w:pPr>
            <w:r>
              <w:rPr>
                <w:rFonts w:ascii="DejaVu Serif" w:hAnsi="DejaVu Serif" w:eastAsia="DejaVu Serif"/>
                <w:b w:val="0"/>
                <w:i w:val="0"/>
                <w:sz w:val="12"/>
              </w:rPr>
              <w:t>573,438</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2"/>
              </w:rPr>
              <w:t>d6f9a550f1d392e8844fe0f3f89ca6be400aeaad997042b17b0b1cd85c0866aa</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2"/>
              </w:rPr>
              <w:t>SRC-T1-010</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2"/>
              </w:rPr>
              <w:t>fos_journal_ru_v5_6.tex</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2"/>
              </w:rPr>
              <w:t>journal source</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2"/>
              </w:rPr>
              <w:t>FOS and Desargues-Kurpishev line</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2"/>
              </w:rPr>
              <w:t>INTERNAL-PRIMARY</w:t>
            </w:r>
          </w:p>
        </w:tc>
        <w:tc>
          <w:tcPr>
            <w:tcW w:type="dxa" w:w="1134"/>
            <w:tcMar>
              <w:top w:w="90" w:type="dxa"/>
              <w:start w:w="110" w:type="dxa"/>
              <w:bottom w:w="90" w:type="dxa"/>
              <w:end w:w="110" w:type="dxa"/>
            </w:tcMar>
            <w:vAlign w:val="center"/>
            <w:shd w:fill="F4F7FA"/>
          </w:tcPr>
          <w:p>
            <w:pPr>
              <w:jc w:val="left"/>
            </w:pPr>
            <w:r>
              <w:rPr>
                <w:rFonts w:ascii="DejaVu Serif" w:hAnsi="DejaVu Serif" w:eastAsia="DejaVu Serif"/>
                <w:b w:val="0"/>
                <w:i w:val="0"/>
                <w:sz w:val="12"/>
              </w:rPr>
              <w:t>36,623</w:t>
            </w:r>
          </w:p>
        </w:tc>
        <w:tc>
          <w:tcPr>
            <w:tcW w:type="dxa" w:w="3969"/>
            <w:tcMar>
              <w:top w:w="90" w:type="dxa"/>
              <w:start w:w="110" w:type="dxa"/>
              <w:bottom w:w="90" w:type="dxa"/>
              <w:end w:w="110" w:type="dxa"/>
            </w:tcMar>
            <w:vAlign w:val="center"/>
            <w:shd w:fill="F4F7FA"/>
          </w:tcPr>
          <w:p>
            <w:pPr>
              <w:jc w:val="left"/>
            </w:pPr>
            <w:r>
              <w:rPr>
                <w:rFonts w:ascii="DejaVu Serif" w:hAnsi="DejaVu Serif" w:eastAsia="DejaVu Serif"/>
                <w:b w:val="0"/>
                <w:i w:val="0"/>
                <w:sz w:val="12"/>
              </w:rPr>
              <w:t>134cd1d32862ad1ce923f9cc58d675d0c582b372e9ab57f1cdef69784622d93a</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2"/>
              </w:rPr>
              <w:t>SRC-T1-011</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2"/>
              </w:rPr>
              <w:t>FOS_JOURNAL_SPLIT_v5_6_PACKAGE.zip</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2"/>
              </w:rPr>
              <w:t>journal package</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2"/>
              </w:rPr>
              <w:t>source bundle and assets for FOS publication</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2"/>
              </w:rPr>
              <w:t>INTERNAL-BUNDLE</w:t>
            </w:r>
          </w:p>
        </w:tc>
        <w:tc>
          <w:tcPr>
            <w:tcW w:type="dxa" w:w="1134"/>
            <w:tcMar>
              <w:top w:w="90" w:type="dxa"/>
              <w:start w:w="110" w:type="dxa"/>
              <w:bottom w:w="90" w:type="dxa"/>
              <w:end w:w="110" w:type="dxa"/>
            </w:tcMar>
            <w:vAlign w:val="center"/>
          </w:tcPr>
          <w:p>
            <w:pPr>
              <w:jc w:val="left"/>
            </w:pPr>
            <w:r>
              <w:rPr>
                <w:rFonts w:ascii="DejaVu Serif" w:hAnsi="DejaVu Serif" w:eastAsia="DejaVu Serif"/>
                <w:b w:val="0"/>
                <w:i w:val="0"/>
                <w:sz w:val="12"/>
              </w:rPr>
              <w:t>18,969,180</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2"/>
              </w:rPr>
              <w:t>e375dce884c823743d45688551dc0880328da48e2bb29deb8ee21f1e53a9a18b</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2"/>
              </w:rPr>
              <w:t>SRC-T1-012</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2"/>
              </w:rPr>
              <w:t>tom2_v1_0(1).pdf</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2"/>
              </w:rPr>
              <w:t>cross-volume canonical source</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2"/>
              </w:rPr>
              <w:t>NAPG 3.0 and weakest-link architecture</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2"/>
              </w:rPr>
              <w:t>INTERNAL-CANONICAL</w:t>
            </w:r>
          </w:p>
        </w:tc>
        <w:tc>
          <w:tcPr>
            <w:tcW w:type="dxa" w:w="1134"/>
            <w:tcMar>
              <w:top w:w="90" w:type="dxa"/>
              <w:start w:w="110" w:type="dxa"/>
              <w:bottom w:w="90" w:type="dxa"/>
              <w:end w:w="110" w:type="dxa"/>
            </w:tcMar>
            <w:vAlign w:val="center"/>
            <w:shd w:fill="F4F7FA"/>
          </w:tcPr>
          <w:p>
            <w:pPr>
              <w:jc w:val="left"/>
            </w:pPr>
            <w:r>
              <w:rPr>
                <w:rFonts w:ascii="DejaVu Serif" w:hAnsi="DejaVu Serif" w:eastAsia="DejaVu Serif"/>
                <w:b w:val="0"/>
                <w:i w:val="0"/>
                <w:sz w:val="12"/>
              </w:rPr>
              <w:t>14,049,188</w:t>
            </w:r>
          </w:p>
        </w:tc>
        <w:tc>
          <w:tcPr>
            <w:tcW w:type="dxa" w:w="3969"/>
            <w:tcMar>
              <w:top w:w="90" w:type="dxa"/>
              <w:start w:w="110" w:type="dxa"/>
              <w:bottom w:w="90" w:type="dxa"/>
              <w:end w:w="110" w:type="dxa"/>
            </w:tcMar>
            <w:vAlign w:val="center"/>
            <w:shd w:fill="F4F7FA"/>
          </w:tcPr>
          <w:p>
            <w:pPr>
              <w:jc w:val="left"/>
            </w:pPr>
            <w:r>
              <w:rPr>
                <w:rFonts w:ascii="DejaVu Serif" w:hAnsi="DejaVu Serif" w:eastAsia="DejaVu Serif"/>
                <w:b w:val="0"/>
                <w:i w:val="0"/>
                <w:sz w:val="12"/>
              </w:rPr>
              <w:t>dbbb5552dae7872f18b32c98d8e8584e562b545d20761bd6425c14d38f4db81f</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2"/>
              </w:rPr>
              <w:t>SRC-T1-013</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2"/>
              </w:rPr>
              <w:t>tom3_en_v1_0.pdf</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2"/>
              </w:rPr>
              <w:t>terminology comparator</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2"/>
              </w:rPr>
              <w:t>frozen English terminology and status firewall</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2"/>
              </w:rPr>
              <w:t>INTERNAL-CANONICAL</w:t>
            </w:r>
          </w:p>
        </w:tc>
        <w:tc>
          <w:tcPr>
            <w:tcW w:type="dxa" w:w="1134"/>
            <w:tcMar>
              <w:top w:w="90" w:type="dxa"/>
              <w:start w:w="110" w:type="dxa"/>
              <w:bottom w:w="90" w:type="dxa"/>
              <w:end w:w="110" w:type="dxa"/>
            </w:tcMar>
            <w:vAlign w:val="center"/>
          </w:tcPr>
          <w:p>
            <w:pPr>
              <w:jc w:val="left"/>
            </w:pPr>
            <w:r>
              <w:rPr>
                <w:rFonts w:ascii="DejaVu Serif" w:hAnsi="DejaVu Serif" w:eastAsia="DejaVu Serif"/>
                <w:b w:val="0"/>
                <w:i w:val="0"/>
                <w:sz w:val="12"/>
              </w:rPr>
              <w:t>4,102,656</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2"/>
              </w:rPr>
              <w:t>b7b48782cd9e6b792c610df2eae4bba3b84afaab9fc8045b98fd1be913499d29</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2"/>
              </w:rPr>
              <w:t>SRC-T1-014</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2"/>
              </w:rPr>
              <w:t>KLT_RBD_CHEM_FIPS_DEPOSIT_MASTER_v1_3 (1).pdf</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2"/>
              </w:rPr>
              <w:t>registration dossier</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2"/>
              </w:rPr>
              <w:t>application-layer provenance; no mathematical validation</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2"/>
              </w:rPr>
              <w:t>LEGAL-PROVENANCE</w:t>
            </w:r>
          </w:p>
        </w:tc>
        <w:tc>
          <w:tcPr>
            <w:tcW w:type="dxa" w:w="1134"/>
            <w:tcMar>
              <w:top w:w="90" w:type="dxa"/>
              <w:start w:w="110" w:type="dxa"/>
              <w:bottom w:w="90" w:type="dxa"/>
              <w:end w:w="110" w:type="dxa"/>
            </w:tcMar>
            <w:vAlign w:val="center"/>
            <w:shd w:fill="F4F7FA"/>
          </w:tcPr>
          <w:p>
            <w:pPr>
              <w:jc w:val="left"/>
            </w:pPr>
            <w:r>
              <w:rPr>
                <w:rFonts w:ascii="DejaVu Serif" w:hAnsi="DejaVu Serif" w:eastAsia="DejaVu Serif"/>
                <w:b w:val="0"/>
                <w:i w:val="0"/>
                <w:sz w:val="12"/>
              </w:rPr>
              <w:t>375,750</w:t>
            </w:r>
          </w:p>
        </w:tc>
        <w:tc>
          <w:tcPr>
            <w:tcW w:type="dxa" w:w="3969"/>
            <w:tcMar>
              <w:top w:w="90" w:type="dxa"/>
              <w:start w:w="110" w:type="dxa"/>
              <w:bottom w:w="90" w:type="dxa"/>
              <w:end w:w="110" w:type="dxa"/>
            </w:tcMar>
            <w:vAlign w:val="center"/>
            <w:shd w:fill="F4F7FA"/>
          </w:tcPr>
          <w:p>
            <w:pPr>
              <w:jc w:val="left"/>
            </w:pPr>
            <w:r>
              <w:rPr>
                <w:rFonts w:ascii="DejaVu Serif" w:hAnsi="DejaVu Serif" w:eastAsia="DejaVu Serif"/>
                <w:b w:val="0"/>
                <w:i w:val="0"/>
                <w:sz w:val="12"/>
              </w:rPr>
              <w:t>a0f521d84d3d2a6afe7bed18fb180079bc461c4ea611e02d62325c6ce7772616</w:t>
            </w:r>
          </w:p>
        </w:tc>
      </w:tr>
      <w:tr>
        <w:tc>
          <w:tcPr>
            <w:tcW w:type="dxa" w:w="1134"/>
            <w:tcMar>
              <w:top w:w="90" w:type="dxa"/>
              <w:start w:w="110" w:type="dxa"/>
              <w:bottom w:w="90" w:type="dxa"/>
              <w:end w:w="110" w:type="dxa"/>
            </w:tcMar>
            <w:vAlign w:val="center"/>
          </w:tcPr>
          <w:p>
            <w:pPr>
              <w:jc w:val="center"/>
            </w:pPr>
            <w:r>
              <w:rPr>
                <w:rFonts w:ascii="DejaVu Serif" w:hAnsi="DejaVu Serif" w:eastAsia="DejaVu Serif"/>
                <w:b w:val="0"/>
                <w:i w:val="0"/>
                <w:sz w:val="12"/>
              </w:rPr>
              <w:t>SRC-T1-015</w:t>
            </w:r>
          </w:p>
        </w:tc>
        <w:tc>
          <w:tcPr>
            <w:tcW w:type="dxa" w:w="2268"/>
            <w:tcMar>
              <w:top w:w="90" w:type="dxa"/>
              <w:start w:w="110" w:type="dxa"/>
              <w:bottom w:w="90" w:type="dxa"/>
              <w:end w:w="110" w:type="dxa"/>
            </w:tcMar>
            <w:vAlign w:val="center"/>
          </w:tcPr>
          <w:p>
            <w:pPr>
              <w:jc w:val="left"/>
            </w:pPr>
            <w:r>
              <w:rPr>
                <w:rFonts w:ascii="DejaVu Serif" w:hAnsi="DejaVu Serif" w:eastAsia="DejaVu Serif"/>
                <w:b w:val="0"/>
                <w:i w:val="0"/>
                <w:sz w:val="12"/>
              </w:rPr>
              <w:t>KLT_RBD_GLOBAL_REPER_DATABASE_v2_2_ARTIFACT_NAMING_AND_DOSSIER_RUN_016 (2).zip</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2"/>
              </w:rPr>
              <w:t>RBD bundle</w:t>
            </w:r>
          </w:p>
        </w:tc>
        <w:tc>
          <w:tcPr>
            <w:tcW w:type="dxa" w:w="2721"/>
            <w:tcMar>
              <w:top w:w="90" w:type="dxa"/>
              <w:start w:w="110" w:type="dxa"/>
              <w:bottom w:w="90" w:type="dxa"/>
              <w:end w:w="110" w:type="dxa"/>
            </w:tcMar>
            <w:vAlign w:val="center"/>
          </w:tcPr>
          <w:p>
            <w:pPr>
              <w:jc w:val="left"/>
            </w:pPr>
            <w:r>
              <w:rPr>
                <w:rFonts w:ascii="DejaVu Serif" w:hAnsi="DejaVu Serif" w:eastAsia="DejaVu Serif"/>
                <w:b w:val="0"/>
                <w:i w:val="0"/>
                <w:sz w:val="12"/>
              </w:rPr>
              <w:t>artifact naming and dossier architecture</w:t>
            </w:r>
          </w:p>
        </w:tc>
        <w:tc>
          <w:tcPr>
            <w:tcW w:type="dxa" w:w="1474"/>
            <w:tcMar>
              <w:top w:w="90" w:type="dxa"/>
              <w:start w:w="110" w:type="dxa"/>
              <w:bottom w:w="90" w:type="dxa"/>
              <w:end w:w="110" w:type="dxa"/>
            </w:tcMar>
            <w:vAlign w:val="center"/>
          </w:tcPr>
          <w:p>
            <w:pPr>
              <w:jc w:val="left"/>
            </w:pPr>
            <w:r>
              <w:rPr>
                <w:rFonts w:ascii="DejaVu Serif" w:hAnsi="DejaVu Serif" w:eastAsia="DejaVu Serif"/>
                <w:b w:val="0"/>
                <w:i w:val="0"/>
                <w:sz w:val="12"/>
              </w:rPr>
              <w:t>INTERNAL-BUNDLE</w:t>
            </w:r>
          </w:p>
        </w:tc>
        <w:tc>
          <w:tcPr>
            <w:tcW w:type="dxa" w:w="1134"/>
            <w:tcMar>
              <w:top w:w="90" w:type="dxa"/>
              <w:start w:w="110" w:type="dxa"/>
              <w:bottom w:w="90" w:type="dxa"/>
              <w:end w:w="110" w:type="dxa"/>
            </w:tcMar>
            <w:vAlign w:val="center"/>
          </w:tcPr>
          <w:p>
            <w:pPr>
              <w:jc w:val="left"/>
            </w:pPr>
            <w:r>
              <w:rPr>
                <w:rFonts w:ascii="DejaVu Serif" w:hAnsi="DejaVu Serif" w:eastAsia="DejaVu Serif"/>
                <w:b w:val="0"/>
                <w:i w:val="0"/>
                <w:sz w:val="12"/>
              </w:rPr>
              <w:t>3,185,609</w:t>
            </w:r>
          </w:p>
        </w:tc>
        <w:tc>
          <w:tcPr>
            <w:tcW w:type="dxa" w:w="3969"/>
            <w:tcMar>
              <w:top w:w="90" w:type="dxa"/>
              <w:start w:w="110" w:type="dxa"/>
              <w:bottom w:w="90" w:type="dxa"/>
              <w:end w:w="110" w:type="dxa"/>
            </w:tcMar>
            <w:vAlign w:val="center"/>
          </w:tcPr>
          <w:p>
            <w:pPr>
              <w:jc w:val="left"/>
            </w:pPr>
            <w:r>
              <w:rPr>
                <w:rFonts w:ascii="DejaVu Serif" w:hAnsi="DejaVu Serif" w:eastAsia="DejaVu Serif"/>
                <w:b w:val="0"/>
                <w:i w:val="0"/>
                <w:sz w:val="12"/>
              </w:rPr>
              <w:t>585696548649291e905fc653696173fbd633fd9e993745a0e87a03934b4917b2</w:t>
            </w:r>
          </w:p>
        </w:tc>
      </w:tr>
      <w:tr>
        <w:tc>
          <w:tcPr>
            <w:tcW w:type="dxa" w:w="1134"/>
            <w:tcMar>
              <w:top w:w="90" w:type="dxa"/>
              <w:start w:w="110" w:type="dxa"/>
              <w:bottom w:w="90" w:type="dxa"/>
              <w:end w:w="110" w:type="dxa"/>
            </w:tcMar>
            <w:vAlign w:val="center"/>
            <w:shd w:fill="F4F7FA"/>
          </w:tcPr>
          <w:p>
            <w:pPr>
              <w:jc w:val="center"/>
            </w:pPr>
            <w:r>
              <w:rPr>
                <w:rFonts w:ascii="DejaVu Serif" w:hAnsi="DejaVu Serif" w:eastAsia="DejaVu Serif"/>
                <w:b w:val="0"/>
                <w:i w:val="0"/>
                <w:sz w:val="12"/>
              </w:rPr>
              <w:t>SRC-T1-016</w:t>
            </w:r>
          </w:p>
        </w:tc>
        <w:tc>
          <w:tcPr>
            <w:tcW w:type="dxa" w:w="2268"/>
            <w:tcMar>
              <w:top w:w="90" w:type="dxa"/>
              <w:start w:w="110" w:type="dxa"/>
              <w:bottom w:w="90" w:type="dxa"/>
              <w:end w:w="110" w:type="dxa"/>
            </w:tcMar>
            <w:vAlign w:val="center"/>
            <w:shd w:fill="F4F7FA"/>
          </w:tcPr>
          <w:p>
            <w:pPr>
              <w:jc w:val="left"/>
            </w:pPr>
            <w:r>
              <w:rPr>
                <w:rFonts w:ascii="DejaVu Serif" w:hAnsi="DejaVu Serif" w:eastAsia="DejaVu Serif"/>
                <w:b w:val="0"/>
                <w:i w:val="0"/>
                <w:sz w:val="12"/>
              </w:rPr>
              <w:t>KLT5_1_FLUTTER_SDK_PACKAGE.zip</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2"/>
              </w:rPr>
              <w:t>software package</w:t>
            </w:r>
          </w:p>
        </w:tc>
        <w:tc>
          <w:tcPr>
            <w:tcW w:type="dxa" w:w="2721"/>
            <w:tcMar>
              <w:top w:w="90" w:type="dxa"/>
              <w:start w:w="110" w:type="dxa"/>
              <w:bottom w:w="90" w:type="dxa"/>
              <w:end w:w="110" w:type="dxa"/>
            </w:tcMar>
            <w:vAlign w:val="center"/>
            <w:shd w:fill="F4F7FA"/>
          </w:tcPr>
          <w:p>
            <w:pPr>
              <w:jc w:val="left"/>
            </w:pPr>
            <w:r>
              <w:rPr>
                <w:rFonts w:ascii="DejaVu Serif" w:hAnsi="DejaVu Serif" w:eastAsia="DejaVu Serif"/>
                <w:b w:val="0"/>
                <w:i w:val="0"/>
                <w:sz w:val="12"/>
              </w:rPr>
              <w:t>program-layer provenance; not theorem evidence</w:t>
            </w:r>
          </w:p>
        </w:tc>
        <w:tc>
          <w:tcPr>
            <w:tcW w:type="dxa" w:w="1474"/>
            <w:tcMar>
              <w:top w:w="90" w:type="dxa"/>
              <w:start w:w="110" w:type="dxa"/>
              <w:bottom w:w="90" w:type="dxa"/>
              <w:end w:w="110" w:type="dxa"/>
            </w:tcMar>
            <w:vAlign w:val="center"/>
            <w:shd w:fill="F4F7FA"/>
          </w:tcPr>
          <w:p>
            <w:pPr>
              <w:jc w:val="left"/>
            </w:pPr>
            <w:r>
              <w:rPr>
                <w:rFonts w:ascii="DejaVu Serif" w:hAnsi="DejaVu Serif" w:eastAsia="DejaVu Serif"/>
                <w:b w:val="0"/>
                <w:i w:val="0"/>
                <w:sz w:val="12"/>
              </w:rPr>
              <w:t>SOFTWARE-PROVENANCE</w:t>
            </w:r>
          </w:p>
        </w:tc>
        <w:tc>
          <w:tcPr>
            <w:tcW w:type="dxa" w:w="1134"/>
            <w:tcMar>
              <w:top w:w="90" w:type="dxa"/>
              <w:start w:w="110" w:type="dxa"/>
              <w:bottom w:w="90" w:type="dxa"/>
              <w:end w:w="110" w:type="dxa"/>
            </w:tcMar>
            <w:vAlign w:val="center"/>
            <w:shd w:fill="F4F7FA"/>
          </w:tcPr>
          <w:p>
            <w:pPr>
              <w:jc w:val="left"/>
            </w:pPr>
            <w:r>
              <w:rPr>
                <w:rFonts w:ascii="DejaVu Serif" w:hAnsi="DejaVu Serif" w:eastAsia="DejaVu Serif"/>
                <w:b w:val="0"/>
                <w:i w:val="0"/>
                <w:sz w:val="12"/>
              </w:rPr>
              <w:t>3,019,939</w:t>
            </w:r>
          </w:p>
        </w:tc>
        <w:tc>
          <w:tcPr>
            <w:tcW w:type="dxa" w:w="3969"/>
            <w:tcMar>
              <w:top w:w="90" w:type="dxa"/>
              <w:start w:w="110" w:type="dxa"/>
              <w:bottom w:w="90" w:type="dxa"/>
              <w:end w:w="110" w:type="dxa"/>
            </w:tcMar>
            <w:vAlign w:val="center"/>
            <w:shd w:fill="F4F7FA"/>
          </w:tcPr>
          <w:p>
            <w:pPr>
              <w:jc w:val="left"/>
            </w:pPr>
            <w:r>
              <w:rPr>
                <w:rFonts w:ascii="DejaVu Serif" w:hAnsi="DejaVu Serif" w:eastAsia="DejaVu Serif"/>
                <w:b w:val="0"/>
                <w:i w:val="0"/>
                <w:sz w:val="12"/>
              </w:rPr>
              <w:t>d373e55bab5e63fa4c5b68688527efd6b53d30b2f71e8182716004b290f999fe</w:t>
            </w:r>
          </w:p>
        </w:tc>
      </w:tr>
    </w:tbl>
    <w:p>
      <w:pPr>
        <w:spacing w:after="40"/>
      </w:pPr>
    </w:p>
    <w:p>
      <w:pPr>
        <w:spacing w:after="80" w:line="269" w:lineRule="auto"/>
        <w:jc w:val="both"/>
      </w:pPr>
      <w:r>
        <w:rPr>
          <w:rFonts w:ascii="DejaVu Serif" w:hAnsi="DejaVu Serif" w:eastAsia="DejaVu Serif"/>
          <w:b w:val="0"/>
          <w:i w:val="0"/>
        </w:rPr>
        <w:t>A complete hash proves byte identity of the listed artifact, not the correctness of its mathematics or its physical interpretation. Classical prior art cited in Chapter 15 remains bibliographic metadata carried by the Russian source unless a later audit supplies exact edition and locator records.</w:t>
      </w:r>
    </w:p>
    <w:p>
      <w:pPr>
        <w:pStyle w:val="Heading2"/>
        <w:keepNext/>
      </w:pPr>
      <w:r>
        <w:t>6. Global Cross-Reference Audit</w:t>
      </w:r>
    </w:p>
    <w:tbl>
      <w:tblPr>
        <w:tblStyle w:val="TableGrid"/>
        <w:tblW w:type="auto" w:w="0"/>
        <w:jc w:val="center"/>
        <w:tblLook w:firstColumn="1" w:firstRow="1" w:lastColumn="0" w:lastRow="0" w:noHBand="0" w:noVBand="1" w:val="04A0"/>
      </w:tblPr>
      <w:tblGrid>
        <w:gridCol w:w="2517"/>
        <w:gridCol w:w="2517"/>
        <w:gridCol w:w="2517"/>
        <w:gridCol w:w="2517"/>
      </w:tblGrid>
      <w:tr>
        <w:trPr>
          <w:tblHeader w:val="true"/>
        </w:trPr>
        <w:tc>
          <w:tcPr>
            <w:tcW w:type="dxa" w:w="2835"/>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Audit object</w:t>
            </w:r>
          </w:p>
        </w:tc>
        <w:tc>
          <w:tcPr>
            <w:tcW w:type="dxa" w:w="215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Expected</w:t>
            </w:r>
          </w:p>
        </w:tc>
        <w:tc>
          <w:tcPr>
            <w:tcW w:type="dxa" w:w="215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Observed</w:t>
            </w:r>
          </w:p>
        </w:tc>
        <w:tc>
          <w:tcPr>
            <w:tcW w:type="dxa" w:w="204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5"/>
              </w:rPr>
              <w:t>Verdict</w:t>
            </w:r>
          </w:p>
        </w:tc>
      </w:tr>
      <w:tr>
        <w:tc>
          <w:tcPr>
            <w:tcW w:type="dxa" w:w="2835"/>
            <w:tcMar>
              <w:top w:w="90" w:type="dxa"/>
              <w:start w:w="110" w:type="dxa"/>
              <w:bottom w:w="90" w:type="dxa"/>
              <w:end w:w="110" w:type="dxa"/>
            </w:tcMar>
            <w:vAlign w:val="center"/>
          </w:tcPr>
          <w:p>
            <w:pPr>
              <w:jc w:val="center"/>
            </w:pPr>
            <w:r>
              <w:rPr>
                <w:rFonts w:ascii="DejaVu Serif" w:hAnsi="DejaVu Serif" w:eastAsia="DejaVu Serif"/>
                <w:b w:val="0"/>
                <w:i w:val="0"/>
                <w:sz w:val="15"/>
              </w:rPr>
              <w:t>Chapters</w:t>
            </w:r>
          </w:p>
        </w:tc>
        <w:tc>
          <w:tcPr>
            <w:tcW w:type="dxa" w:w="2154"/>
            <w:tcMar>
              <w:top w:w="90" w:type="dxa"/>
              <w:start w:w="110" w:type="dxa"/>
              <w:bottom w:w="90" w:type="dxa"/>
              <w:end w:w="110" w:type="dxa"/>
            </w:tcMar>
            <w:vAlign w:val="center"/>
          </w:tcPr>
          <w:p>
            <w:pPr>
              <w:jc w:val="left"/>
            </w:pPr>
            <w:r>
              <w:rPr>
                <w:rFonts w:ascii="DejaVu Serif" w:hAnsi="DejaVu Serif" w:eastAsia="DejaVu Serif"/>
                <w:b w:val="0"/>
                <w:i w:val="0"/>
                <w:sz w:val="15"/>
              </w:rPr>
              <w:t>52</w:t>
            </w:r>
          </w:p>
        </w:tc>
        <w:tc>
          <w:tcPr>
            <w:tcW w:type="dxa" w:w="2154"/>
            <w:tcMar>
              <w:top w:w="90" w:type="dxa"/>
              <w:start w:w="110" w:type="dxa"/>
              <w:bottom w:w="90" w:type="dxa"/>
              <w:end w:w="110" w:type="dxa"/>
            </w:tcMar>
            <w:vAlign w:val="center"/>
          </w:tcPr>
          <w:p>
            <w:pPr>
              <w:jc w:val="left"/>
            </w:pPr>
            <w:r>
              <w:rPr>
                <w:rFonts w:ascii="DejaVu Serif" w:hAnsi="DejaVu Serif" w:eastAsia="DejaVu Serif"/>
                <w:b w:val="0"/>
                <w:i w:val="0"/>
                <w:sz w:val="15"/>
              </w:rPr>
              <w:t>52</w:t>
            </w:r>
          </w:p>
        </w:tc>
        <w:tc>
          <w:tcPr>
            <w:tcW w:type="dxa" w:w="2041"/>
            <w:tcMar>
              <w:top w:w="90" w:type="dxa"/>
              <w:start w:w="110" w:type="dxa"/>
              <w:bottom w:w="90" w:type="dxa"/>
              <w:end w:w="110" w:type="dxa"/>
            </w:tcMar>
            <w:vAlign w:val="center"/>
          </w:tcPr>
          <w:p>
            <w:pPr>
              <w:jc w:val="left"/>
            </w:pPr>
            <w:r>
              <w:rPr>
                <w:rFonts w:ascii="DejaVu Serif" w:hAnsi="DejaVu Serif" w:eastAsia="DejaVu Serif"/>
                <w:b w:val="0"/>
                <w:i w:val="0"/>
                <w:sz w:val="15"/>
              </w:rPr>
              <w:t>PASS</w:t>
            </w:r>
          </w:p>
        </w:tc>
      </w:tr>
      <w:tr>
        <w:tc>
          <w:tcPr>
            <w:tcW w:type="dxa" w:w="2835"/>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Appendices A-G</w:t>
            </w:r>
          </w:p>
        </w:tc>
        <w:tc>
          <w:tcPr>
            <w:tcW w:type="dxa" w:w="2154"/>
            <w:tcMar>
              <w:top w:w="90" w:type="dxa"/>
              <w:start w:w="110" w:type="dxa"/>
              <w:bottom w:w="90" w:type="dxa"/>
              <w:end w:w="110" w:type="dxa"/>
            </w:tcMar>
            <w:vAlign w:val="center"/>
            <w:shd w:fill="F4F7FA"/>
          </w:tcPr>
          <w:p>
            <w:pPr>
              <w:jc w:val="left"/>
            </w:pPr>
            <w:r>
              <w:rPr>
                <w:rFonts w:ascii="DejaVu Serif" w:hAnsi="DejaVu Serif" w:eastAsia="DejaVu Serif"/>
                <w:b w:val="0"/>
                <w:i w:val="0"/>
                <w:sz w:val="15"/>
              </w:rPr>
              <w:t>7</w:t>
            </w:r>
          </w:p>
        </w:tc>
        <w:tc>
          <w:tcPr>
            <w:tcW w:type="dxa" w:w="2154"/>
            <w:tcMar>
              <w:top w:w="90" w:type="dxa"/>
              <w:start w:w="110" w:type="dxa"/>
              <w:bottom w:w="90" w:type="dxa"/>
              <w:end w:w="110" w:type="dxa"/>
            </w:tcMar>
            <w:vAlign w:val="center"/>
            <w:shd w:fill="F4F7FA"/>
          </w:tcPr>
          <w:p>
            <w:pPr>
              <w:jc w:val="left"/>
            </w:pPr>
            <w:r>
              <w:rPr>
                <w:rFonts w:ascii="DejaVu Serif" w:hAnsi="DejaVu Serif" w:eastAsia="DejaVu Serif"/>
                <w:b w:val="0"/>
                <w:i w:val="0"/>
                <w:sz w:val="15"/>
              </w:rPr>
              <w:t>7</w:t>
            </w:r>
          </w:p>
        </w:tc>
        <w:tc>
          <w:tcPr>
            <w:tcW w:type="dxa" w:w="2041"/>
            <w:tcMar>
              <w:top w:w="90" w:type="dxa"/>
              <w:start w:w="110" w:type="dxa"/>
              <w:bottom w:w="90" w:type="dxa"/>
              <w:end w:w="110" w:type="dxa"/>
            </w:tcMar>
            <w:vAlign w:val="center"/>
            <w:shd w:fill="F4F7FA"/>
          </w:tcPr>
          <w:p>
            <w:pPr>
              <w:jc w:val="left"/>
            </w:pPr>
            <w:r>
              <w:rPr>
                <w:rFonts w:ascii="DejaVu Serif" w:hAnsi="DejaVu Serif" w:eastAsia="DejaVu Serif"/>
                <w:b w:val="0"/>
                <w:i w:val="0"/>
                <w:sz w:val="15"/>
              </w:rPr>
              <w:t>PASS</w:t>
            </w:r>
          </w:p>
        </w:tc>
      </w:tr>
      <w:tr>
        <w:tc>
          <w:tcPr>
            <w:tcW w:type="dxa" w:w="2835"/>
            <w:tcMar>
              <w:top w:w="90" w:type="dxa"/>
              <w:start w:w="110" w:type="dxa"/>
              <w:bottom w:w="90" w:type="dxa"/>
              <w:end w:w="110" w:type="dxa"/>
            </w:tcMar>
            <w:vAlign w:val="center"/>
          </w:tcPr>
          <w:p>
            <w:pPr>
              <w:jc w:val="center"/>
            </w:pPr>
            <w:r>
              <w:rPr>
                <w:rFonts w:ascii="DejaVu Serif" w:hAnsi="DejaVu Serif" w:eastAsia="DejaVu Serif"/>
                <w:b w:val="0"/>
                <w:i w:val="0"/>
                <w:sz w:val="15"/>
              </w:rPr>
              <w:t>Formula IDs F001-F086</w:t>
            </w:r>
          </w:p>
        </w:tc>
        <w:tc>
          <w:tcPr>
            <w:tcW w:type="dxa" w:w="2154"/>
            <w:tcMar>
              <w:top w:w="90" w:type="dxa"/>
              <w:start w:w="110" w:type="dxa"/>
              <w:bottom w:w="90" w:type="dxa"/>
              <w:end w:w="110" w:type="dxa"/>
            </w:tcMar>
            <w:vAlign w:val="center"/>
          </w:tcPr>
          <w:p>
            <w:pPr>
              <w:jc w:val="left"/>
            </w:pPr>
            <w:r>
              <w:rPr>
                <w:rFonts w:ascii="DejaVu Serif" w:hAnsi="DejaVu Serif" w:eastAsia="DejaVu Serif"/>
                <w:b w:val="0"/>
                <w:i w:val="0"/>
                <w:sz w:val="15"/>
              </w:rPr>
              <w:t>86</w:t>
            </w:r>
          </w:p>
        </w:tc>
        <w:tc>
          <w:tcPr>
            <w:tcW w:type="dxa" w:w="2154"/>
            <w:tcMar>
              <w:top w:w="90" w:type="dxa"/>
              <w:start w:w="110" w:type="dxa"/>
              <w:bottom w:w="90" w:type="dxa"/>
              <w:end w:w="110" w:type="dxa"/>
            </w:tcMar>
            <w:vAlign w:val="center"/>
          </w:tcPr>
          <w:p>
            <w:pPr>
              <w:jc w:val="left"/>
            </w:pPr>
            <w:r>
              <w:rPr>
                <w:rFonts w:ascii="DejaVu Serif" w:hAnsi="DejaVu Serif" w:eastAsia="DejaVu Serif"/>
                <w:b w:val="0"/>
                <w:i w:val="0"/>
                <w:sz w:val="15"/>
              </w:rPr>
              <w:t>86</w:t>
            </w:r>
          </w:p>
        </w:tc>
        <w:tc>
          <w:tcPr>
            <w:tcW w:type="dxa" w:w="2041"/>
            <w:tcMar>
              <w:top w:w="90" w:type="dxa"/>
              <w:start w:w="110" w:type="dxa"/>
              <w:bottom w:w="90" w:type="dxa"/>
              <w:end w:w="110" w:type="dxa"/>
            </w:tcMar>
            <w:vAlign w:val="center"/>
          </w:tcPr>
          <w:p>
            <w:pPr>
              <w:jc w:val="left"/>
            </w:pPr>
            <w:r>
              <w:rPr>
                <w:rFonts w:ascii="DejaVu Serif" w:hAnsi="DejaVu Serif" w:eastAsia="DejaVu Serif"/>
                <w:b w:val="0"/>
                <w:i w:val="0"/>
                <w:sz w:val="15"/>
              </w:rPr>
              <w:t>PASS</w:t>
            </w:r>
          </w:p>
        </w:tc>
      </w:tr>
      <w:tr>
        <w:tc>
          <w:tcPr>
            <w:tcW w:type="dxa" w:w="2835"/>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Figure captions in unified master</w:t>
            </w:r>
          </w:p>
        </w:tc>
        <w:tc>
          <w:tcPr>
            <w:tcW w:type="dxa" w:w="2154"/>
            <w:tcMar>
              <w:top w:w="90" w:type="dxa"/>
              <w:start w:w="110" w:type="dxa"/>
              <w:bottom w:w="90" w:type="dxa"/>
              <w:end w:w="110" w:type="dxa"/>
            </w:tcMar>
            <w:vAlign w:val="center"/>
            <w:shd w:fill="F4F7FA"/>
          </w:tcPr>
          <w:p>
            <w:pPr>
              <w:jc w:val="left"/>
            </w:pPr>
            <w:r>
              <w:rPr>
                <w:rFonts w:ascii="DejaVu Serif" w:hAnsi="DejaVu Serif" w:eastAsia="DejaVu Serif"/>
                <w:b w:val="0"/>
                <w:i w:val="0"/>
                <w:sz w:val="15"/>
              </w:rPr>
              <w:t>60</w:t>
            </w:r>
          </w:p>
        </w:tc>
        <w:tc>
          <w:tcPr>
            <w:tcW w:type="dxa" w:w="2154"/>
            <w:tcMar>
              <w:top w:w="90" w:type="dxa"/>
              <w:start w:w="110" w:type="dxa"/>
              <w:bottom w:w="90" w:type="dxa"/>
              <w:end w:w="110" w:type="dxa"/>
            </w:tcMar>
            <w:vAlign w:val="center"/>
            <w:shd w:fill="F4F7FA"/>
          </w:tcPr>
          <w:p>
            <w:pPr>
              <w:jc w:val="left"/>
            </w:pPr>
            <w:r>
              <w:rPr>
                <w:rFonts w:ascii="DejaVu Serif" w:hAnsi="DejaVu Serif" w:eastAsia="DejaVu Serif"/>
                <w:b w:val="0"/>
                <w:i w:val="0"/>
                <w:sz w:val="15"/>
              </w:rPr>
              <w:t>60</w:t>
            </w:r>
          </w:p>
        </w:tc>
        <w:tc>
          <w:tcPr>
            <w:tcW w:type="dxa" w:w="2041"/>
            <w:tcMar>
              <w:top w:w="90" w:type="dxa"/>
              <w:start w:w="110" w:type="dxa"/>
              <w:bottom w:w="90" w:type="dxa"/>
              <w:end w:w="110" w:type="dxa"/>
            </w:tcMar>
            <w:vAlign w:val="center"/>
            <w:shd w:fill="F4F7FA"/>
          </w:tcPr>
          <w:p>
            <w:pPr>
              <w:jc w:val="left"/>
            </w:pPr>
            <w:r>
              <w:rPr>
                <w:rFonts w:ascii="DejaVu Serif" w:hAnsi="DejaVu Serif" w:eastAsia="DejaVu Serif"/>
                <w:b w:val="0"/>
                <w:i w:val="0"/>
                <w:sz w:val="15"/>
              </w:rPr>
              <w:t>PASS</w:t>
            </w:r>
          </w:p>
        </w:tc>
      </w:tr>
      <w:tr>
        <w:tc>
          <w:tcPr>
            <w:tcW w:type="dxa" w:w="2835"/>
            <w:tcMar>
              <w:top w:w="90" w:type="dxa"/>
              <w:start w:w="110" w:type="dxa"/>
              <w:bottom w:w="90" w:type="dxa"/>
              <w:end w:w="110" w:type="dxa"/>
            </w:tcMar>
            <w:vAlign w:val="center"/>
          </w:tcPr>
          <w:p>
            <w:pPr>
              <w:jc w:val="center"/>
            </w:pPr>
            <w:r>
              <w:rPr>
                <w:rFonts w:ascii="DejaVu Serif" w:hAnsi="DejaVu Serif" w:eastAsia="DejaVu Serif"/>
                <w:b w:val="0"/>
                <w:i w:val="0"/>
                <w:sz w:val="15"/>
              </w:rPr>
              <w:t>Chapter/appendix table assignments</w:t>
            </w:r>
          </w:p>
        </w:tc>
        <w:tc>
          <w:tcPr>
            <w:tcW w:type="dxa" w:w="2154"/>
            <w:tcMar>
              <w:top w:w="90" w:type="dxa"/>
              <w:start w:w="110" w:type="dxa"/>
              <w:bottom w:w="90" w:type="dxa"/>
              <w:end w:w="110" w:type="dxa"/>
            </w:tcMar>
            <w:vAlign w:val="center"/>
          </w:tcPr>
          <w:p>
            <w:pPr>
              <w:jc w:val="left"/>
            </w:pPr>
            <w:r>
              <w:rPr>
                <w:rFonts w:ascii="DejaVu Serif" w:hAnsi="DejaVu Serif" w:eastAsia="DejaVu Serif"/>
                <w:b w:val="0"/>
                <w:i w:val="0"/>
                <w:sz w:val="15"/>
              </w:rPr>
              <w:t>all sections</w:t>
            </w:r>
          </w:p>
        </w:tc>
        <w:tc>
          <w:tcPr>
            <w:tcW w:type="dxa" w:w="2154"/>
            <w:tcMar>
              <w:top w:w="90" w:type="dxa"/>
              <w:start w:w="110" w:type="dxa"/>
              <w:bottom w:w="90" w:type="dxa"/>
              <w:end w:w="110" w:type="dxa"/>
            </w:tcMar>
            <w:vAlign w:val="center"/>
          </w:tcPr>
          <w:p>
            <w:pPr>
              <w:jc w:val="left"/>
            </w:pPr>
            <w:r>
              <w:rPr>
                <w:rFonts w:ascii="DejaVu Serif" w:hAnsi="DejaVu Serif" w:eastAsia="DejaVu Serif"/>
                <w:b w:val="0"/>
                <w:i w:val="0"/>
                <w:sz w:val="15"/>
              </w:rPr>
              <w:t>59</w:t>
            </w:r>
          </w:p>
        </w:tc>
        <w:tc>
          <w:tcPr>
            <w:tcW w:type="dxa" w:w="2041"/>
            <w:tcMar>
              <w:top w:w="90" w:type="dxa"/>
              <w:start w:w="110" w:type="dxa"/>
              <w:bottom w:w="90" w:type="dxa"/>
              <w:end w:w="110" w:type="dxa"/>
            </w:tcMar>
            <w:vAlign w:val="center"/>
          </w:tcPr>
          <w:p>
            <w:pPr>
              <w:jc w:val="left"/>
            </w:pPr>
            <w:r>
              <w:rPr>
                <w:rFonts w:ascii="DejaVu Serif" w:hAnsi="DejaVu Serif" w:eastAsia="DejaVu Serif"/>
                <w:b w:val="0"/>
                <w:i w:val="0"/>
                <w:sz w:val="15"/>
              </w:rPr>
              <w:t>PASS</w:t>
            </w:r>
          </w:p>
        </w:tc>
      </w:tr>
      <w:tr>
        <w:tc>
          <w:tcPr>
            <w:tcW w:type="dxa" w:w="2835"/>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Static TOC rows</w:t>
            </w:r>
          </w:p>
        </w:tc>
        <w:tc>
          <w:tcPr>
            <w:tcW w:type="dxa" w:w="2154"/>
            <w:tcMar>
              <w:top w:w="90" w:type="dxa"/>
              <w:start w:w="110" w:type="dxa"/>
              <w:bottom w:w="90" w:type="dxa"/>
              <w:end w:w="110" w:type="dxa"/>
            </w:tcMar>
            <w:vAlign w:val="center"/>
            <w:shd w:fill="F4F7FA"/>
          </w:tcPr>
          <w:p>
            <w:pPr>
              <w:jc w:val="left"/>
            </w:pPr>
            <w:r>
              <w:rPr>
                <w:rFonts w:ascii="DejaVu Serif" w:hAnsi="DejaVu Serif" w:eastAsia="DejaVu Serif"/>
                <w:b w:val="0"/>
                <w:i w:val="0"/>
                <w:sz w:val="15"/>
              </w:rPr>
              <w:t>59</w:t>
            </w:r>
          </w:p>
        </w:tc>
        <w:tc>
          <w:tcPr>
            <w:tcW w:type="dxa" w:w="2154"/>
            <w:tcMar>
              <w:top w:w="90" w:type="dxa"/>
              <w:start w:w="110" w:type="dxa"/>
              <w:bottom w:w="90" w:type="dxa"/>
              <w:end w:w="110" w:type="dxa"/>
            </w:tcMar>
            <w:vAlign w:val="center"/>
            <w:shd w:fill="F4F7FA"/>
          </w:tcPr>
          <w:p>
            <w:pPr>
              <w:jc w:val="left"/>
            </w:pPr>
            <w:r>
              <w:rPr>
                <w:rFonts w:ascii="DejaVu Serif" w:hAnsi="DejaVu Serif" w:eastAsia="DejaVu Serif"/>
                <w:b w:val="0"/>
                <w:i w:val="0"/>
                <w:sz w:val="15"/>
              </w:rPr>
              <w:t>59</w:t>
            </w:r>
          </w:p>
        </w:tc>
        <w:tc>
          <w:tcPr>
            <w:tcW w:type="dxa" w:w="2041"/>
            <w:tcMar>
              <w:top w:w="90" w:type="dxa"/>
              <w:start w:w="110" w:type="dxa"/>
              <w:bottom w:w="90" w:type="dxa"/>
              <w:end w:w="110" w:type="dxa"/>
            </w:tcMar>
            <w:vAlign w:val="center"/>
            <w:shd w:fill="F4F7FA"/>
          </w:tcPr>
          <w:p>
            <w:pPr>
              <w:jc w:val="left"/>
            </w:pPr>
            <w:r>
              <w:rPr>
                <w:rFonts w:ascii="DejaVu Serif" w:hAnsi="DejaVu Serif" w:eastAsia="DejaVu Serif"/>
                <w:b w:val="0"/>
                <w:i w:val="0"/>
                <w:sz w:val="15"/>
              </w:rPr>
              <w:t>PASS</w:t>
            </w:r>
          </w:p>
        </w:tc>
      </w:tr>
      <w:tr>
        <w:tc>
          <w:tcPr>
            <w:tcW w:type="dxa" w:w="2835"/>
            <w:tcMar>
              <w:top w:w="90" w:type="dxa"/>
              <w:start w:w="110" w:type="dxa"/>
              <w:bottom w:w="90" w:type="dxa"/>
              <w:end w:w="110" w:type="dxa"/>
            </w:tcMar>
            <w:vAlign w:val="center"/>
          </w:tcPr>
          <w:p>
            <w:pPr>
              <w:jc w:val="center"/>
            </w:pPr>
            <w:r>
              <w:rPr>
                <w:rFonts w:ascii="DejaVu Serif" w:hAnsi="DejaVu Serif" w:eastAsia="DejaVu Serif"/>
                <w:b w:val="0"/>
                <w:i w:val="0"/>
                <w:sz w:val="15"/>
              </w:rPr>
              <w:t>Internal navigation targets</w:t>
            </w:r>
          </w:p>
        </w:tc>
        <w:tc>
          <w:tcPr>
            <w:tcW w:type="dxa" w:w="2154"/>
            <w:tcMar>
              <w:top w:w="90" w:type="dxa"/>
              <w:start w:w="110" w:type="dxa"/>
              <w:bottom w:w="90" w:type="dxa"/>
              <w:end w:w="110" w:type="dxa"/>
            </w:tcMar>
            <w:vAlign w:val="center"/>
          </w:tcPr>
          <w:p>
            <w:pPr>
              <w:jc w:val="left"/>
            </w:pPr>
            <w:r>
              <w:rPr>
                <w:rFonts w:ascii="DejaVu Serif" w:hAnsi="DejaVu Serif" w:eastAsia="DejaVu Serif"/>
                <w:b w:val="0"/>
                <w:i w:val="0"/>
                <w:sz w:val="15"/>
              </w:rPr>
              <w:t>52+7+figures</w:t>
            </w:r>
          </w:p>
        </w:tc>
        <w:tc>
          <w:tcPr>
            <w:tcW w:type="dxa" w:w="2154"/>
            <w:tcMar>
              <w:top w:w="90" w:type="dxa"/>
              <w:start w:w="110" w:type="dxa"/>
              <w:bottom w:w="90" w:type="dxa"/>
              <w:end w:w="110" w:type="dxa"/>
            </w:tcMar>
            <w:vAlign w:val="center"/>
          </w:tcPr>
          <w:p>
            <w:pPr>
              <w:jc w:val="left"/>
            </w:pPr>
            <w:r>
              <w:rPr>
                <w:rFonts w:ascii="DejaVu Serif" w:hAnsi="DejaVu Serif" w:eastAsia="DejaVu Serif"/>
                <w:b w:val="0"/>
                <w:i w:val="0"/>
                <w:sz w:val="15"/>
              </w:rPr>
              <w:t>119</w:t>
            </w:r>
          </w:p>
        </w:tc>
        <w:tc>
          <w:tcPr>
            <w:tcW w:type="dxa" w:w="2041"/>
            <w:tcMar>
              <w:top w:w="90" w:type="dxa"/>
              <w:start w:w="110" w:type="dxa"/>
              <w:bottom w:w="90" w:type="dxa"/>
              <w:end w:w="110" w:type="dxa"/>
            </w:tcMar>
            <w:vAlign w:val="center"/>
          </w:tcPr>
          <w:p>
            <w:pPr>
              <w:jc w:val="left"/>
            </w:pPr>
            <w:r>
              <w:rPr>
                <w:rFonts w:ascii="DejaVu Serif" w:hAnsi="DejaVu Serif" w:eastAsia="DejaVu Serif"/>
                <w:b w:val="0"/>
                <w:i w:val="0"/>
                <w:sz w:val="15"/>
              </w:rPr>
              <w:t>PASS</w:t>
            </w:r>
          </w:p>
        </w:tc>
      </w:tr>
      <w:tr>
        <w:tc>
          <w:tcPr>
            <w:tcW w:type="dxa" w:w="2835"/>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Russian source locators</w:t>
            </w:r>
          </w:p>
        </w:tc>
        <w:tc>
          <w:tcPr>
            <w:tcW w:type="dxa" w:w="2154"/>
            <w:tcMar>
              <w:top w:w="90" w:type="dxa"/>
              <w:start w:w="110" w:type="dxa"/>
              <w:bottom w:w="90" w:type="dxa"/>
              <w:end w:w="110" w:type="dxa"/>
            </w:tcMar>
            <w:vAlign w:val="center"/>
            <w:shd w:fill="F4F7FA"/>
          </w:tcPr>
          <w:p>
            <w:pPr>
              <w:jc w:val="left"/>
            </w:pPr>
            <w:r>
              <w:rPr>
                <w:rFonts w:ascii="DejaVu Serif" w:hAnsi="DejaVu Serif" w:eastAsia="DejaVu Serif"/>
                <w:b w:val="0"/>
                <w:i w:val="0"/>
                <w:sz w:val="15"/>
              </w:rPr>
              <w:t>preserved</w:t>
            </w:r>
          </w:p>
        </w:tc>
        <w:tc>
          <w:tcPr>
            <w:tcW w:type="dxa" w:w="2154"/>
            <w:tcMar>
              <w:top w:w="90" w:type="dxa"/>
              <w:start w:w="110" w:type="dxa"/>
              <w:bottom w:w="90" w:type="dxa"/>
              <w:end w:w="110" w:type="dxa"/>
            </w:tcMar>
            <w:vAlign w:val="center"/>
            <w:shd w:fill="F4F7FA"/>
          </w:tcPr>
          <w:p>
            <w:pPr>
              <w:jc w:val="left"/>
            </w:pPr>
            <w:r>
              <w:rPr>
                <w:rFonts w:ascii="DejaVu Serif" w:hAnsi="DejaVu Serif" w:eastAsia="DejaVu Serif"/>
                <w:b w:val="0"/>
                <w:i w:val="0"/>
                <w:sz w:val="15"/>
              </w:rPr>
              <w:t>preserved</w:t>
            </w:r>
          </w:p>
        </w:tc>
        <w:tc>
          <w:tcPr>
            <w:tcW w:type="dxa" w:w="2041"/>
            <w:tcMar>
              <w:top w:w="90" w:type="dxa"/>
              <w:start w:w="110" w:type="dxa"/>
              <w:bottom w:w="90" w:type="dxa"/>
              <w:end w:w="110" w:type="dxa"/>
            </w:tcMar>
            <w:vAlign w:val="center"/>
            <w:shd w:fill="F4F7FA"/>
          </w:tcPr>
          <w:p>
            <w:pPr>
              <w:jc w:val="left"/>
            </w:pPr>
            <w:r>
              <w:rPr>
                <w:rFonts w:ascii="DejaVu Serif" w:hAnsi="DejaVu Serif" w:eastAsia="DejaVu Serif"/>
                <w:b w:val="0"/>
                <w:i w:val="0"/>
                <w:sz w:val="15"/>
              </w:rPr>
              <w:t>PASS</w:t>
            </w:r>
          </w:p>
        </w:tc>
      </w:tr>
      <w:tr>
        <w:tc>
          <w:tcPr>
            <w:tcW w:type="dxa" w:w="2835"/>
            <w:tcMar>
              <w:top w:w="90" w:type="dxa"/>
              <w:start w:w="110" w:type="dxa"/>
              <w:bottom w:w="90" w:type="dxa"/>
              <w:end w:w="110" w:type="dxa"/>
            </w:tcMar>
            <w:vAlign w:val="center"/>
          </w:tcPr>
          <w:p>
            <w:pPr>
              <w:jc w:val="center"/>
            </w:pPr>
            <w:r>
              <w:rPr>
                <w:rFonts w:ascii="DejaVu Serif" w:hAnsi="DejaVu Serif" w:eastAsia="DejaVu Serif"/>
                <w:b w:val="0"/>
                <w:i w:val="0"/>
                <w:sz w:val="15"/>
              </w:rPr>
              <w:t>Evidence-status promotion</w:t>
            </w:r>
          </w:p>
        </w:tc>
        <w:tc>
          <w:tcPr>
            <w:tcW w:type="dxa" w:w="2154"/>
            <w:tcMar>
              <w:top w:w="90" w:type="dxa"/>
              <w:start w:w="110" w:type="dxa"/>
              <w:bottom w:w="90" w:type="dxa"/>
              <w:end w:w="110" w:type="dxa"/>
            </w:tcMar>
            <w:vAlign w:val="center"/>
          </w:tcPr>
          <w:p>
            <w:pPr>
              <w:jc w:val="left"/>
            </w:pPr>
            <w:r>
              <w:rPr>
                <w:rFonts w:ascii="DejaVu Serif" w:hAnsi="DejaVu Serif" w:eastAsia="DejaVu Serif"/>
                <w:b w:val="0"/>
                <w:i w:val="0"/>
                <w:sz w:val="15"/>
              </w:rPr>
              <w:t>0</w:t>
            </w:r>
          </w:p>
        </w:tc>
        <w:tc>
          <w:tcPr>
            <w:tcW w:type="dxa" w:w="2154"/>
            <w:tcMar>
              <w:top w:w="90" w:type="dxa"/>
              <w:start w:w="110" w:type="dxa"/>
              <w:bottom w:w="90" w:type="dxa"/>
              <w:end w:w="110" w:type="dxa"/>
            </w:tcMar>
            <w:vAlign w:val="center"/>
          </w:tcPr>
          <w:p>
            <w:pPr>
              <w:jc w:val="left"/>
            </w:pPr>
            <w:r>
              <w:rPr>
                <w:rFonts w:ascii="DejaVu Serif" w:hAnsi="DejaVu Serif" w:eastAsia="DejaVu Serif"/>
                <w:b w:val="0"/>
                <w:i w:val="0"/>
                <w:sz w:val="15"/>
              </w:rPr>
              <w:t>0</w:t>
            </w:r>
          </w:p>
        </w:tc>
        <w:tc>
          <w:tcPr>
            <w:tcW w:type="dxa" w:w="2041"/>
            <w:tcMar>
              <w:top w:w="90" w:type="dxa"/>
              <w:start w:w="110" w:type="dxa"/>
              <w:bottom w:w="90" w:type="dxa"/>
              <w:end w:w="110" w:type="dxa"/>
            </w:tcMar>
            <w:vAlign w:val="center"/>
          </w:tcPr>
          <w:p>
            <w:pPr>
              <w:jc w:val="left"/>
            </w:pPr>
            <w:r>
              <w:rPr>
                <w:rFonts w:ascii="DejaVu Serif" w:hAnsi="DejaVu Serif" w:eastAsia="DejaVu Serif"/>
                <w:b w:val="0"/>
                <w:i w:val="0"/>
                <w:sz w:val="15"/>
              </w:rPr>
              <w:t>PASS</w:t>
            </w:r>
          </w:p>
        </w:tc>
      </w:tr>
      <w:tr>
        <w:tc>
          <w:tcPr>
            <w:tcW w:type="dxa" w:w="2835"/>
            <w:tcMar>
              <w:top w:w="90" w:type="dxa"/>
              <w:start w:w="110" w:type="dxa"/>
              <w:bottom w:w="90" w:type="dxa"/>
              <w:end w:w="110" w:type="dxa"/>
            </w:tcMar>
            <w:vAlign w:val="center"/>
            <w:shd w:fill="F4F7FA"/>
          </w:tcPr>
          <w:p>
            <w:pPr>
              <w:jc w:val="center"/>
            </w:pPr>
            <w:r>
              <w:rPr>
                <w:rFonts w:ascii="DejaVu Serif" w:hAnsi="DejaVu Serif" w:eastAsia="DejaVu Serif"/>
                <w:b w:val="0"/>
                <w:i w:val="0"/>
                <w:sz w:val="15"/>
              </w:rPr>
              <w:t>Independent EXT-RUN</w:t>
            </w:r>
          </w:p>
        </w:tc>
        <w:tc>
          <w:tcPr>
            <w:tcW w:type="dxa" w:w="2154"/>
            <w:tcMar>
              <w:top w:w="90" w:type="dxa"/>
              <w:start w:w="110" w:type="dxa"/>
              <w:bottom w:w="90" w:type="dxa"/>
              <w:end w:w="110" w:type="dxa"/>
            </w:tcMar>
            <w:vAlign w:val="center"/>
            <w:shd w:fill="F4F7FA"/>
          </w:tcPr>
          <w:p>
            <w:pPr>
              <w:jc w:val="left"/>
            </w:pPr>
            <w:r>
              <w:rPr>
                <w:rFonts w:ascii="DejaVu Serif" w:hAnsi="DejaVu Serif" w:eastAsia="DejaVu Serif"/>
                <w:b w:val="0"/>
                <w:i w:val="0"/>
                <w:sz w:val="15"/>
              </w:rPr>
              <w:t>not executed</w:t>
            </w:r>
          </w:p>
        </w:tc>
        <w:tc>
          <w:tcPr>
            <w:tcW w:type="dxa" w:w="2154"/>
            <w:tcMar>
              <w:top w:w="90" w:type="dxa"/>
              <w:start w:w="110" w:type="dxa"/>
              <w:bottom w:w="90" w:type="dxa"/>
              <w:end w:w="110" w:type="dxa"/>
            </w:tcMar>
            <w:vAlign w:val="center"/>
            <w:shd w:fill="F4F7FA"/>
          </w:tcPr>
          <w:p>
            <w:pPr>
              <w:jc w:val="left"/>
            </w:pPr>
            <w:r>
              <w:rPr>
                <w:rFonts w:ascii="DejaVu Serif" w:hAnsi="DejaVu Serif" w:eastAsia="DejaVu Serif"/>
                <w:b w:val="0"/>
                <w:i w:val="0"/>
                <w:sz w:val="15"/>
              </w:rPr>
              <w:t>not executed</w:t>
            </w:r>
          </w:p>
        </w:tc>
        <w:tc>
          <w:tcPr>
            <w:tcW w:type="dxa" w:w="2041"/>
            <w:tcMar>
              <w:top w:w="90" w:type="dxa"/>
              <w:start w:w="110" w:type="dxa"/>
              <w:bottom w:w="90" w:type="dxa"/>
              <w:end w:w="110" w:type="dxa"/>
            </w:tcMar>
            <w:vAlign w:val="center"/>
            <w:shd w:fill="F4F7FA"/>
          </w:tcPr>
          <w:p>
            <w:pPr>
              <w:jc w:val="left"/>
            </w:pPr>
            <w:r>
              <w:rPr>
                <w:rFonts w:ascii="DejaVu Serif" w:hAnsi="DejaVu Serif" w:eastAsia="DejaVu Serif"/>
                <w:b w:val="0"/>
                <w:i w:val="0"/>
                <w:sz w:val="15"/>
              </w:rPr>
              <w:t>OPEN / NON-VETO FOR ASSEMBLY</w:t>
            </w:r>
          </w:p>
        </w:tc>
      </w:tr>
    </w:tbl>
    <w:p>
      <w:pPr>
        <w:spacing w:after="40"/>
      </w:pPr>
    </w:p>
    <w:p>
      <w:pPr>
        <w:spacing w:before="80" w:after="100"/>
        <w:jc w:val="center"/>
      </w:pPr>
      <w:r>
        <w:rPr>
          <w:rFonts w:ascii="DejaVu Serif" w:hAnsi="DejaVu Serif" w:eastAsia="DejaVu Serif"/>
          <w:b w:val="0"/>
          <w:i w:val="0"/>
          <w:sz w:val="21"/>
        </w:rPr>
        <w:t>Status_EN(x) &lt;= Status_RU(x)</w:t>
      </w:r>
    </w:p>
    <w:p>
      <w:pPr>
        <w:spacing w:before="80" w:after="100"/>
        <w:jc w:val="center"/>
      </w:pPr>
      <w:r>
        <w:rPr>
          <w:rFonts w:ascii="DejaVu Serif" w:hAnsi="DejaVu Serif" w:eastAsia="DejaVu Serif"/>
          <w:b w:val="0"/>
          <w:i w:val="0"/>
          <w:sz w:val="21"/>
        </w:rPr>
        <w:t>Formula_EN(x) = Formula_RU(x); ID_EN(x) = ID_RU(x)</w:t>
      </w:r>
    </w:p>
    <w:p>
      <w:pPr>
        <w:spacing w:before="80" w:after="100"/>
        <w:jc w:val="center"/>
      </w:pPr>
      <w:r>
        <w:rPr>
          <w:rFonts w:ascii="DejaVu Serif" w:hAnsi="DejaVu Serif" w:eastAsia="DejaVu Serif"/>
          <w:b w:val="0"/>
          <w:i w:val="0"/>
          <w:sz w:val="21"/>
        </w:rPr>
        <w:t>NUM != EXT-RUN != EMP-OBS</w:t>
      </w:r>
    </w:p>
    <w:p>
      <w:pPr>
        <w:pStyle w:val="Heading2"/>
        <w:keepNext/>
      </w:pPr>
      <w:r>
        <w:t>7. Assembly Change Set and Obligations</w:t>
      </w:r>
    </w:p>
    <w:tbl>
      <w:tblPr>
        <w:tblStyle w:val="TableGrid"/>
        <w:tblW w:type="auto" w:w="0"/>
        <w:jc w:val="center"/>
        <w:tblLook w:firstColumn="1" w:firstRow="1" w:lastColumn="0" w:lastRow="0" w:noHBand="0" w:noVBand="1" w:val="04A0"/>
      </w:tblPr>
      <w:tblGrid>
        <w:gridCol w:w="3357"/>
        <w:gridCol w:w="3357"/>
        <w:gridCol w:w="3357"/>
      </w:tblGrid>
      <w:tr>
        <w:trPr>
          <w:tblHeader w:val="true"/>
        </w:trPr>
        <w:tc>
          <w:tcPr>
            <w:tcW w:type="dxa" w:w="1701"/>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ID</w:t>
            </w:r>
          </w:p>
        </w:tc>
        <w:tc>
          <w:tcPr>
            <w:tcW w:type="dxa" w:w="5499"/>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Obligation</w:t>
            </w:r>
          </w:p>
        </w:tc>
        <w:tc>
          <w:tcPr>
            <w:tcW w:type="dxa" w:w="1984"/>
            <w:shd w:fill="173B63"/>
            <w:tcMar>
              <w:top w:w="90" w:type="dxa"/>
              <w:start w:w="110" w:type="dxa"/>
              <w:bottom w:w="90" w:type="dxa"/>
              <w:end w:w="110" w:type="dxa"/>
            </w:tcMar>
            <w:vAlign w:val="center"/>
          </w:tcPr>
          <w:p>
            <w:pPr>
              <w:jc w:val="center"/>
            </w:pPr>
            <w:r>
              <w:rPr>
                <w:rFonts w:ascii="DejaVu Sans" w:hAnsi="DejaVu Sans" w:eastAsia="DejaVu Sans"/>
                <w:b/>
                <w:i w:val="0"/>
                <w:color w:val="FFFFFF"/>
                <w:sz w:val="16"/>
              </w:rPr>
              <w:t>Status</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6"/>
              </w:rPr>
              <w:t>T1-EN-PO-018</w:t>
            </w:r>
          </w:p>
        </w:tc>
        <w:tc>
          <w:tcPr>
            <w:tcW w:type="dxa" w:w="5499"/>
            <w:tcMar>
              <w:top w:w="90" w:type="dxa"/>
              <w:start w:w="110" w:type="dxa"/>
              <w:bottom w:w="90" w:type="dxa"/>
              <w:end w:w="110" w:type="dxa"/>
            </w:tcMar>
            <w:vAlign w:val="center"/>
          </w:tcPr>
          <w:p>
            <w:pPr>
              <w:jc w:val="left"/>
            </w:pPr>
            <w:r>
              <w:rPr>
                <w:rFonts w:ascii="DejaVu Serif" w:hAnsi="DejaVu Serif" w:eastAsia="DejaVu Serif"/>
                <w:b w:val="0"/>
                <w:i w:val="0"/>
                <w:sz w:val="16"/>
              </w:rPr>
              <w:t>Unified master, verified static TOC, RU-to-EN page map, and internal links</w:t>
            </w:r>
          </w:p>
        </w:tc>
        <w:tc>
          <w:tcPr>
            <w:tcW w:type="dxa" w:w="1984"/>
            <w:tcMar>
              <w:top w:w="90" w:type="dxa"/>
              <w:start w:w="110" w:type="dxa"/>
              <w:bottom w:w="90" w:type="dxa"/>
              <w:end w:w="110" w:type="dxa"/>
            </w:tcMar>
            <w:vAlign w:val="center"/>
          </w:tcPr>
          <w:p>
            <w:pPr>
              <w:jc w:val="left"/>
            </w:pPr>
            <w:r>
              <w:rPr>
                <w:rFonts w:ascii="DejaVu Serif" w:hAnsi="DejaVu Serif" w:eastAsia="DejaVu Serif"/>
                <w:b w:val="0"/>
                <w:i w:val="0"/>
                <w:sz w:val="16"/>
              </w:rPr>
              <w:t>CLOSED-DOC</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T1-EN-PO-019</w:t>
            </w:r>
          </w:p>
        </w:tc>
        <w:tc>
          <w:tcPr>
            <w:tcW w:type="dxa" w:w="5499"/>
            <w:tcMar>
              <w:top w:w="90" w:type="dxa"/>
              <w:start w:w="110" w:type="dxa"/>
              <w:bottom w:w="90" w:type="dxa"/>
              <w:end w:w="110" w:type="dxa"/>
            </w:tcMar>
            <w:vAlign w:val="center"/>
            <w:shd w:fill="F4F7FA"/>
          </w:tcPr>
          <w:p>
            <w:pPr>
              <w:jc w:val="left"/>
            </w:pPr>
            <w:r>
              <w:rPr>
                <w:rFonts w:ascii="DejaVu Serif" w:hAnsi="DejaVu Serif" w:eastAsia="DejaVu Serif"/>
                <w:b w:val="0"/>
                <w:i w:val="0"/>
                <w:sz w:val="16"/>
              </w:rPr>
              <w:t>Figure index, chapter-level table inventory, and source-card ledger</w:t>
            </w:r>
          </w:p>
        </w:tc>
        <w:tc>
          <w:tcPr>
            <w:tcW w:type="dxa" w:w="1984"/>
            <w:tcMar>
              <w:top w:w="90" w:type="dxa"/>
              <w:start w:w="110" w:type="dxa"/>
              <w:bottom w:w="90" w:type="dxa"/>
              <w:end w:w="110" w:type="dxa"/>
            </w:tcMar>
            <w:vAlign w:val="center"/>
            <w:shd w:fill="F4F7FA"/>
          </w:tcPr>
          <w:p>
            <w:pPr>
              <w:jc w:val="left"/>
            </w:pPr>
            <w:r>
              <w:rPr>
                <w:rFonts w:ascii="DejaVu Serif" w:hAnsi="DejaVu Serif" w:eastAsia="DejaVu Serif"/>
                <w:b w:val="0"/>
                <w:i w:val="0"/>
                <w:sz w:val="16"/>
              </w:rPr>
              <w:t>CLOSED-DOC</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6"/>
              </w:rPr>
              <w:t>T1-EN-PO-020</w:t>
            </w:r>
          </w:p>
        </w:tc>
        <w:tc>
          <w:tcPr>
            <w:tcW w:type="dxa" w:w="5499"/>
            <w:tcMar>
              <w:top w:w="90" w:type="dxa"/>
              <w:start w:w="110" w:type="dxa"/>
              <w:bottom w:w="90" w:type="dxa"/>
              <w:end w:w="110" w:type="dxa"/>
            </w:tcMar>
            <w:vAlign w:val="center"/>
          </w:tcPr>
          <w:p>
            <w:pPr>
              <w:jc w:val="left"/>
            </w:pPr>
            <w:r>
              <w:rPr>
                <w:rFonts w:ascii="DejaVu Serif" w:hAnsi="DejaVu Serif" w:eastAsia="DejaVu Serif"/>
                <w:b w:val="0"/>
                <w:i w:val="0"/>
                <w:sz w:val="16"/>
              </w:rPr>
              <w:t>Global structural and cross-reference audit</w:t>
            </w:r>
          </w:p>
        </w:tc>
        <w:tc>
          <w:tcPr>
            <w:tcW w:type="dxa" w:w="1984"/>
            <w:tcMar>
              <w:top w:w="90" w:type="dxa"/>
              <w:start w:w="110" w:type="dxa"/>
              <w:bottom w:w="90" w:type="dxa"/>
              <w:end w:w="110" w:type="dxa"/>
            </w:tcMar>
            <w:vAlign w:val="center"/>
          </w:tcPr>
          <w:p>
            <w:pPr>
              <w:jc w:val="left"/>
            </w:pPr>
            <w:r>
              <w:rPr>
                <w:rFonts w:ascii="DejaVu Serif" w:hAnsi="DejaVu Serif" w:eastAsia="DejaVu Serif"/>
                <w:b w:val="0"/>
                <w:i w:val="0"/>
                <w:sz w:val="16"/>
              </w:rPr>
              <w:t>CLOSED-QA</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T1-EN-PO-021</w:t>
            </w:r>
          </w:p>
        </w:tc>
        <w:tc>
          <w:tcPr>
            <w:tcW w:type="dxa" w:w="5499"/>
            <w:tcMar>
              <w:top w:w="90" w:type="dxa"/>
              <w:start w:w="110" w:type="dxa"/>
              <w:bottom w:w="90" w:type="dxa"/>
              <w:end w:w="110" w:type="dxa"/>
            </w:tcMar>
            <w:vAlign w:val="center"/>
            <w:shd w:fill="F4F7FA"/>
          </w:tcPr>
          <w:p>
            <w:pPr>
              <w:jc w:val="left"/>
            </w:pPr>
            <w:r>
              <w:rPr>
                <w:rFonts w:ascii="DejaVu Serif" w:hAnsi="DejaVu Serif" w:eastAsia="DejaVu Serif"/>
                <w:b w:val="0"/>
                <w:i w:val="0"/>
                <w:sz w:val="16"/>
              </w:rPr>
              <w:t>Independent bilingual formula and theorem-status audit</w:t>
            </w:r>
          </w:p>
        </w:tc>
        <w:tc>
          <w:tcPr>
            <w:tcW w:type="dxa" w:w="1984"/>
            <w:tcMar>
              <w:top w:w="90" w:type="dxa"/>
              <w:start w:w="110" w:type="dxa"/>
              <w:bottom w:w="90" w:type="dxa"/>
              <w:end w:w="110" w:type="dxa"/>
            </w:tcMar>
            <w:vAlign w:val="center"/>
            <w:shd w:fill="F4F7FA"/>
          </w:tcPr>
          <w:p>
            <w:pPr>
              <w:jc w:val="left"/>
            </w:pPr>
            <w:r>
              <w:rPr>
                <w:rFonts w:ascii="DejaVu Serif" w:hAnsi="DejaVu Serif" w:eastAsia="DejaVu Serif"/>
                <w:b w:val="0"/>
                <w:i w:val="0"/>
                <w:sz w:val="16"/>
              </w:rPr>
              <w:t>NEXT / OPEN</w:t>
            </w:r>
          </w:p>
        </w:tc>
      </w:tr>
      <w:tr>
        <w:tc>
          <w:tcPr>
            <w:tcW w:type="dxa" w:w="1701"/>
            <w:tcMar>
              <w:top w:w="90" w:type="dxa"/>
              <w:start w:w="110" w:type="dxa"/>
              <w:bottom w:w="90" w:type="dxa"/>
              <w:end w:w="110" w:type="dxa"/>
            </w:tcMar>
            <w:vAlign w:val="center"/>
          </w:tcPr>
          <w:p>
            <w:pPr>
              <w:jc w:val="center"/>
            </w:pPr>
            <w:r>
              <w:rPr>
                <w:rFonts w:ascii="DejaVu Serif" w:hAnsi="DejaVu Serif" w:eastAsia="DejaVu Serif"/>
                <w:b w:val="0"/>
                <w:i w:val="0"/>
                <w:sz w:val="16"/>
              </w:rPr>
              <w:t>T1-EN-PO-022</w:t>
            </w:r>
          </w:p>
        </w:tc>
        <w:tc>
          <w:tcPr>
            <w:tcW w:type="dxa" w:w="5499"/>
            <w:tcMar>
              <w:top w:w="90" w:type="dxa"/>
              <w:start w:w="110" w:type="dxa"/>
              <w:bottom w:w="90" w:type="dxa"/>
              <w:end w:w="110" w:type="dxa"/>
            </w:tcMar>
            <w:vAlign w:val="center"/>
          </w:tcPr>
          <w:p>
            <w:pPr>
              <w:jc w:val="left"/>
            </w:pPr>
            <w:r>
              <w:rPr>
                <w:rFonts w:ascii="DejaVu Serif" w:hAnsi="DejaVu Serif" w:eastAsia="DejaVu Serif"/>
                <w:b w:val="0"/>
                <w:i w:val="0"/>
                <w:sz w:val="16"/>
              </w:rPr>
              <w:t>Freeze-candidate controlled diff and detached receipt</w:t>
            </w:r>
          </w:p>
        </w:tc>
        <w:tc>
          <w:tcPr>
            <w:tcW w:type="dxa" w:w="1984"/>
            <w:tcMar>
              <w:top w:w="90" w:type="dxa"/>
              <w:start w:w="110" w:type="dxa"/>
              <w:bottom w:w="90" w:type="dxa"/>
              <w:end w:w="110" w:type="dxa"/>
            </w:tcMar>
            <w:vAlign w:val="center"/>
          </w:tcPr>
          <w:p>
            <w:pPr>
              <w:jc w:val="left"/>
            </w:pPr>
            <w:r>
              <w:rPr>
                <w:rFonts w:ascii="DejaVu Serif" w:hAnsi="DejaVu Serif" w:eastAsia="DejaVu Serif"/>
                <w:b w:val="0"/>
                <w:i w:val="0"/>
                <w:sz w:val="16"/>
              </w:rPr>
              <w:t>FUTURE</w:t>
            </w:r>
          </w:p>
        </w:tc>
      </w:tr>
      <w:tr>
        <w:tc>
          <w:tcPr>
            <w:tcW w:type="dxa" w:w="1701"/>
            <w:tcMar>
              <w:top w:w="90" w:type="dxa"/>
              <w:start w:w="110" w:type="dxa"/>
              <w:bottom w:w="90" w:type="dxa"/>
              <w:end w:w="110" w:type="dxa"/>
            </w:tcMar>
            <w:vAlign w:val="center"/>
            <w:shd w:fill="F4F7FA"/>
          </w:tcPr>
          <w:p>
            <w:pPr>
              <w:jc w:val="center"/>
            </w:pPr>
            <w:r>
              <w:rPr>
                <w:rFonts w:ascii="DejaVu Serif" w:hAnsi="DejaVu Serif" w:eastAsia="DejaVu Serif"/>
                <w:b w:val="0"/>
                <w:i w:val="0"/>
                <w:sz w:val="16"/>
              </w:rPr>
              <w:t>T1-EN-PO-023</w:t>
            </w:r>
          </w:p>
        </w:tc>
        <w:tc>
          <w:tcPr>
            <w:tcW w:type="dxa" w:w="5499"/>
            <w:tcMar>
              <w:top w:w="90" w:type="dxa"/>
              <w:start w:w="110" w:type="dxa"/>
              <w:bottom w:w="90" w:type="dxa"/>
              <w:end w:w="110" w:type="dxa"/>
            </w:tcMar>
            <w:vAlign w:val="center"/>
            <w:shd w:fill="F4F7FA"/>
          </w:tcPr>
          <w:p>
            <w:pPr>
              <w:jc w:val="left"/>
            </w:pPr>
            <w:r>
              <w:rPr>
                <w:rFonts w:ascii="DejaVu Serif" w:hAnsi="DejaVu Serif" w:eastAsia="DejaVu Serif"/>
                <w:b w:val="0"/>
                <w:i w:val="0"/>
                <w:sz w:val="16"/>
              </w:rPr>
              <w:t>Immutable English release</w:t>
            </w:r>
          </w:p>
        </w:tc>
        <w:tc>
          <w:tcPr>
            <w:tcW w:type="dxa" w:w="1984"/>
            <w:tcMar>
              <w:top w:w="90" w:type="dxa"/>
              <w:start w:w="110" w:type="dxa"/>
              <w:bottom w:w="90" w:type="dxa"/>
              <w:end w:w="110" w:type="dxa"/>
            </w:tcMar>
            <w:vAlign w:val="center"/>
            <w:shd w:fill="F4F7FA"/>
          </w:tcPr>
          <w:p>
            <w:pPr>
              <w:jc w:val="left"/>
            </w:pPr>
            <w:r>
              <w:rPr>
                <w:rFonts w:ascii="DejaVu Serif" w:hAnsi="DejaVu Serif" w:eastAsia="DejaVu Serif"/>
                <w:b w:val="0"/>
                <w:i w:val="0"/>
                <w:sz w:val="16"/>
              </w:rPr>
              <w:t>FUTURE</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ASSEMBLY VERDICT. </w:t>
            </w:r>
            <w:r>
              <w:rPr>
                <w:rFonts w:ascii="DejaVu Serif" w:hAnsi="DejaVu Serif" w:eastAsia="DejaVu Serif"/>
                <w:b w:val="0"/>
                <w:i w:val="0"/>
                <w:sz w:val="18"/>
              </w:rPr>
              <w:t>CONTROLLED ENGLISH UNIFIED MASTER COMPLETE. Static and updateable navigation installed; chapter and appendix parity preserved; formula IDs continuous; source and object ledgers assembled; independent bilingual mathematical audit remains open; truth_layer_promotion=0.</w:t>
            </w:r>
          </w:p>
        </w:tc>
      </w:tr>
    </w:tbl>
    <w:p>
      <w:pPr>
        <w:spacing w:after="40"/>
      </w:pPr>
    </w:p>
    <w:tbl>
      <w:tblPr>
        <w:tblStyle w:val="TableGrid"/>
        <w:tblW w:type="auto" w:w="0"/>
        <w:jc w:val="center"/>
        <w:tblLook w:firstColumn="1" w:firstRow="1" w:lastColumn="0" w:lastRow="0" w:noHBand="0" w:noVBand="1" w:val="04A0"/>
      </w:tblPr>
      <w:tblGrid>
        <w:gridCol w:w="10070"/>
      </w:tblGrid>
      <w:tr>
        <w:tc>
          <w:tcPr>
            <w:tcW w:type="dxa" w:w="10070"/>
            <w:shd w:fill="EAF5EF"/>
            <w:tcMar>
              <w:top w:w="120" w:type="dxa"/>
              <w:start w:w="140" w:type="dxa"/>
              <w:bottom w:w="120" w:type="dxa"/>
              <w:end w:w="140" w:type="dxa"/>
            </w:tcMar>
          </w:tcPr>
          <w:p>
            <w:r>
              <w:rPr>
                <w:rFonts w:ascii="DejaVu Sans" w:hAnsi="DejaVu Sans" w:eastAsia="DejaVu Sans"/>
                <w:b/>
                <w:i w:val="0"/>
                <w:color w:val="2E6B4F"/>
                <w:sz w:val="18"/>
              </w:rPr>
              <w:t xml:space="preserve">NEXT CHECKPOINT. </w:t>
            </w:r>
            <w:r>
              <w:rPr>
                <w:rFonts w:ascii="DejaVu Serif" w:hAnsi="DejaVu Serif" w:eastAsia="DejaVu Serif"/>
                <w:b w:val="0"/>
                <w:i w:val="0"/>
                <w:sz w:val="18"/>
              </w:rPr>
              <w:t>T1-EN-AUDIT-v0.11: bilingual formula-by-formula comparison, theorem/definition/status parity, source-card verification, untranslated-fragment scan, and controlled cross-format diff. No freeze decision is made at v0.10.</w:t>
            </w:r>
          </w:p>
        </w:tc>
      </w:tr>
    </w:tbl>
    <w:p>
      <w:pPr>
        <w:spacing w:after="40"/>
      </w:pPr>
    </w:p>
    <w:p>
      <w:r>
        <w:br w:type="page"/>
      </w:r>
    </w:p>
    <w:p>
      <w:pPr>
        <w:pStyle w:val="Heading1"/>
      </w:pPr>
      <w:r>
        <w:t>T1-EN-AUDIT-v0.11</w:t>
      </w:r>
    </w:p>
    <w:p>
      <w:pPr>
        <w:jc w:val="center"/>
      </w:pPr>
      <w:r>
        <w:rPr>
          <w:b/>
          <w:color w:val="17345F"/>
          <w:sz w:val="22"/>
        </w:rPr>
        <w:t>BILINGUAL MATHEMATICAL, FORMULA, STATUS, AND SOURCE AUDIT</w:t>
      </w:r>
    </w:p>
    <w:tbl>
      <w:tblPr>
        <w:tblStyle w:val="TableGrid"/>
        <w:tblW w:type="auto" w:w="0"/>
        <w:jc w:val="center"/>
        <w:tblLook w:firstColumn="1" w:firstRow="1" w:lastColumn="0" w:lastRow="0" w:noHBand="0" w:noVBand="1" w:val="04A0"/>
      </w:tblPr>
      <w:tblGrid>
        <w:gridCol w:w="10070"/>
      </w:tblGrid>
      <w:tr>
        <w:tc>
          <w:tcPr>
            <w:tcW w:type="dxa" w:w="10070"/>
            <w:shd w:fill="EAF2EA"/>
            <w:tcMar>
              <w:top w:w="140" w:type="dxa"/>
              <w:start w:w="160" w:type="dxa"/>
              <w:bottom w:w="140" w:type="dxa"/>
              <w:end w:w="160" w:type="dxa"/>
            </w:tcMar>
          </w:tcPr>
          <w:p>
            <w:pPr>
              <w:jc w:val="left"/>
            </w:pPr>
            <w:r>
              <w:rPr>
                <w:rFonts w:ascii="DejaVu Serif" w:hAnsi="DejaVu Serif"/>
                <w:b/>
                <w:color w:val="1E5B36"/>
                <w:sz w:val="18"/>
              </w:rPr>
              <w:t>AUDIT VERDICT. AUTHORIAL BILINGUAL AUDIT PASSED. The English master is eligible to proceed to T1-EN-FC-v0.12. This verdict does not claim an externally signed independent audit and does not change any Russian theorem, formula, physical hypothesis, or empirical status.</w:t>
            </w:r>
          </w:p>
        </w:tc>
      </w:tr>
    </w:tbl>
    <w:p>
      <w:pPr>
        <w:pStyle w:val="Heading1"/>
      </w:pPr>
      <w:r>
        <w:t>Appendix H. Bilingual Mathematical and Evidence-Status Audit</w:t>
      </w:r>
    </w:p>
    <w:p>
      <w:pPr>
        <w:spacing w:after="100" w:line="269" w:lineRule="auto"/>
      </w:pPr>
      <w:r>
        <w:rPr>
          <w:i w:val="0"/>
        </w:rPr>
        <w:t>This appendix records the audit of the controlled English derivative against the frozen Russian authority tom1_v197_ru.pdf. The audit used two separate routes: structural extraction from the English DOCX and formula/status extraction from the Russian searchable PDF. The verifier was separated from the document-building step, but it was not an external institution or an independently signed reviewer.</w:t>
      </w:r>
    </w:p>
    <w:p>
      <w:pPr>
        <w:pStyle w:val="Heading2"/>
      </w:pPr>
      <w:r>
        <w:t>H.1. Authority, Scope, and Method</w:t>
      </w:r>
    </w:p>
    <w:p>
      <w:pPr>
        <w:spacing w:before="100" w:after="100"/>
        <w:jc w:val="center"/>
      </w:pPr>
      <w:r>
        <w:rPr>
          <w:rFonts w:ascii="DejaVu Serif" w:hAnsi="DejaVu Serif"/>
          <w:i/>
          <w:sz w:val="21"/>
        </w:rPr>
        <w:t>Authority(T1-RU v197) &gt; Authority(T1-EN v0.11)</w:t>
      </w:r>
    </w:p>
    <w:p>
      <w:pPr>
        <w:spacing w:before="100" w:after="100"/>
        <w:jc w:val="center"/>
      </w:pPr>
      <w:r>
        <w:rPr>
          <w:rFonts w:ascii="DejaVu Serif" w:hAnsi="DejaVu Serif"/>
          <w:i/>
          <w:sz w:val="21"/>
        </w:rPr>
        <w:t>Status_EN(x) ≤ Status_RU(x),   truth_layer_promotion = 0</w:t>
      </w:r>
    </w:p>
    <w:p>
      <w:pPr>
        <w:spacing w:after="100" w:line="269" w:lineRule="auto"/>
      </w:pPr>
      <w:r>
        <w:rPr>
          <w:i w:val="0"/>
        </w:rPr>
        <w:t>The audit covered: 52 chapter headings; Appendices A-G; 86 formula identifiers; Russian source-page locators; theorem, proposition, lemma, definition, model, numerical, physical-hypothesis, empirical-plan, refuted, open, and abstention status labels; negative statements and counterexamples; source-card hashes; and the boundary between bilingual reference material and untranslated scientific prose.</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c>
          <w:tcPr>
            <w:tcW w:type="dxa" w:w="1701"/>
            <w:vAlign w:val="center"/>
            <w:tcMar>
              <w:top w:w="90" w:type="dxa"/>
              <w:start w:w="100" w:type="dxa"/>
              <w:bottom w:w="90" w:type="dxa"/>
              <w:end w:w="100" w:type="dxa"/>
            </w:tcMar>
            <w:shd w:fill="E8EEF7"/>
          </w:tcPr>
          <w:p>
            <w:pPr>
              <w:spacing w:after="0" w:before="0" w:line="252" w:lineRule="auto"/>
              <w:jc w:val="center"/>
            </w:pPr>
            <w:r>
              <w:rPr>
                <w:rFonts w:ascii="DejaVu Serif" w:hAnsi="DejaVu Serif"/>
                <w:b/>
                <w:color w:val="17345F"/>
                <w:sz w:val="16"/>
              </w:rPr>
              <w:t>Audit layer</w:t>
            </w:r>
          </w:p>
        </w:tc>
        <w:tc>
          <w:tcPr>
            <w:tcW w:type="dxa" w:w="2551"/>
            <w:vAlign w:val="center"/>
            <w:tcMar>
              <w:top w:w="90" w:type="dxa"/>
              <w:start w:w="100" w:type="dxa"/>
              <w:bottom w:w="90" w:type="dxa"/>
              <w:end w:w="100" w:type="dxa"/>
            </w:tcMar>
            <w:shd w:fill="E8EEF7"/>
          </w:tcPr>
          <w:p>
            <w:pPr>
              <w:spacing w:after="0" w:before="0" w:line="252" w:lineRule="auto"/>
            </w:pPr>
            <w:r>
              <w:rPr>
                <w:rFonts w:ascii="DejaVu Serif" w:hAnsi="DejaVu Serif"/>
                <w:b/>
                <w:color w:val="17345F"/>
                <w:sz w:val="16"/>
              </w:rPr>
              <w:t>Method</w:t>
            </w:r>
          </w:p>
        </w:tc>
        <w:tc>
          <w:tcPr>
            <w:tcW w:type="dxa" w:w="3231"/>
            <w:vAlign w:val="center"/>
            <w:tcMar>
              <w:top w:w="90" w:type="dxa"/>
              <w:start w:w="100" w:type="dxa"/>
              <w:bottom w:w="90" w:type="dxa"/>
              <w:end w:w="100" w:type="dxa"/>
            </w:tcMar>
            <w:shd w:fill="E8EEF7"/>
          </w:tcPr>
          <w:p>
            <w:pPr>
              <w:spacing w:after="0" w:before="0" w:line="252" w:lineRule="auto"/>
            </w:pPr>
            <w:r>
              <w:rPr>
                <w:rFonts w:ascii="DejaVu Serif" w:hAnsi="DejaVu Serif"/>
                <w:b/>
                <w:color w:val="17345F"/>
                <w:sz w:val="16"/>
              </w:rPr>
              <w:t>Coverage</w:t>
            </w:r>
          </w:p>
        </w:tc>
        <w:tc>
          <w:tcPr>
            <w:tcW w:type="dxa" w:w="1701"/>
            <w:vAlign w:val="center"/>
            <w:tcMar>
              <w:top w:w="90" w:type="dxa"/>
              <w:start w:w="100" w:type="dxa"/>
              <w:bottom w:w="90" w:type="dxa"/>
              <w:end w:w="100" w:type="dxa"/>
            </w:tcMar>
            <w:shd w:fill="E8EEF7"/>
          </w:tcPr>
          <w:p>
            <w:pPr>
              <w:spacing w:after="0" w:before="0" w:line="252" w:lineRule="auto"/>
            </w:pPr>
            <w:r>
              <w:rPr>
                <w:rFonts w:ascii="DejaVu Serif" w:hAnsi="DejaVu Serif"/>
                <w:b/>
                <w:color w:val="17345F"/>
                <w:sz w:val="16"/>
              </w:rPr>
              <w:t>Verdict</w:t>
            </w:r>
          </w:p>
        </w:tc>
      </w:tr>
      <w:tr>
        <w:tc>
          <w:tcPr>
            <w:tcW w:type="dxa" w:w="1701"/>
            <w:vAlign w:val="center"/>
            <w:tcMar>
              <w:top w:w="90" w:type="dxa"/>
              <w:start w:w="100" w:type="dxa"/>
              <w:bottom w:w="90" w:type="dxa"/>
              <w:end w:w="100" w:type="dxa"/>
            </w:tcMar>
          </w:tcPr>
          <w:p>
            <w:pPr>
              <w:spacing w:after="0" w:before="0" w:line="252" w:lineRule="auto"/>
              <w:jc w:val="center"/>
            </w:pPr>
            <w:r>
              <w:rPr>
                <w:rFonts w:ascii="DejaVu Serif" w:hAnsi="DejaVu Serif"/>
                <w:sz w:val="16"/>
              </w:rPr>
              <w:t>Structure</w:t>
            </w:r>
          </w:p>
        </w:tc>
        <w:tc>
          <w:tcPr>
            <w:tcW w:type="dxa" w:w="2551"/>
            <w:vAlign w:val="center"/>
            <w:tcMar>
              <w:top w:w="90" w:type="dxa"/>
              <w:start w:w="100" w:type="dxa"/>
              <w:bottom w:w="90" w:type="dxa"/>
              <w:end w:w="100" w:type="dxa"/>
            </w:tcMar>
          </w:tcPr>
          <w:p>
            <w:pPr>
              <w:spacing w:after="0" w:before="0" w:line="252" w:lineRule="auto"/>
            </w:pPr>
            <w:r>
              <w:rPr>
                <w:rFonts w:ascii="DejaVu Serif" w:hAnsi="DejaVu Serif"/>
                <w:sz w:val="16"/>
              </w:rPr>
              <w:t>DOCX heading/table extraction</w:t>
            </w:r>
          </w:p>
        </w:tc>
        <w:tc>
          <w:tcPr>
            <w:tcW w:type="dxa" w:w="3231"/>
            <w:vAlign w:val="center"/>
            <w:tcMar>
              <w:top w:w="90" w:type="dxa"/>
              <w:start w:w="100" w:type="dxa"/>
              <w:bottom w:w="90" w:type="dxa"/>
              <w:end w:w="100" w:type="dxa"/>
            </w:tcMar>
          </w:tcPr>
          <w:p>
            <w:pPr>
              <w:spacing w:after="0" w:before="0" w:line="252" w:lineRule="auto"/>
            </w:pPr>
            <w:r>
              <w:rPr>
                <w:rFonts w:ascii="DejaVu Serif" w:hAnsi="DejaVu Serif"/>
                <w:sz w:val="16"/>
              </w:rPr>
              <w:t>52 chapters; A-G; maps and bookmarks</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PASS</w:t>
            </w:r>
          </w:p>
        </w:tc>
      </w:tr>
      <w:tr>
        <w:tc>
          <w:tcPr>
            <w:tcW w:type="dxa" w:w="1701"/>
            <w:vAlign w:val="center"/>
            <w:tcMar>
              <w:top w:w="90" w:type="dxa"/>
              <w:start w:w="100" w:type="dxa"/>
              <w:bottom w:w="90" w:type="dxa"/>
              <w:end w:w="100" w:type="dxa"/>
            </w:tcMar>
          </w:tcPr>
          <w:p>
            <w:pPr>
              <w:spacing w:after="0" w:before="0" w:line="252" w:lineRule="auto"/>
              <w:jc w:val="center"/>
            </w:pPr>
            <w:r>
              <w:rPr>
                <w:rFonts w:ascii="DejaVu Serif" w:hAnsi="DejaVu Serif"/>
                <w:sz w:val="16"/>
              </w:rPr>
              <w:t>Formula registry</w:t>
            </w:r>
          </w:p>
        </w:tc>
        <w:tc>
          <w:tcPr>
            <w:tcW w:type="dxa" w:w="2551"/>
            <w:vAlign w:val="center"/>
            <w:tcMar>
              <w:top w:w="90" w:type="dxa"/>
              <w:start w:w="100" w:type="dxa"/>
              <w:bottom w:w="90" w:type="dxa"/>
              <w:end w:w="100" w:type="dxa"/>
            </w:tcMar>
          </w:tcPr>
          <w:p>
            <w:pPr>
              <w:spacing w:after="0" w:before="0" w:line="252" w:lineRule="auto"/>
            </w:pPr>
            <w:r>
              <w:rPr>
                <w:rFonts w:ascii="DejaVu Serif" w:hAnsi="DejaVu Serif"/>
                <w:sz w:val="16"/>
              </w:rPr>
              <w:t>RU PDF first-occurrence extraction + EN Appendix F comparison</w:t>
            </w:r>
          </w:p>
        </w:tc>
        <w:tc>
          <w:tcPr>
            <w:tcW w:type="dxa" w:w="3231"/>
            <w:vAlign w:val="center"/>
            <w:tcMar>
              <w:top w:w="90" w:type="dxa"/>
              <w:start w:w="100" w:type="dxa"/>
              <w:bottom w:w="90" w:type="dxa"/>
              <w:end w:w="100" w:type="dxa"/>
            </w:tcMar>
          </w:tcPr>
          <w:p>
            <w:pPr>
              <w:spacing w:after="0" w:before="0" w:line="252" w:lineRule="auto"/>
            </w:pPr>
            <w:r>
              <w:rPr>
                <w:rFonts w:ascii="DejaVu Serif" w:hAnsi="DejaVu Serif"/>
                <w:sz w:val="16"/>
              </w:rPr>
              <w:t>F001-F086</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PASS AFTER 8 CORRECTIONS</w:t>
            </w:r>
          </w:p>
        </w:tc>
      </w:tr>
      <w:tr>
        <w:tc>
          <w:tcPr>
            <w:tcW w:type="dxa" w:w="1701"/>
            <w:vAlign w:val="center"/>
            <w:tcMar>
              <w:top w:w="90" w:type="dxa"/>
              <w:start w:w="100" w:type="dxa"/>
              <w:bottom w:w="90" w:type="dxa"/>
              <w:end w:w="100" w:type="dxa"/>
            </w:tcMar>
          </w:tcPr>
          <w:p>
            <w:pPr>
              <w:spacing w:after="0" w:before="0" w:line="252" w:lineRule="auto"/>
              <w:jc w:val="center"/>
            </w:pPr>
            <w:r>
              <w:rPr>
                <w:rFonts w:ascii="DejaVu Serif" w:hAnsi="DejaVu Serif"/>
                <w:sz w:val="16"/>
              </w:rPr>
              <w:t>Status firewall</w:t>
            </w:r>
          </w:p>
        </w:tc>
        <w:tc>
          <w:tcPr>
            <w:tcW w:type="dxa" w:w="2551"/>
            <w:vAlign w:val="center"/>
            <w:tcMar>
              <w:top w:w="90" w:type="dxa"/>
              <w:start w:w="100" w:type="dxa"/>
              <w:bottom w:w="90" w:type="dxa"/>
              <w:end w:w="100" w:type="dxa"/>
            </w:tcMar>
          </w:tcPr>
          <w:p>
            <w:pPr>
              <w:spacing w:after="0" w:before="0" w:line="252" w:lineRule="auto"/>
            </w:pPr>
            <w:r>
              <w:rPr>
                <w:rFonts w:ascii="DejaVu Serif" w:hAnsi="DejaVu Serif"/>
                <w:sz w:val="16"/>
              </w:rPr>
              <w:t>Token and context audit</w:t>
            </w:r>
          </w:p>
        </w:tc>
        <w:tc>
          <w:tcPr>
            <w:tcW w:type="dxa" w:w="3231"/>
            <w:vAlign w:val="center"/>
            <w:tcMar>
              <w:top w:w="90" w:type="dxa"/>
              <w:start w:w="100" w:type="dxa"/>
              <w:bottom w:w="90" w:type="dxa"/>
              <w:end w:w="100" w:type="dxa"/>
            </w:tcMar>
          </w:tcPr>
          <w:p>
            <w:pPr>
              <w:spacing w:after="0" w:before="0" w:line="252" w:lineRule="auto"/>
            </w:pPr>
            <w:r>
              <w:rPr>
                <w:rFonts w:ascii="DejaVu Serif" w:hAnsi="DejaVu Serif"/>
                <w:sz w:val="16"/>
              </w:rPr>
              <w:t>THM/COND/MODEL/NUM/PHY-HYP/EMP-PLAN/EMP-OBS/OPEN/REFUTED/ABSTAIN</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PASS</w:t>
            </w:r>
          </w:p>
        </w:tc>
      </w:tr>
      <w:tr>
        <w:tc>
          <w:tcPr>
            <w:tcW w:type="dxa" w:w="1701"/>
            <w:vAlign w:val="center"/>
            <w:tcMar>
              <w:top w:w="90" w:type="dxa"/>
              <w:start w:w="100" w:type="dxa"/>
              <w:bottom w:w="90" w:type="dxa"/>
              <w:end w:w="100" w:type="dxa"/>
            </w:tcMar>
          </w:tcPr>
          <w:p>
            <w:pPr>
              <w:spacing w:after="0" w:before="0" w:line="252" w:lineRule="auto"/>
              <w:jc w:val="center"/>
            </w:pPr>
            <w:r>
              <w:rPr>
                <w:rFonts w:ascii="DejaVu Serif" w:hAnsi="DejaVu Serif"/>
                <w:sz w:val="16"/>
              </w:rPr>
              <w:t>Language boundary</w:t>
            </w:r>
          </w:p>
        </w:tc>
        <w:tc>
          <w:tcPr>
            <w:tcW w:type="dxa" w:w="2551"/>
            <w:vAlign w:val="center"/>
            <w:tcMar>
              <w:top w:w="90" w:type="dxa"/>
              <w:start w:w="100" w:type="dxa"/>
              <w:bottom w:w="90" w:type="dxa"/>
              <w:end w:w="100" w:type="dxa"/>
            </w:tcMar>
          </w:tcPr>
          <w:p>
            <w:pPr>
              <w:spacing w:after="0" w:before="0" w:line="252" w:lineRule="auto"/>
            </w:pPr>
            <w:r>
              <w:rPr>
                <w:rFonts w:ascii="DejaVu Serif" w:hAnsi="DejaVu Serif"/>
                <w:sz w:val="16"/>
              </w:rPr>
              <w:t>Cyrillic scan with allowed bilingual tables</w:t>
            </w:r>
          </w:p>
        </w:tc>
        <w:tc>
          <w:tcPr>
            <w:tcW w:type="dxa" w:w="3231"/>
            <w:vAlign w:val="center"/>
            <w:tcMar>
              <w:top w:w="90" w:type="dxa"/>
              <w:start w:w="100" w:type="dxa"/>
              <w:bottom w:w="90" w:type="dxa"/>
              <w:end w:w="100" w:type="dxa"/>
            </w:tcMar>
          </w:tcPr>
          <w:p>
            <w:pPr>
              <w:spacing w:after="0" w:before="0" w:line="252" w:lineRule="auto"/>
            </w:pPr>
            <w:r>
              <w:rPr>
                <w:rFonts w:ascii="DejaVu Serif" w:hAnsi="DejaVu Serif"/>
                <w:sz w:val="16"/>
              </w:rPr>
              <w:t>scientific prose and captions</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PASS</w:t>
            </w:r>
          </w:p>
        </w:tc>
      </w:tr>
      <w:tr>
        <w:tc>
          <w:tcPr>
            <w:tcW w:type="dxa" w:w="1701"/>
            <w:vAlign w:val="center"/>
            <w:tcMar>
              <w:top w:w="90" w:type="dxa"/>
              <w:start w:w="100" w:type="dxa"/>
              <w:bottom w:w="90" w:type="dxa"/>
              <w:end w:w="100" w:type="dxa"/>
            </w:tcMar>
          </w:tcPr>
          <w:p>
            <w:pPr>
              <w:spacing w:after="0" w:before="0" w:line="252" w:lineRule="auto"/>
              <w:jc w:val="center"/>
            </w:pPr>
            <w:r>
              <w:rPr>
                <w:rFonts w:ascii="DejaVu Serif" w:hAnsi="DejaVu Serif"/>
                <w:sz w:val="16"/>
              </w:rPr>
              <w:t>Sources</w:t>
            </w:r>
          </w:p>
        </w:tc>
        <w:tc>
          <w:tcPr>
            <w:tcW w:type="dxa" w:w="2551"/>
            <w:vAlign w:val="center"/>
            <w:tcMar>
              <w:top w:w="90" w:type="dxa"/>
              <w:start w:w="100" w:type="dxa"/>
              <w:bottom w:w="90" w:type="dxa"/>
              <w:end w:w="100" w:type="dxa"/>
            </w:tcMar>
          </w:tcPr>
          <w:p>
            <w:pPr>
              <w:spacing w:after="0" w:before="0" w:line="252" w:lineRule="auto"/>
            </w:pPr>
            <w:r>
              <w:rPr>
                <w:rFonts w:ascii="DejaVu Serif" w:hAnsi="DejaVu Serif"/>
                <w:sz w:val="16"/>
              </w:rPr>
              <w:t>hash-format and provenance-role audit</w:t>
            </w:r>
          </w:p>
        </w:tc>
        <w:tc>
          <w:tcPr>
            <w:tcW w:type="dxa" w:w="3231"/>
            <w:vAlign w:val="center"/>
            <w:tcMar>
              <w:top w:w="90" w:type="dxa"/>
              <w:start w:w="100" w:type="dxa"/>
              <w:bottom w:w="90" w:type="dxa"/>
              <w:end w:w="100" w:type="dxa"/>
            </w:tcMar>
          </w:tcPr>
          <w:p>
            <w:pPr>
              <w:spacing w:after="0" w:before="0" w:line="252" w:lineRule="auto"/>
            </w:pPr>
            <w:r>
              <w:rPr>
                <w:rFonts w:ascii="DejaVu Serif" w:hAnsi="DejaVu Serif"/>
                <w:sz w:val="16"/>
              </w:rPr>
              <w:t>16 source/artifact entries</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PASS</w:t>
            </w:r>
          </w:p>
        </w:tc>
      </w:tr>
      <w:tr>
        <w:tc>
          <w:tcPr>
            <w:tcW w:type="dxa" w:w="1701"/>
            <w:vAlign w:val="center"/>
            <w:tcMar>
              <w:top w:w="90" w:type="dxa"/>
              <w:start w:w="100" w:type="dxa"/>
              <w:bottom w:w="90" w:type="dxa"/>
              <w:end w:w="100" w:type="dxa"/>
            </w:tcMar>
          </w:tcPr>
          <w:p>
            <w:pPr>
              <w:spacing w:after="0" w:before="0" w:line="252" w:lineRule="auto"/>
              <w:jc w:val="center"/>
            </w:pPr>
            <w:r>
              <w:rPr>
                <w:rFonts w:ascii="DejaVu Serif" w:hAnsi="DejaVu Serif"/>
                <w:sz w:val="16"/>
              </w:rPr>
              <w:t>External independence</w:t>
            </w:r>
          </w:p>
        </w:tc>
        <w:tc>
          <w:tcPr>
            <w:tcW w:type="dxa" w:w="2551"/>
            <w:vAlign w:val="center"/>
            <w:tcMar>
              <w:top w:w="90" w:type="dxa"/>
              <w:start w:w="100" w:type="dxa"/>
              <w:bottom w:w="90" w:type="dxa"/>
              <w:end w:w="100" w:type="dxa"/>
            </w:tcMar>
          </w:tcPr>
          <w:p>
            <w:pPr>
              <w:spacing w:after="0" w:before="0" w:line="252" w:lineRule="auto"/>
            </w:pPr>
            <w:r>
              <w:rPr>
                <w:rFonts w:ascii="DejaVu Serif" w:hAnsi="DejaVu Serif"/>
                <w:sz w:val="16"/>
              </w:rPr>
              <w:t>signature/identity/receipt check</w:t>
            </w:r>
          </w:p>
        </w:tc>
        <w:tc>
          <w:tcPr>
            <w:tcW w:type="dxa" w:w="3231"/>
            <w:vAlign w:val="center"/>
            <w:tcMar>
              <w:top w:w="90" w:type="dxa"/>
              <w:start w:w="100" w:type="dxa"/>
              <w:bottom w:w="90" w:type="dxa"/>
              <w:end w:w="100" w:type="dxa"/>
            </w:tcMar>
          </w:tcPr>
          <w:p>
            <w:pPr>
              <w:spacing w:after="0" w:before="0" w:line="252" w:lineRule="auto"/>
            </w:pPr>
            <w:r>
              <w:rPr>
                <w:rFonts w:ascii="DejaVu Serif" w:hAnsi="DejaVu Serif"/>
                <w:sz w:val="16"/>
              </w:rPr>
              <w:t>external bilingual reviewer</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OPEN NON-VETO</w:t>
            </w:r>
          </w:p>
        </w:tc>
      </w:tr>
    </w:tbl>
    <w:p>
      <w:pPr>
        <w:pStyle w:val="Heading2"/>
      </w:pPr>
      <w:r>
        <w:t>H.2. Formula Parity F001-F086</w:t>
      </w:r>
    </w:p>
    <w:p>
      <w:pPr>
        <w:spacing w:after="100" w:line="269" w:lineRule="auto"/>
      </w:pPr>
      <w:r>
        <w:rPr>
          <w:i w:val="0"/>
        </w:rPr>
        <w:t>All 86 identifiers occur exactly once in the normative Appendix F registry and remain tied to their Russian first-page locators. The audit distinguishes mathematical parity from typographic identity: ASCII aliases may be readable, but parity-critical omissions, domain changes, or altered target objects are not permitted.</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c>
          <w:tcPr>
            <w:tcW w:type="dxa" w:w="624"/>
            <w:vAlign w:val="center"/>
            <w:tcMar>
              <w:top w:w="90" w:type="dxa"/>
              <w:start w:w="100" w:type="dxa"/>
              <w:bottom w:w="90" w:type="dxa"/>
              <w:end w:w="100" w:type="dxa"/>
            </w:tcMar>
            <w:shd w:fill="E8EEF7"/>
          </w:tcPr>
          <w:p>
            <w:pPr>
              <w:spacing w:after="0" w:before="0" w:line="252" w:lineRule="auto"/>
              <w:jc w:val="center"/>
            </w:pPr>
            <w:r>
              <w:rPr>
                <w:rFonts w:ascii="DejaVu Serif" w:hAnsi="DejaVu Serif"/>
                <w:b/>
                <w:color w:val="17345F"/>
                <w:sz w:val="15"/>
              </w:rPr>
              <w:t>ID</w:t>
            </w:r>
          </w:p>
        </w:tc>
        <w:tc>
          <w:tcPr>
            <w:tcW w:type="dxa" w:w="2721"/>
            <w:vAlign w:val="center"/>
            <w:tcMar>
              <w:top w:w="90" w:type="dxa"/>
              <w:start w:w="100" w:type="dxa"/>
              <w:bottom w:w="90" w:type="dxa"/>
              <w:end w:w="100" w:type="dxa"/>
            </w:tcMar>
            <w:shd w:fill="E8EEF7"/>
          </w:tcPr>
          <w:p>
            <w:pPr>
              <w:spacing w:after="0" w:before="0" w:line="252" w:lineRule="auto"/>
            </w:pPr>
            <w:r>
              <w:rPr>
                <w:rFonts w:ascii="DejaVu Serif" w:hAnsi="DejaVu Serif"/>
                <w:b/>
                <w:color w:val="17345F"/>
                <w:sz w:val="15"/>
              </w:rPr>
              <w:t>v0.10 registry form</w:t>
            </w:r>
          </w:p>
        </w:tc>
        <w:tc>
          <w:tcPr>
            <w:tcW w:type="dxa" w:w="2835"/>
            <w:vAlign w:val="center"/>
            <w:tcMar>
              <w:top w:w="90" w:type="dxa"/>
              <w:start w:w="100" w:type="dxa"/>
              <w:bottom w:w="90" w:type="dxa"/>
              <w:end w:w="100" w:type="dxa"/>
            </w:tcMar>
            <w:shd w:fill="E8EEF7"/>
          </w:tcPr>
          <w:p>
            <w:pPr>
              <w:spacing w:after="0" w:before="0" w:line="252" w:lineRule="auto"/>
            </w:pPr>
            <w:r>
              <w:rPr>
                <w:rFonts w:ascii="DejaVu Serif" w:hAnsi="DejaVu Serif"/>
                <w:b/>
                <w:color w:val="17345F"/>
                <w:sz w:val="15"/>
              </w:rPr>
              <w:t>v0.11 audited form</w:t>
            </w:r>
          </w:p>
        </w:tc>
        <w:tc>
          <w:tcPr>
            <w:tcW w:type="dxa" w:w="2835"/>
            <w:vAlign w:val="center"/>
            <w:tcMar>
              <w:top w:w="90" w:type="dxa"/>
              <w:start w:w="100" w:type="dxa"/>
              <w:bottom w:w="90" w:type="dxa"/>
              <w:end w:w="100" w:type="dxa"/>
            </w:tcMar>
            <w:shd w:fill="E8EEF7"/>
          </w:tcPr>
          <w:p>
            <w:pPr>
              <w:spacing w:after="0" w:before="0" w:line="252" w:lineRule="auto"/>
            </w:pPr>
            <w:r>
              <w:rPr>
                <w:rFonts w:ascii="DejaVu Serif" w:hAnsi="DejaVu Serif"/>
                <w:b/>
                <w:color w:val="17345F"/>
                <w:sz w:val="15"/>
              </w:rPr>
              <w:t>Reason</w:t>
            </w:r>
          </w:p>
        </w:tc>
      </w:tr>
      <w:tr>
        <w:tc>
          <w:tcPr>
            <w:tcW w:type="dxa" w:w="624"/>
            <w:vAlign w:val="center"/>
            <w:tcMar>
              <w:top w:w="90" w:type="dxa"/>
              <w:start w:w="100" w:type="dxa"/>
              <w:bottom w:w="90" w:type="dxa"/>
              <w:end w:w="100" w:type="dxa"/>
            </w:tcMar>
          </w:tcPr>
          <w:p>
            <w:pPr>
              <w:spacing w:after="0" w:before="0" w:line="252" w:lineRule="auto"/>
              <w:jc w:val="center"/>
            </w:pPr>
            <w:r>
              <w:rPr>
                <w:rFonts w:ascii="DejaVu Serif" w:hAnsi="DejaVu Serif"/>
                <w:sz w:val="15"/>
              </w:rPr>
              <w:t>F021</w:t>
            </w:r>
          </w:p>
        </w:tc>
        <w:tc>
          <w:tcPr>
            <w:tcW w:type="dxa" w:w="2721"/>
            <w:vAlign w:val="center"/>
            <w:tcMar>
              <w:top w:w="90" w:type="dxa"/>
              <w:start w:w="100" w:type="dxa"/>
              <w:bottom w:w="90" w:type="dxa"/>
              <w:end w:w="100" w:type="dxa"/>
            </w:tcMar>
          </w:tcPr>
          <w:p>
            <w:pPr>
              <w:spacing w:after="0" w:before="0" w:line="252" w:lineRule="auto"/>
            </w:pPr>
            <w:r>
              <w:rPr>
                <w:rFonts w:ascii="DejaVu Serif" w:hAnsi="DejaVu Serif"/>
                <w:sz w:val="15"/>
              </w:rPr>
              <w:t>gate_L(r)=meet_{j=1}^5 l_j(r); l_j in {0,1,Block}</w:t>
            </w:r>
          </w:p>
        </w:tc>
        <w:tc>
          <w:tcPr>
            <w:tcW w:type="dxa" w:w="2835"/>
            <w:vAlign w:val="center"/>
            <w:tcMar>
              <w:top w:w="90" w:type="dxa"/>
              <w:start w:w="100" w:type="dxa"/>
              <w:bottom w:w="90" w:type="dxa"/>
              <w:end w:w="100" w:type="dxa"/>
            </w:tcMar>
          </w:tcPr>
          <w:p>
            <w:pPr>
              <w:spacing w:after="0" w:before="0" w:line="252" w:lineRule="auto"/>
            </w:pPr>
            <w:r>
              <w:rPr>
                <w:rFonts w:ascii="DejaVu Serif" w:hAnsi="DejaVu Serif"/>
                <w:sz w:val="15"/>
              </w:rPr>
              <w:t>gate_L(r)=∧_{j=1}^5 ℓ_j(r)</w:t>
            </w:r>
          </w:p>
        </w:tc>
        <w:tc>
          <w:tcPr>
            <w:tcW w:type="dxa" w:w="2835"/>
            <w:vAlign w:val="center"/>
            <w:tcMar>
              <w:top w:w="90" w:type="dxa"/>
              <w:start w:w="100" w:type="dxa"/>
              <w:bottom w:w="90" w:type="dxa"/>
              <w:end w:w="100" w:type="dxa"/>
            </w:tcMar>
          </w:tcPr>
          <w:p>
            <w:pPr>
              <w:spacing w:after="0" w:before="0" w:line="252" w:lineRule="auto"/>
            </w:pPr>
            <w:r>
              <w:rPr>
                <w:rFonts w:ascii="DejaVu Serif" w:hAnsi="DejaVu Serif"/>
                <w:sz w:val="15"/>
              </w:rPr>
              <w:t>Removed an explanatory codomain clause from the formula cell; restored the canonical meet formula.</w:t>
            </w:r>
          </w:p>
        </w:tc>
      </w:tr>
      <w:tr>
        <w:tc>
          <w:tcPr>
            <w:tcW w:type="dxa" w:w="624"/>
            <w:vAlign w:val="center"/>
            <w:tcMar>
              <w:top w:w="90" w:type="dxa"/>
              <w:start w:w="100" w:type="dxa"/>
              <w:bottom w:w="90" w:type="dxa"/>
              <w:end w:w="100" w:type="dxa"/>
            </w:tcMar>
          </w:tcPr>
          <w:p>
            <w:pPr>
              <w:spacing w:after="0" w:before="0" w:line="252" w:lineRule="auto"/>
              <w:jc w:val="center"/>
            </w:pPr>
            <w:r>
              <w:rPr>
                <w:rFonts w:ascii="DejaVu Serif" w:hAnsi="DejaVu Serif"/>
                <w:sz w:val="15"/>
              </w:rPr>
              <w:t>F042</w:t>
            </w:r>
          </w:p>
        </w:tc>
        <w:tc>
          <w:tcPr>
            <w:tcW w:type="dxa" w:w="2721"/>
            <w:vAlign w:val="center"/>
            <w:tcMar>
              <w:top w:w="90" w:type="dxa"/>
              <w:start w:w="100" w:type="dxa"/>
              <w:bottom w:w="90" w:type="dxa"/>
              <w:end w:w="100" w:type="dxa"/>
            </w:tcMar>
          </w:tcPr>
          <w:p>
            <w:pPr>
              <w:spacing w:after="0" w:before="0" w:line="252" w:lineRule="auto"/>
            </w:pPr>
            <w:r>
              <w:rPr>
                <w:rFonts w:ascii="DejaVu Serif" w:hAnsi="DejaVu Serif"/>
                <w:sz w:val="15"/>
              </w:rPr>
              <w:t>P_(i,ABSTAIN)=1-sum_j P_ij</w:t>
            </w:r>
          </w:p>
        </w:tc>
        <w:tc>
          <w:tcPr>
            <w:tcW w:type="dxa" w:w="2835"/>
            <w:vAlign w:val="center"/>
            <w:tcMar>
              <w:top w:w="90" w:type="dxa"/>
              <w:start w:w="100" w:type="dxa"/>
              <w:bottom w:w="90" w:type="dxa"/>
              <w:end w:w="100" w:type="dxa"/>
            </w:tcMar>
          </w:tcPr>
          <w:p>
            <w:pPr>
              <w:spacing w:after="0" w:before="0" w:line="252" w:lineRule="auto"/>
            </w:pPr>
            <w:r>
              <w:rPr>
                <w:rFonts w:ascii="DejaVu Serif" w:hAnsi="DejaVu Serif"/>
                <w:sz w:val="15"/>
              </w:rPr>
              <w:t>P_{i,⊥}=1−Σ_j P_{ij}</w:t>
            </w:r>
          </w:p>
        </w:tc>
        <w:tc>
          <w:tcPr>
            <w:tcW w:type="dxa" w:w="2835"/>
            <w:vAlign w:val="center"/>
            <w:tcMar>
              <w:top w:w="90" w:type="dxa"/>
              <w:start w:w="100" w:type="dxa"/>
              <w:bottom w:w="90" w:type="dxa"/>
              <w:end w:w="100" w:type="dxa"/>
            </w:tcMar>
          </w:tcPr>
          <w:p>
            <w:pPr>
              <w:spacing w:after="0" w:before="0" w:line="252" w:lineRule="auto"/>
            </w:pPr>
            <w:r>
              <w:rPr>
                <w:rFonts w:ascii="DejaVu Serif" w:hAnsi="DejaVu Serif"/>
                <w:sz w:val="15"/>
              </w:rPr>
              <w:t>Restored the canonical bottom-state symbol ⊥ instead of silently identifying it with a prose label.</w:t>
            </w:r>
          </w:p>
        </w:tc>
      </w:tr>
      <w:tr>
        <w:tc>
          <w:tcPr>
            <w:tcW w:type="dxa" w:w="624"/>
            <w:vAlign w:val="center"/>
            <w:tcMar>
              <w:top w:w="90" w:type="dxa"/>
              <w:start w:w="100" w:type="dxa"/>
              <w:bottom w:w="90" w:type="dxa"/>
              <w:end w:w="100" w:type="dxa"/>
            </w:tcMar>
          </w:tcPr>
          <w:p>
            <w:pPr>
              <w:spacing w:after="0" w:before="0" w:line="252" w:lineRule="auto"/>
              <w:jc w:val="center"/>
            </w:pPr>
            <w:r>
              <w:rPr>
                <w:rFonts w:ascii="DejaVu Serif" w:hAnsi="DejaVu Serif"/>
                <w:sz w:val="15"/>
              </w:rPr>
              <w:t>F063</w:t>
            </w:r>
          </w:p>
        </w:tc>
        <w:tc>
          <w:tcPr>
            <w:tcW w:type="dxa" w:w="2721"/>
            <w:vAlign w:val="center"/>
            <w:tcMar>
              <w:top w:w="90" w:type="dxa"/>
              <w:start w:w="100" w:type="dxa"/>
              <w:bottom w:w="90" w:type="dxa"/>
              <w:end w:w="100" w:type="dxa"/>
            </w:tcMar>
          </w:tcPr>
          <w:p>
            <w:pPr>
              <w:spacing w:after="0" w:before="0" w:line="252" w:lineRule="auto"/>
            </w:pPr>
            <w:r>
              <w:rPr>
                <w:rFonts w:ascii="DejaVu Serif" w:hAnsi="DejaVu Serif"/>
                <w:sz w:val="15"/>
              </w:rPr>
              <w:t>X alone does not determine (size(X),dim(X)) without D_X and a type contract</w:t>
            </w:r>
          </w:p>
        </w:tc>
        <w:tc>
          <w:tcPr>
            <w:tcW w:type="dxa" w:w="2835"/>
            <w:vAlign w:val="center"/>
            <w:tcMar>
              <w:top w:w="90" w:type="dxa"/>
              <w:start w:w="100" w:type="dxa"/>
              <w:bottom w:w="90" w:type="dxa"/>
              <w:end w:w="100" w:type="dxa"/>
            </w:tcMar>
          </w:tcPr>
          <w:p>
            <w:pPr>
              <w:spacing w:after="0" w:before="0" w:line="252" w:lineRule="auto"/>
            </w:pPr>
            <w:r>
              <w:rPr>
                <w:rFonts w:ascii="DejaVu Serif" w:hAnsi="DejaVu Serif"/>
                <w:sz w:val="15"/>
              </w:rPr>
              <w:t>X alone ↛ (size(X),dim(X)) without D_X and a type contract</w:t>
            </w:r>
          </w:p>
        </w:tc>
        <w:tc>
          <w:tcPr>
            <w:tcW w:type="dxa" w:w="2835"/>
            <w:vAlign w:val="center"/>
            <w:tcMar>
              <w:top w:w="90" w:type="dxa"/>
              <w:start w:w="100" w:type="dxa"/>
              <w:bottom w:w="90" w:type="dxa"/>
              <w:end w:w="100" w:type="dxa"/>
            </w:tcMar>
          </w:tcPr>
          <w:p>
            <w:pPr>
              <w:spacing w:after="0" w:before="0" w:line="252" w:lineRule="auto"/>
            </w:pPr>
            <w:r>
              <w:rPr>
                <w:rFonts w:ascii="DejaVu Serif" w:hAnsi="DejaVu Serif"/>
                <w:sz w:val="15"/>
              </w:rPr>
              <w:t>Restored the non-determination arrow ↛.</w:t>
            </w:r>
          </w:p>
        </w:tc>
      </w:tr>
      <w:tr>
        <w:tc>
          <w:tcPr>
            <w:tcW w:type="dxa" w:w="624"/>
            <w:vAlign w:val="center"/>
            <w:tcMar>
              <w:top w:w="90" w:type="dxa"/>
              <w:start w:w="100" w:type="dxa"/>
              <w:bottom w:w="90" w:type="dxa"/>
              <w:end w:w="100" w:type="dxa"/>
            </w:tcMar>
          </w:tcPr>
          <w:p>
            <w:pPr>
              <w:spacing w:after="0" w:before="0" w:line="252" w:lineRule="auto"/>
              <w:jc w:val="center"/>
            </w:pPr>
            <w:r>
              <w:rPr>
                <w:rFonts w:ascii="DejaVu Serif" w:hAnsi="DejaVu Serif"/>
                <w:sz w:val="15"/>
              </w:rPr>
              <w:t>F064</w:t>
            </w:r>
          </w:p>
        </w:tc>
        <w:tc>
          <w:tcPr>
            <w:tcW w:type="dxa" w:w="2721"/>
            <w:vAlign w:val="center"/>
            <w:tcMar>
              <w:top w:w="90" w:type="dxa"/>
              <w:start w:w="100" w:type="dxa"/>
              <w:bottom w:w="90" w:type="dxa"/>
              <w:end w:w="100" w:type="dxa"/>
            </w:tcMar>
          </w:tcPr>
          <w:p>
            <w:pPr>
              <w:spacing w:after="0" w:before="0" w:line="252" w:lineRule="auto"/>
            </w:pPr>
            <w:r>
              <w:rPr>
                <w:rFonts w:ascii="DejaVu Serif" w:hAnsi="DejaVu Serif"/>
                <w:sz w:val="15"/>
              </w:rPr>
              <w:t>(R,I,U) does not determine a Reper</w:t>
            </w:r>
          </w:p>
        </w:tc>
        <w:tc>
          <w:tcPr>
            <w:tcW w:type="dxa" w:w="2835"/>
            <w:vAlign w:val="center"/>
            <w:tcMar>
              <w:top w:w="90" w:type="dxa"/>
              <w:start w:w="100" w:type="dxa"/>
              <w:bottom w:w="90" w:type="dxa"/>
              <w:end w:w="100" w:type="dxa"/>
            </w:tcMar>
          </w:tcPr>
          <w:p>
            <w:pPr>
              <w:spacing w:after="0" w:before="0" w:line="252" w:lineRule="auto"/>
            </w:pPr>
            <w:r>
              <w:rPr>
                <w:rFonts w:ascii="DejaVu Serif" w:hAnsi="DejaVu Serif"/>
                <w:sz w:val="15"/>
              </w:rPr>
              <w:t>(R,I,U) ↛ Rep</w:t>
            </w:r>
          </w:p>
        </w:tc>
        <w:tc>
          <w:tcPr>
            <w:tcW w:type="dxa" w:w="2835"/>
            <w:vAlign w:val="center"/>
            <w:tcMar>
              <w:top w:w="90" w:type="dxa"/>
              <w:start w:w="100" w:type="dxa"/>
              <w:bottom w:w="90" w:type="dxa"/>
              <w:end w:w="100" w:type="dxa"/>
            </w:tcMar>
          </w:tcPr>
          <w:p>
            <w:pPr>
              <w:spacing w:after="0" w:before="0" w:line="252" w:lineRule="auto"/>
            </w:pPr>
            <w:r>
              <w:rPr>
                <w:rFonts w:ascii="DejaVu Serif" w:hAnsi="DejaVu Serif"/>
                <w:sz w:val="15"/>
              </w:rPr>
              <w:t>Restored the canonical statement that a triple does not determine a Reper.</w:t>
            </w:r>
          </w:p>
        </w:tc>
      </w:tr>
      <w:tr>
        <w:tc>
          <w:tcPr>
            <w:tcW w:type="dxa" w:w="624"/>
            <w:vAlign w:val="center"/>
            <w:tcMar>
              <w:top w:w="90" w:type="dxa"/>
              <w:start w:w="100" w:type="dxa"/>
              <w:bottom w:w="90" w:type="dxa"/>
              <w:end w:w="100" w:type="dxa"/>
            </w:tcMar>
          </w:tcPr>
          <w:p>
            <w:pPr>
              <w:spacing w:after="0" w:before="0" w:line="252" w:lineRule="auto"/>
              <w:jc w:val="center"/>
            </w:pPr>
            <w:r>
              <w:rPr>
                <w:rFonts w:ascii="DejaVu Serif" w:hAnsi="DejaVu Serif"/>
                <w:sz w:val="15"/>
              </w:rPr>
              <w:t>F077</w:t>
            </w:r>
          </w:p>
        </w:tc>
        <w:tc>
          <w:tcPr>
            <w:tcW w:type="dxa" w:w="2721"/>
            <w:vAlign w:val="center"/>
            <w:tcMar>
              <w:top w:w="90" w:type="dxa"/>
              <w:start w:w="100" w:type="dxa"/>
              <w:bottom w:w="90" w:type="dxa"/>
              <w:end w:w="100" w:type="dxa"/>
            </w:tcMar>
          </w:tcPr>
          <w:p>
            <w:pPr>
              <w:spacing w:after="0" w:before="0" w:line="252" w:lineRule="auto"/>
            </w:pPr>
            <w:r>
              <w:rPr>
                <w:rFonts w:ascii="DejaVu Serif" w:hAnsi="DejaVu Serif"/>
                <w:sz w:val="15"/>
              </w:rPr>
              <w:t>C_min^n(N)=F_N^(2) for n=2; X_N^(2) for n=3; 0 otherwise</w:t>
            </w:r>
          </w:p>
        </w:tc>
        <w:tc>
          <w:tcPr>
            <w:tcW w:type="dxa" w:w="2835"/>
            <w:vAlign w:val="center"/>
            <w:tcMar>
              <w:top w:w="90" w:type="dxa"/>
              <w:start w:w="100" w:type="dxa"/>
              <w:bottom w:w="90" w:type="dxa"/>
              <w:end w:w="100" w:type="dxa"/>
            </w:tcMar>
          </w:tcPr>
          <w:p>
            <w:pPr>
              <w:spacing w:after="0" w:before="0" w:line="252" w:lineRule="auto"/>
            </w:pPr>
            <w:r>
              <w:rPr>
                <w:rFonts w:ascii="DejaVu Serif" w:hAnsi="DejaVu Serif"/>
                <w:sz w:val="15"/>
              </w:rPr>
              <w:t>C_minⁿ(N)=F_N^(2) for n=2; C_minⁿ(N)=X_N^(2) for n=3; C_minⁿ(N)=0 for n≠2,3</w:t>
            </w:r>
          </w:p>
        </w:tc>
        <w:tc>
          <w:tcPr>
            <w:tcW w:type="dxa" w:w="2835"/>
            <w:vAlign w:val="center"/>
            <w:tcMar>
              <w:top w:w="90" w:type="dxa"/>
              <w:start w:w="100" w:type="dxa"/>
              <w:bottom w:w="90" w:type="dxa"/>
              <w:end w:w="100" w:type="dxa"/>
            </w:tcMar>
          </w:tcPr>
          <w:p>
            <w:pPr>
              <w:spacing w:after="0" w:before="0" w:line="252" w:lineRule="auto"/>
            </w:pPr>
            <w:r>
              <w:rPr>
                <w:rFonts w:ascii="DejaVu Serif" w:hAnsi="DejaVu Serif"/>
                <w:sz w:val="15"/>
              </w:rPr>
              <w:t>Made the degree condition n≠2,3 explicit.</w:t>
            </w:r>
          </w:p>
        </w:tc>
      </w:tr>
      <w:tr>
        <w:tc>
          <w:tcPr>
            <w:tcW w:type="dxa" w:w="624"/>
            <w:vAlign w:val="center"/>
            <w:tcMar>
              <w:top w:w="90" w:type="dxa"/>
              <w:start w:w="100" w:type="dxa"/>
              <w:bottom w:w="90" w:type="dxa"/>
              <w:end w:w="100" w:type="dxa"/>
            </w:tcMar>
          </w:tcPr>
          <w:p>
            <w:pPr>
              <w:spacing w:after="0" w:before="0" w:line="252" w:lineRule="auto"/>
              <w:jc w:val="center"/>
            </w:pPr>
            <w:r>
              <w:rPr>
                <w:rFonts w:ascii="DejaVu Serif" w:hAnsi="DejaVu Serif"/>
                <w:sz w:val="15"/>
              </w:rPr>
              <w:t>F080</w:t>
            </w:r>
          </w:p>
        </w:tc>
        <w:tc>
          <w:tcPr>
            <w:tcW w:type="dxa" w:w="2721"/>
            <w:vAlign w:val="center"/>
            <w:tcMar>
              <w:top w:w="90" w:type="dxa"/>
              <w:start w:w="100" w:type="dxa"/>
              <w:bottom w:w="90" w:type="dxa"/>
              <w:end w:w="100" w:type="dxa"/>
            </w:tcMar>
          </w:tcPr>
          <w:p>
            <w:pPr>
              <w:spacing w:after="0" w:before="0" w:line="252" w:lineRule="auto"/>
            </w:pPr>
            <w:r>
              <w:rPr>
                <w:rFonts w:ascii="DejaVu Serif" w:hAnsi="DejaVu Serif"/>
                <w:sz w:val="15"/>
              </w:rPr>
              <w:t>H^3(C_min(N))=X_N^(2)/Im Psi_N^(2)=O_B(N)</w:t>
            </w:r>
          </w:p>
        </w:tc>
        <w:tc>
          <w:tcPr>
            <w:tcW w:type="dxa" w:w="2835"/>
            <w:vAlign w:val="center"/>
            <w:tcMar>
              <w:top w:w="90" w:type="dxa"/>
              <w:start w:w="100" w:type="dxa"/>
              <w:bottom w:w="90" w:type="dxa"/>
              <w:end w:w="100" w:type="dxa"/>
            </w:tcMar>
          </w:tcPr>
          <w:p>
            <w:pPr>
              <w:spacing w:after="0" w:before="0" w:line="252" w:lineRule="auto"/>
            </w:pPr>
            <w:r>
              <w:rPr>
                <w:rFonts w:ascii="DejaVu Serif" w:hAnsi="DejaVu Serif"/>
                <w:sz w:val="15"/>
              </w:rPr>
              <w:t>H³(C_min•(N))=Ker δ_min³/Im δ_min²=X_N^(2)/Im Ψ_N^(2)=O_B(N)</w:t>
            </w:r>
          </w:p>
        </w:tc>
        <w:tc>
          <w:tcPr>
            <w:tcW w:type="dxa" w:w="2835"/>
            <w:vAlign w:val="center"/>
            <w:tcMar>
              <w:top w:w="90" w:type="dxa"/>
              <w:start w:w="100" w:type="dxa"/>
              <w:bottom w:w="90" w:type="dxa"/>
              <w:end w:w="100" w:type="dxa"/>
            </w:tcMar>
          </w:tcPr>
          <w:p>
            <w:pPr>
              <w:spacing w:after="0" w:before="0" w:line="252" w:lineRule="auto"/>
            </w:pPr>
            <w:r>
              <w:rPr>
                <w:rFonts w:ascii="DejaVu Serif" w:hAnsi="DejaVu Serif"/>
                <w:sz w:val="15"/>
              </w:rPr>
              <w:t>Restored the omitted Ker δ³ / Im δ² cohomology quotient.</w:t>
            </w:r>
          </w:p>
        </w:tc>
      </w:tr>
      <w:tr>
        <w:tc>
          <w:tcPr>
            <w:tcW w:type="dxa" w:w="624"/>
            <w:vAlign w:val="center"/>
            <w:tcMar>
              <w:top w:w="90" w:type="dxa"/>
              <w:start w:w="100" w:type="dxa"/>
              <w:bottom w:w="90" w:type="dxa"/>
              <w:end w:w="100" w:type="dxa"/>
            </w:tcMar>
          </w:tcPr>
          <w:p>
            <w:pPr>
              <w:spacing w:after="0" w:before="0" w:line="252" w:lineRule="auto"/>
              <w:jc w:val="center"/>
            </w:pPr>
            <w:r>
              <w:rPr>
                <w:rFonts w:ascii="DejaVu Serif" w:hAnsi="DejaVu Serif"/>
                <w:sz w:val="15"/>
              </w:rPr>
              <w:t>F085</w:t>
            </w:r>
          </w:p>
        </w:tc>
        <w:tc>
          <w:tcPr>
            <w:tcW w:type="dxa" w:w="2721"/>
            <w:vAlign w:val="center"/>
            <w:tcMar>
              <w:top w:w="90" w:type="dxa"/>
              <w:start w:w="100" w:type="dxa"/>
              <w:bottom w:w="90" w:type="dxa"/>
              <w:end w:w="100" w:type="dxa"/>
            </w:tcMar>
          </w:tcPr>
          <w:p>
            <w:pPr>
              <w:spacing w:after="0" w:before="0" w:line="252" w:lineRule="auto"/>
            </w:pPr>
            <w:r>
              <w:rPr>
                <w:rFonts w:ascii="DejaVu Serif" w:hAnsi="DejaVu Serif"/>
                <w:sz w:val="15"/>
              </w:rPr>
              <w:t>H^3(E(f)) o Pi_E,N = Pi_E,Nprime o phi_O</w:t>
            </w:r>
          </w:p>
        </w:tc>
        <w:tc>
          <w:tcPr>
            <w:tcW w:type="dxa" w:w="2835"/>
            <w:vAlign w:val="center"/>
            <w:tcMar>
              <w:top w:w="90" w:type="dxa"/>
              <w:start w:w="100" w:type="dxa"/>
              <w:bottom w:w="90" w:type="dxa"/>
              <w:end w:w="100" w:type="dxa"/>
            </w:tcMar>
          </w:tcPr>
          <w:p>
            <w:pPr>
              <w:spacing w:after="0" w:before="0" w:line="252" w:lineRule="auto"/>
            </w:pPr>
            <w:r>
              <w:rPr>
                <w:rFonts w:ascii="DejaVu Serif" w:hAnsi="DejaVu Serif"/>
                <w:sz w:val="15"/>
              </w:rPr>
              <w:t>H³(E•(f)) ∘ Π_E,N = Π_E,N′ ∘ φ_O</w:t>
            </w:r>
          </w:p>
        </w:tc>
        <w:tc>
          <w:tcPr>
            <w:tcW w:type="dxa" w:w="2835"/>
            <w:vAlign w:val="center"/>
            <w:tcMar>
              <w:top w:w="90" w:type="dxa"/>
              <w:start w:w="100" w:type="dxa"/>
              <w:bottom w:w="90" w:type="dxa"/>
              <w:end w:w="100" w:type="dxa"/>
            </w:tcMar>
          </w:tcPr>
          <w:p>
            <w:pPr>
              <w:spacing w:after="0" w:before="0" w:line="252" w:lineRule="auto"/>
            </w:pPr>
            <w:r>
              <w:rPr>
                <w:rFonts w:ascii="DejaVu Serif" w:hAnsi="DejaVu Serif"/>
                <w:sz w:val="15"/>
              </w:rPr>
              <w:t>Restored the complex marker E• and the naturality notation.</w:t>
            </w:r>
          </w:p>
        </w:tc>
      </w:tr>
      <w:tr>
        <w:tc>
          <w:tcPr>
            <w:tcW w:type="dxa" w:w="624"/>
            <w:vAlign w:val="center"/>
            <w:tcMar>
              <w:top w:w="90" w:type="dxa"/>
              <w:start w:w="100" w:type="dxa"/>
              <w:bottom w:w="90" w:type="dxa"/>
              <w:end w:w="100" w:type="dxa"/>
            </w:tcMar>
          </w:tcPr>
          <w:p>
            <w:pPr>
              <w:spacing w:after="0" w:before="0" w:line="252" w:lineRule="auto"/>
              <w:jc w:val="center"/>
            </w:pPr>
            <w:r>
              <w:rPr>
                <w:rFonts w:ascii="DejaVu Serif" w:hAnsi="DejaVu Serif"/>
                <w:sz w:val="15"/>
              </w:rPr>
              <w:t>F086</w:t>
            </w:r>
          </w:p>
        </w:tc>
        <w:tc>
          <w:tcPr>
            <w:tcW w:type="dxa" w:w="2721"/>
            <w:vAlign w:val="center"/>
            <w:tcMar>
              <w:top w:w="90" w:type="dxa"/>
              <w:start w:w="100" w:type="dxa"/>
              <w:bottom w:w="90" w:type="dxa"/>
              <w:end w:w="100" w:type="dxa"/>
            </w:tcMar>
          </w:tcPr>
          <w:p>
            <w:pPr>
              <w:spacing w:after="0" w:before="0" w:line="252" w:lineRule="auto"/>
            </w:pPr>
            <w:r>
              <w:rPr>
                <w:rFonts w:ascii="DejaVu Serif" w:hAnsi="DejaVu Serif"/>
                <w:sz w:val="15"/>
              </w:rPr>
              <w:t>[Ass]_E := [beta_E,N(x,y,z)] in H^3(E(N))</w:t>
            </w:r>
          </w:p>
        </w:tc>
        <w:tc>
          <w:tcPr>
            <w:tcW w:type="dxa" w:w="2835"/>
            <w:vAlign w:val="center"/>
            <w:tcMar>
              <w:top w:w="90" w:type="dxa"/>
              <w:start w:w="100" w:type="dxa"/>
              <w:bottom w:w="90" w:type="dxa"/>
              <w:end w:w="100" w:type="dxa"/>
            </w:tcMar>
          </w:tcPr>
          <w:p>
            <w:pPr>
              <w:spacing w:after="0" w:before="0" w:line="252" w:lineRule="auto"/>
            </w:pPr>
            <w:r>
              <w:rPr>
                <w:rFonts w:ascii="DejaVu Serif" w:hAnsi="DejaVu Serif"/>
                <w:sz w:val="15"/>
              </w:rPr>
              <w:t>[Ass]_E := [β_E,N(x,y,z)] ∈ H³(E•(N))</w:t>
            </w:r>
          </w:p>
        </w:tc>
        <w:tc>
          <w:tcPr>
            <w:tcW w:type="dxa" w:w="2835"/>
            <w:vAlign w:val="center"/>
            <w:tcMar>
              <w:top w:w="90" w:type="dxa"/>
              <w:start w:w="100" w:type="dxa"/>
              <w:bottom w:w="90" w:type="dxa"/>
              <w:end w:w="100" w:type="dxa"/>
            </w:tcMar>
          </w:tcPr>
          <w:p>
            <w:pPr>
              <w:spacing w:after="0" w:before="0" w:line="252" w:lineRule="auto"/>
            </w:pPr>
            <w:r>
              <w:rPr>
                <w:rFonts w:ascii="DejaVu Serif" w:hAnsi="DejaVu Serif"/>
                <w:sz w:val="15"/>
              </w:rPr>
              <w:t>Restored the external complex marker E• and cohomology target.</w:t>
            </w:r>
          </w:p>
        </w:tc>
      </w:tr>
    </w:tbl>
    <w:tbl>
      <w:tblPr>
        <w:tblStyle w:val="TableGrid"/>
        <w:tblW w:type="auto" w:w="0"/>
        <w:jc w:val="center"/>
        <w:tblLook w:firstColumn="1" w:firstRow="1" w:lastColumn="0" w:lastRow="0" w:noHBand="0" w:noVBand="1" w:val="04A0"/>
      </w:tblPr>
      <w:tblGrid>
        <w:gridCol w:w="10070"/>
      </w:tblGrid>
      <w:tr>
        <w:tc>
          <w:tcPr>
            <w:tcW w:type="dxa" w:w="10070"/>
            <w:shd w:fill="F5F7FB"/>
            <w:tcMar>
              <w:top w:w="140" w:type="dxa"/>
              <w:start w:w="160" w:type="dxa"/>
              <w:bottom w:w="140" w:type="dxa"/>
              <w:end w:w="160" w:type="dxa"/>
            </w:tcMar>
          </w:tcPr>
          <w:p>
            <w:pPr>
              <w:jc w:val="left"/>
            </w:pPr>
            <w:r>
              <w:rPr>
                <w:rFonts w:ascii="DejaVu Serif" w:hAnsi="DejaVu Serif"/>
                <w:b/>
                <w:color w:val="17345F"/>
                <w:sz w:val="18"/>
              </w:rPr>
              <w:t>FORMULA VERDICT. 86/86 IDs present; 86/86 Russian source locators preserved; 8 precision corrections applied; 0 identifiers renumbered; 0 formulas promoted in status.</w:t>
            </w:r>
          </w:p>
        </w:tc>
      </w:tr>
    </w:tbl>
    <w:p>
      <w:pPr>
        <w:pStyle w:val="Heading2"/>
      </w:pPr>
      <w:r>
        <w:t>H.3. Definitions, Theorems, and Status Parity</w:t>
      </w:r>
    </w:p>
    <w:p>
      <w:pPr>
        <w:spacing w:after="100" w:line="269" w:lineRule="auto"/>
      </w:pPr>
      <w:r>
        <w:rPr>
          <w:i w:val="0"/>
        </w:rPr>
        <w:t>The audit checked that translated labels do not strengthen the Russian source. In particular, “conditional theorem” remains conditional; model assumptions are not restated as facts; a computational certificate remains NUM-SOURCE unless independently rerun; and the physical programme F-1-F-14 remains E0 with EXT-RUN absent.</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c>
          <w:tcPr>
            <w:tcW w:type="dxa" w:w="1814"/>
            <w:vAlign w:val="center"/>
            <w:tcMar>
              <w:top w:w="90" w:type="dxa"/>
              <w:start w:w="100" w:type="dxa"/>
              <w:bottom w:w="90" w:type="dxa"/>
              <w:end w:w="100" w:type="dxa"/>
            </w:tcMar>
            <w:shd w:fill="E8EEF7"/>
          </w:tcPr>
          <w:p>
            <w:pPr>
              <w:spacing w:after="0" w:before="0" w:line="252" w:lineRule="auto"/>
              <w:jc w:val="center"/>
            </w:pPr>
            <w:r>
              <w:rPr>
                <w:rFonts w:ascii="DejaVu Serif" w:hAnsi="DejaVu Serif"/>
                <w:b/>
                <w:color w:val="17345F"/>
                <w:sz w:val="16"/>
              </w:rPr>
              <w:t>Boundary</w:t>
            </w:r>
          </w:p>
        </w:tc>
        <w:tc>
          <w:tcPr>
            <w:tcW w:type="dxa" w:w="2494"/>
            <w:vAlign w:val="center"/>
            <w:tcMar>
              <w:top w:w="90" w:type="dxa"/>
              <w:start w:w="100" w:type="dxa"/>
              <w:bottom w:w="90" w:type="dxa"/>
              <w:end w:w="100" w:type="dxa"/>
            </w:tcMar>
            <w:shd w:fill="E8EEF7"/>
          </w:tcPr>
          <w:p>
            <w:pPr>
              <w:spacing w:after="0" w:before="0" w:line="252" w:lineRule="auto"/>
            </w:pPr>
            <w:r>
              <w:rPr>
                <w:rFonts w:ascii="DejaVu Serif" w:hAnsi="DejaVu Serif"/>
                <w:b/>
                <w:color w:val="17345F"/>
                <w:sz w:val="16"/>
              </w:rPr>
              <w:t>Required relation</w:t>
            </w:r>
          </w:p>
        </w:tc>
        <w:tc>
          <w:tcPr>
            <w:tcW w:type="dxa" w:w="2948"/>
            <w:vAlign w:val="center"/>
            <w:tcMar>
              <w:top w:w="90" w:type="dxa"/>
              <w:start w:w="100" w:type="dxa"/>
              <w:bottom w:w="90" w:type="dxa"/>
              <w:end w:w="100" w:type="dxa"/>
            </w:tcMar>
            <w:shd w:fill="E8EEF7"/>
          </w:tcPr>
          <w:p>
            <w:pPr>
              <w:spacing w:after="0" w:before="0" w:line="252" w:lineRule="auto"/>
            </w:pPr>
            <w:r>
              <w:rPr>
                <w:rFonts w:ascii="DejaVu Serif" w:hAnsi="DejaVu Serif"/>
                <w:b/>
                <w:color w:val="17345F"/>
                <w:sz w:val="16"/>
              </w:rPr>
              <w:t>Observed in v0.11</w:t>
            </w:r>
          </w:p>
        </w:tc>
        <w:tc>
          <w:tcPr>
            <w:tcW w:type="dxa" w:w="1474"/>
            <w:vAlign w:val="center"/>
            <w:tcMar>
              <w:top w:w="90" w:type="dxa"/>
              <w:start w:w="100" w:type="dxa"/>
              <w:bottom w:w="90" w:type="dxa"/>
              <w:end w:w="100" w:type="dxa"/>
            </w:tcMar>
            <w:shd w:fill="E8EEF7"/>
          </w:tcPr>
          <w:p>
            <w:pPr>
              <w:spacing w:after="0" w:before="0" w:line="252" w:lineRule="auto"/>
            </w:pPr>
            <w:r>
              <w:rPr>
                <w:rFonts w:ascii="DejaVu Serif" w:hAnsi="DejaVu Serif"/>
                <w:b/>
                <w:color w:val="17345F"/>
                <w:sz w:val="16"/>
              </w:rPr>
              <w:t>Verdict</w:t>
            </w:r>
          </w:p>
        </w:tc>
      </w:tr>
      <w:tr>
        <w:tc>
          <w:tcPr>
            <w:tcW w:type="dxa" w:w="1814"/>
            <w:vAlign w:val="center"/>
            <w:tcMar>
              <w:top w:w="90" w:type="dxa"/>
              <w:start w:w="100" w:type="dxa"/>
              <w:bottom w:w="90" w:type="dxa"/>
              <w:end w:w="100" w:type="dxa"/>
            </w:tcMar>
          </w:tcPr>
          <w:p>
            <w:pPr>
              <w:spacing w:after="0" w:before="0" w:line="252" w:lineRule="auto"/>
              <w:jc w:val="center"/>
            </w:pPr>
            <w:r>
              <w:rPr>
                <w:rFonts w:ascii="DejaVu Serif" w:hAnsi="DejaVu Serif"/>
                <w:sz w:val="16"/>
              </w:rPr>
              <w:t>Definition / theorem</w:t>
            </w:r>
          </w:p>
        </w:tc>
        <w:tc>
          <w:tcPr>
            <w:tcW w:type="dxa" w:w="2494"/>
            <w:vAlign w:val="center"/>
            <w:tcMar>
              <w:top w:w="90" w:type="dxa"/>
              <w:start w:w="100" w:type="dxa"/>
              <w:bottom w:w="90" w:type="dxa"/>
              <w:end w:w="100" w:type="dxa"/>
            </w:tcMar>
          </w:tcPr>
          <w:p>
            <w:pPr>
              <w:spacing w:after="0" w:before="0" w:line="252" w:lineRule="auto"/>
            </w:pPr>
            <w:r>
              <w:rPr>
                <w:rFonts w:ascii="DejaVu Serif" w:hAnsi="DejaVu Serif"/>
                <w:sz w:val="16"/>
              </w:rPr>
              <w:t>DEF does not become THM</w:t>
            </w:r>
          </w:p>
        </w:tc>
        <w:tc>
          <w:tcPr>
            <w:tcW w:type="dxa" w:w="2948"/>
            <w:vAlign w:val="center"/>
            <w:tcMar>
              <w:top w:w="90" w:type="dxa"/>
              <w:start w:w="100" w:type="dxa"/>
              <w:bottom w:w="90" w:type="dxa"/>
              <w:end w:w="100" w:type="dxa"/>
            </w:tcMar>
          </w:tcPr>
          <w:p>
            <w:pPr>
              <w:spacing w:after="0" w:before="0" w:line="252" w:lineRule="auto"/>
            </w:pPr>
            <w:r>
              <w:rPr>
                <w:rFonts w:ascii="DejaVu Serif" w:hAnsi="DejaVu Serif"/>
                <w:sz w:val="16"/>
              </w:rPr>
              <w:t>labels and hypotheses preserved</w:t>
            </w:r>
          </w:p>
        </w:tc>
        <w:tc>
          <w:tcPr>
            <w:tcW w:type="dxa" w:w="1474"/>
            <w:vAlign w:val="center"/>
            <w:tcMar>
              <w:top w:w="90" w:type="dxa"/>
              <w:start w:w="100" w:type="dxa"/>
              <w:bottom w:w="90" w:type="dxa"/>
              <w:end w:w="100" w:type="dxa"/>
            </w:tcMar>
          </w:tcPr>
          <w:p>
            <w:pPr>
              <w:spacing w:after="0" w:before="0" w:line="252" w:lineRule="auto"/>
            </w:pPr>
            <w:r>
              <w:rPr>
                <w:rFonts w:ascii="DejaVu Serif" w:hAnsi="DejaVu Serif"/>
                <w:sz w:val="16"/>
              </w:rPr>
              <w:t>PASS</w:t>
            </w:r>
          </w:p>
        </w:tc>
      </w:tr>
      <w:tr>
        <w:tc>
          <w:tcPr>
            <w:tcW w:type="dxa" w:w="1814"/>
            <w:vAlign w:val="center"/>
            <w:tcMar>
              <w:top w:w="90" w:type="dxa"/>
              <w:start w:w="100" w:type="dxa"/>
              <w:bottom w:w="90" w:type="dxa"/>
              <w:end w:w="100" w:type="dxa"/>
            </w:tcMar>
          </w:tcPr>
          <w:p>
            <w:pPr>
              <w:spacing w:after="0" w:before="0" w:line="252" w:lineRule="auto"/>
              <w:jc w:val="center"/>
            </w:pPr>
            <w:r>
              <w:rPr>
                <w:rFonts w:ascii="DejaVu Serif" w:hAnsi="DejaVu Serif"/>
                <w:sz w:val="16"/>
              </w:rPr>
              <w:t>Conditional result</w:t>
            </w:r>
          </w:p>
        </w:tc>
        <w:tc>
          <w:tcPr>
            <w:tcW w:type="dxa" w:w="2494"/>
            <w:vAlign w:val="center"/>
            <w:tcMar>
              <w:top w:w="90" w:type="dxa"/>
              <w:start w:w="100" w:type="dxa"/>
              <w:bottom w:w="90" w:type="dxa"/>
              <w:end w:w="100" w:type="dxa"/>
            </w:tcMar>
          </w:tcPr>
          <w:p>
            <w:pPr>
              <w:spacing w:after="0" w:before="0" w:line="252" w:lineRule="auto"/>
            </w:pPr>
            <w:r>
              <w:rPr>
                <w:rFonts w:ascii="DejaVu Serif" w:hAnsi="DejaVu Serif"/>
                <w:sz w:val="16"/>
              </w:rPr>
              <w:t>COND does not become unconditional</w:t>
            </w:r>
          </w:p>
        </w:tc>
        <w:tc>
          <w:tcPr>
            <w:tcW w:type="dxa" w:w="2948"/>
            <w:vAlign w:val="center"/>
            <w:tcMar>
              <w:top w:w="90" w:type="dxa"/>
              <w:start w:w="100" w:type="dxa"/>
              <w:bottom w:w="90" w:type="dxa"/>
              <w:end w:w="100" w:type="dxa"/>
            </w:tcMar>
          </w:tcPr>
          <w:p>
            <w:pPr>
              <w:spacing w:after="0" w:before="0" w:line="252" w:lineRule="auto"/>
            </w:pPr>
            <w:r>
              <w:rPr>
                <w:rFonts w:ascii="DejaVu Serif" w:hAnsi="DejaVu Serif"/>
                <w:sz w:val="16"/>
              </w:rPr>
              <w:t>main closure theorem remains COND</w:t>
            </w:r>
          </w:p>
        </w:tc>
        <w:tc>
          <w:tcPr>
            <w:tcW w:type="dxa" w:w="1474"/>
            <w:vAlign w:val="center"/>
            <w:tcMar>
              <w:top w:w="90" w:type="dxa"/>
              <w:start w:w="100" w:type="dxa"/>
              <w:bottom w:w="90" w:type="dxa"/>
              <w:end w:w="100" w:type="dxa"/>
            </w:tcMar>
          </w:tcPr>
          <w:p>
            <w:pPr>
              <w:spacing w:after="0" w:before="0" w:line="252" w:lineRule="auto"/>
            </w:pPr>
            <w:r>
              <w:rPr>
                <w:rFonts w:ascii="DejaVu Serif" w:hAnsi="DejaVu Serif"/>
                <w:sz w:val="16"/>
              </w:rPr>
              <w:t>PASS</w:t>
            </w:r>
          </w:p>
        </w:tc>
      </w:tr>
      <w:tr>
        <w:tc>
          <w:tcPr>
            <w:tcW w:type="dxa" w:w="1814"/>
            <w:vAlign w:val="center"/>
            <w:tcMar>
              <w:top w:w="90" w:type="dxa"/>
              <w:start w:w="100" w:type="dxa"/>
              <w:bottom w:w="90" w:type="dxa"/>
              <w:end w:w="100" w:type="dxa"/>
            </w:tcMar>
          </w:tcPr>
          <w:p>
            <w:pPr>
              <w:spacing w:after="0" w:before="0" w:line="252" w:lineRule="auto"/>
              <w:jc w:val="center"/>
            </w:pPr>
            <w:r>
              <w:rPr>
                <w:rFonts w:ascii="DejaVu Serif" w:hAnsi="DejaVu Serif"/>
                <w:sz w:val="16"/>
              </w:rPr>
              <w:t>Numerical evidence</w:t>
            </w:r>
          </w:p>
        </w:tc>
        <w:tc>
          <w:tcPr>
            <w:tcW w:type="dxa" w:w="2494"/>
            <w:vAlign w:val="center"/>
            <w:tcMar>
              <w:top w:w="90" w:type="dxa"/>
              <w:start w:w="100" w:type="dxa"/>
              <w:bottom w:w="90" w:type="dxa"/>
              <w:end w:w="100" w:type="dxa"/>
            </w:tcMar>
          </w:tcPr>
          <w:p>
            <w:pPr>
              <w:spacing w:after="0" w:before="0" w:line="252" w:lineRule="auto"/>
            </w:pPr>
            <w:r>
              <w:rPr>
                <w:rFonts w:ascii="DejaVu Serif" w:hAnsi="DejaVu Serif"/>
                <w:sz w:val="16"/>
              </w:rPr>
              <w:t>NUM-SOURCE ≠ EXT-RUN</w:t>
            </w:r>
          </w:p>
        </w:tc>
        <w:tc>
          <w:tcPr>
            <w:tcW w:type="dxa" w:w="2948"/>
            <w:vAlign w:val="center"/>
            <w:tcMar>
              <w:top w:w="90" w:type="dxa"/>
              <w:start w:w="100" w:type="dxa"/>
              <w:bottom w:w="90" w:type="dxa"/>
              <w:end w:w="100" w:type="dxa"/>
            </w:tcMar>
          </w:tcPr>
          <w:p>
            <w:pPr>
              <w:spacing w:after="0" w:before="0" w:line="252" w:lineRule="auto"/>
            </w:pPr>
            <w:r>
              <w:rPr>
                <w:rFonts w:ascii="DejaVu Serif" w:hAnsi="DejaVu Serif"/>
                <w:sz w:val="16"/>
              </w:rPr>
              <w:t>certificate replay not claimed</w:t>
            </w:r>
          </w:p>
        </w:tc>
        <w:tc>
          <w:tcPr>
            <w:tcW w:type="dxa" w:w="1474"/>
            <w:vAlign w:val="center"/>
            <w:tcMar>
              <w:top w:w="90" w:type="dxa"/>
              <w:start w:w="100" w:type="dxa"/>
              <w:bottom w:w="90" w:type="dxa"/>
              <w:end w:w="100" w:type="dxa"/>
            </w:tcMar>
          </w:tcPr>
          <w:p>
            <w:pPr>
              <w:spacing w:after="0" w:before="0" w:line="252" w:lineRule="auto"/>
            </w:pPr>
            <w:r>
              <w:rPr>
                <w:rFonts w:ascii="DejaVu Serif" w:hAnsi="DejaVu Serif"/>
                <w:sz w:val="16"/>
              </w:rPr>
              <w:t>PASS</w:t>
            </w:r>
          </w:p>
        </w:tc>
      </w:tr>
      <w:tr>
        <w:tc>
          <w:tcPr>
            <w:tcW w:type="dxa" w:w="1814"/>
            <w:vAlign w:val="center"/>
            <w:tcMar>
              <w:top w:w="90" w:type="dxa"/>
              <w:start w:w="100" w:type="dxa"/>
              <w:bottom w:w="90" w:type="dxa"/>
              <w:end w:w="100" w:type="dxa"/>
            </w:tcMar>
          </w:tcPr>
          <w:p>
            <w:pPr>
              <w:spacing w:after="0" w:before="0" w:line="252" w:lineRule="auto"/>
              <w:jc w:val="center"/>
            </w:pPr>
            <w:r>
              <w:rPr>
                <w:rFonts w:ascii="DejaVu Serif" w:hAnsi="DejaVu Serif"/>
                <w:sz w:val="16"/>
              </w:rPr>
              <w:t>Empirical programme</w:t>
            </w:r>
          </w:p>
        </w:tc>
        <w:tc>
          <w:tcPr>
            <w:tcW w:type="dxa" w:w="2494"/>
            <w:vAlign w:val="center"/>
            <w:tcMar>
              <w:top w:w="90" w:type="dxa"/>
              <w:start w:w="100" w:type="dxa"/>
              <w:bottom w:w="90" w:type="dxa"/>
              <w:end w:w="100" w:type="dxa"/>
            </w:tcMar>
          </w:tcPr>
          <w:p>
            <w:pPr>
              <w:spacing w:after="0" w:before="0" w:line="252" w:lineRule="auto"/>
            </w:pPr>
            <w:r>
              <w:rPr>
                <w:rFonts w:ascii="DejaVu Serif" w:hAnsi="DejaVu Serif"/>
                <w:sz w:val="16"/>
              </w:rPr>
              <w:t>EMP-PLAN ≠ EMP-OBS</w:t>
            </w:r>
          </w:p>
        </w:tc>
        <w:tc>
          <w:tcPr>
            <w:tcW w:type="dxa" w:w="2948"/>
            <w:vAlign w:val="center"/>
            <w:tcMar>
              <w:top w:w="90" w:type="dxa"/>
              <w:start w:w="100" w:type="dxa"/>
              <w:bottom w:w="90" w:type="dxa"/>
              <w:end w:w="100" w:type="dxa"/>
            </w:tcMar>
          </w:tcPr>
          <w:p>
            <w:pPr>
              <w:spacing w:after="0" w:before="0" w:line="252" w:lineRule="auto"/>
            </w:pPr>
            <w:r>
              <w:rPr>
                <w:rFonts w:ascii="DejaVu Serif" w:hAnsi="DejaVu Serif"/>
                <w:sz w:val="16"/>
              </w:rPr>
              <w:t>EXT-RUN-000 remains not executed</w:t>
            </w:r>
          </w:p>
        </w:tc>
        <w:tc>
          <w:tcPr>
            <w:tcW w:type="dxa" w:w="1474"/>
            <w:vAlign w:val="center"/>
            <w:tcMar>
              <w:top w:w="90" w:type="dxa"/>
              <w:start w:w="100" w:type="dxa"/>
              <w:bottom w:w="90" w:type="dxa"/>
              <w:end w:w="100" w:type="dxa"/>
            </w:tcMar>
          </w:tcPr>
          <w:p>
            <w:pPr>
              <w:spacing w:after="0" w:before="0" w:line="252" w:lineRule="auto"/>
            </w:pPr>
            <w:r>
              <w:rPr>
                <w:rFonts w:ascii="DejaVu Serif" w:hAnsi="DejaVu Serif"/>
                <w:sz w:val="16"/>
              </w:rPr>
              <w:t>PASS</w:t>
            </w:r>
          </w:p>
        </w:tc>
      </w:tr>
      <w:tr>
        <w:tc>
          <w:tcPr>
            <w:tcW w:type="dxa" w:w="1814"/>
            <w:vAlign w:val="center"/>
            <w:tcMar>
              <w:top w:w="90" w:type="dxa"/>
              <w:start w:w="100" w:type="dxa"/>
              <w:bottom w:w="90" w:type="dxa"/>
              <w:end w:w="100" w:type="dxa"/>
            </w:tcMar>
          </w:tcPr>
          <w:p>
            <w:pPr>
              <w:spacing w:after="0" w:before="0" w:line="252" w:lineRule="auto"/>
              <w:jc w:val="center"/>
            </w:pPr>
            <w:r>
              <w:rPr>
                <w:rFonts w:ascii="DejaVu Serif" w:hAnsi="DejaVu Serif"/>
                <w:sz w:val="16"/>
              </w:rPr>
              <w:t>Physical hypotheses</w:t>
            </w:r>
          </w:p>
        </w:tc>
        <w:tc>
          <w:tcPr>
            <w:tcW w:type="dxa" w:w="2494"/>
            <w:vAlign w:val="center"/>
            <w:tcMar>
              <w:top w:w="90" w:type="dxa"/>
              <w:start w:w="100" w:type="dxa"/>
              <w:bottom w:w="90" w:type="dxa"/>
              <w:end w:w="100" w:type="dxa"/>
            </w:tcMar>
          </w:tcPr>
          <w:p>
            <w:pPr>
              <w:spacing w:after="0" w:before="0" w:line="252" w:lineRule="auto"/>
            </w:pPr>
            <w:r>
              <w:rPr>
                <w:rFonts w:ascii="DejaVu Serif" w:hAnsi="DejaVu Serif"/>
                <w:sz w:val="16"/>
              </w:rPr>
              <w:t>F-1-F-14 remain D0/M0-M1/E0/R1</w:t>
            </w:r>
          </w:p>
        </w:tc>
        <w:tc>
          <w:tcPr>
            <w:tcW w:type="dxa" w:w="2948"/>
            <w:vAlign w:val="center"/>
            <w:tcMar>
              <w:top w:w="90" w:type="dxa"/>
              <w:start w:w="100" w:type="dxa"/>
              <w:bottom w:w="90" w:type="dxa"/>
              <w:end w:w="100" w:type="dxa"/>
            </w:tcMar>
          </w:tcPr>
          <w:p>
            <w:pPr>
              <w:spacing w:after="0" w:before="0" w:line="252" w:lineRule="auto"/>
            </w:pPr>
            <w:r>
              <w:rPr>
                <w:rFonts w:ascii="DejaVu Serif" w:hAnsi="DejaVu Serif"/>
                <w:sz w:val="16"/>
              </w:rPr>
              <w:t>no validation claim</w:t>
            </w:r>
          </w:p>
        </w:tc>
        <w:tc>
          <w:tcPr>
            <w:tcW w:type="dxa" w:w="1474"/>
            <w:vAlign w:val="center"/>
            <w:tcMar>
              <w:top w:w="90" w:type="dxa"/>
              <w:start w:w="100" w:type="dxa"/>
              <w:bottom w:w="90" w:type="dxa"/>
              <w:end w:w="100" w:type="dxa"/>
            </w:tcMar>
          </w:tcPr>
          <w:p>
            <w:pPr>
              <w:spacing w:after="0" w:before="0" w:line="252" w:lineRule="auto"/>
            </w:pPr>
            <w:r>
              <w:rPr>
                <w:rFonts w:ascii="DejaVu Serif" w:hAnsi="DejaVu Serif"/>
                <w:sz w:val="16"/>
              </w:rPr>
              <w:t>PASS</w:t>
            </w:r>
          </w:p>
        </w:tc>
      </w:tr>
      <w:tr>
        <w:tc>
          <w:tcPr>
            <w:tcW w:type="dxa" w:w="1814"/>
            <w:vAlign w:val="center"/>
            <w:tcMar>
              <w:top w:w="90" w:type="dxa"/>
              <w:start w:w="100" w:type="dxa"/>
              <w:bottom w:w="90" w:type="dxa"/>
              <w:end w:w="100" w:type="dxa"/>
            </w:tcMar>
          </w:tcPr>
          <w:p>
            <w:pPr>
              <w:spacing w:after="0" w:before="0" w:line="252" w:lineRule="auto"/>
              <w:jc w:val="center"/>
            </w:pPr>
            <w:r>
              <w:rPr>
                <w:rFonts w:ascii="DejaVu Serif" w:hAnsi="DejaVu Serif"/>
                <w:sz w:val="16"/>
              </w:rPr>
              <w:t>Negative results</w:t>
            </w:r>
          </w:p>
        </w:tc>
        <w:tc>
          <w:tcPr>
            <w:tcW w:type="dxa" w:w="2494"/>
            <w:vAlign w:val="center"/>
            <w:tcMar>
              <w:top w:w="90" w:type="dxa"/>
              <w:start w:w="100" w:type="dxa"/>
              <w:bottom w:w="90" w:type="dxa"/>
              <w:end w:w="100" w:type="dxa"/>
            </w:tcMar>
          </w:tcPr>
          <w:p>
            <w:pPr>
              <w:spacing w:after="0" w:before="0" w:line="252" w:lineRule="auto"/>
            </w:pPr>
            <w:r>
              <w:rPr>
                <w:rFonts w:ascii="DejaVu Serif" w:hAnsi="DejaVu Serif"/>
                <w:sz w:val="16"/>
              </w:rPr>
              <w:t>REFUTED/counterexample statements remain visible</w:t>
            </w:r>
          </w:p>
        </w:tc>
        <w:tc>
          <w:tcPr>
            <w:tcW w:type="dxa" w:w="2948"/>
            <w:vAlign w:val="center"/>
            <w:tcMar>
              <w:top w:w="90" w:type="dxa"/>
              <w:start w:w="100" w:type="dxa"/>
              <w:bottom w:w="90" w:type="dxa"/>
              <w:end w:w="100" w:type="dxa"/>
            </w:tcMar>
          </w:tcPr>
          <w:p>
            <w:pPr>
              <w:spacing w:after="0" w:before="0" w:line="252" w:lineRule="auto"/>
            </w:pPr>
            <w:r>
              <w:rPr>
                <w:rFonts w:ascii="DejaVu Serif" w:hAnsi="DejaVu Serif"/>
                <w:sz w:val="16"/>
              </w:rPr>
              <w:t>preserved across chapters and appendices</w:t>
            </w:r>
          </w:p>
        </w:tc>
        <w:tc>
          <w:tcPr>
            <w:tcW w:type="dxa" w:w="1474"/>
            <w:vAlign w:val="center"/>
            <w:tcMar>
              <w:top w:w="90" w:type="dxa"/>
              <w:start w:w="100" w:type="dxa"/>
              <w:bottom w:w="90" w:type="dxa"/>
              <w:end w:w="100" w:type="dxa"/>
            </w:tcMar>
          </w:tcPr>
          <w:p>
            <w:pPr>
              <w:spacing w:after="0" w:before="0" w:line="252" w:lineRule="auto"/>
            </w:pPr>
            <w:r>
              <w:rPr>
                <w:rFonts w:ascii="DejaVu Serif" w:hAnsi="DejaVu Serif"/>
                <w:sz w:val="16"/>
              </w:rPr>
              <w:t>PASS</w:t>
            </w:r>
          </w:p>
        </w:tc>
      </w:tr>
      <w:tr>
        <w:tc>
          <w:tcPr>
            <w:tcW w:type="dxa" w:w="1814"/>
            <w:vAlign w:val="center"/>
            <w:tcMar>
              <w:top w:w="90" w:type="dxa"/>
              <w:start w:w="100" w:type="dxa"/>
              <w:bottom w:w="90" w:type="dxa"/>
              <w:end w:w="100" w:type="dxa"/>
            </w:tcMar>
          </w:tcPr>
          <w:p>
            <w:pPr>
              <w:spacing w:after="0" w:before="0" w:line="252" w:lineRule="auto"/>
              <w:jc w:val="center"/>
            </w:pPr>
            <w:r>
              <w:rPr>
                <w:rFonts w:ascii="DejaVu Serif" w:hAnsi="DejaVu Serif"/>
                <w:sz w:val="16"/>
              </w:rPr>
              <w:t>Blocker semantics</w:t>
            </w:r>
          </w:p>
        </w:tc>
        <w:tc>
          <w:tcPr>
            <w:tcW w:type="dxa" w:w="2494"/>
            <w:vAlign w:val="center"/>
            <w:tcMar>
              <w:top w:w="90" w:type="dxa"/>
              <w:start w:w="100" w:type="dxa"/>
              <w:bottom w:w="90" w:type="dxa"/>
              <w:end w:w="100" w:type="dxa"/>
            </w:tcMar>
          </w:tcPr>
          <w:p>
            <w:pPr>
              <w:spacing w:after="0" w:before="0" w:line="252" w:lineRule="auto"/>
            </w:pPr>
            <w:r>
              <w:rPr>
                <w:rFonts w:ascii="DejaVu Serif" w:hAnsi="DejaVu Serif"/>
                <w:sz w:val="16"/>
              </w:rPr>
              <w:t>BLOCK/ABSTAIN cannot be converted to PASS</w:t>
            </w:r>
          </w:p>
        </w:tc>
        <w:tc>
          <w:tcPr>
            <w:tcW w:type="dxa" w:w="2948"/>
            <w:vAlign w:val="center"/>
            <w:tcMar>
              <w:top w:w="90" w:type="dxa"/>
              <w:start w:w="100" w:type="dxa"/>
              <w:bottom w:w="90" w:type="dxa"/>
              <w:end w:w="100" w:type="dxa"/>
            </w:tcMar>
          </w:tcPr>
          <w:p>
            <w:pPr>
              <w:spacing w:after="0" w:before="0" w:line="252" w:lineRule="auto"/>
            </w:pPr>
            <w:r>
              <w:rPr>
                <w:rFonts w:ascii="DejaVu Serif" w:hAnsi="DejaVu Serif"/>
                <w:sz w:val="16"/>
              </w:rPr>
              <w:t>absorbing rules preserved</w:t>
            </w:r>
          </w:p>
        </w:tc>
        <w:tc>
          <w:tcPr>
            <w:tcW w:type="dxa" w:w="1474"/>
            <w:vAlign w:val="center"/>
            <w:tcMar>
              <w:top w:w="90" w:type="dxa"/>
              <w:start w:w="100" w:type="dxa"/>
              <w:bottom w:w="90" w:type="dxa"/>
              <w:end w:w="100" w:type="dxa"/>
            </w:tcMar>
          </w:tcPr>
          <w:p>
            <w:pPr>
              <w:spacing w:after="0" w:before="0" w:line="252" w:lineRule="auto"/>
            </w:pPr>
            <w:r>
              <w:rPr>
                <w:rFonts w:ascii="DejaVu Serif" w:hAnsi="DejaVu Serif"/>
                <w:sz w:val="16"/>
              </w:rPr>
              <w:t>PASS</w:t>
            </w:r>
          </w:p>
        </w:tc>
      </w:tr>
    </w:tbl>
    <w:p>
      <w:pPr>
        <w:pStyle w:val="Heading2"/>
      </w:pPr>
      <w:r>
        <w:t>H.4. Terminology and Language Boundary</w:t>
      </w:r>
    </w:p>
    <w:p>
      <w:pPr>
        <w:spacing w:after="100" w:line="269" w:lineRule="auto"/>
      </w:pPr>
      <w:r>
        <w:rPr>
          <w:i w:val="0"/>
        </w:rPr>
        <w:t>The Cyrillic scan found Russian text only in the intentional bilingual terminology ledger, the Russian-title column of the chapter map, and the Russian-title column of the appendix map. No unregistered Russian paragraph, theorem, figure caption, formula role, or scientific table cell remains in the English narrative layer.</w:t>
      </w:r>
    </w:p>
    <w:tbl>
      <w:tblPr>
        <w:tblStyle w:val="TableGrid"/>
        <w:tblW w:type="auto" w:w="0"/>
        <w:jc w:val="center"/>
        <w:tblLayout w:type="autofit"/>
        <w:tblLook w:firstColumn="1" w:firstRow="1" w:lastColumn="0" w:lastRow="0" w:noHBand="0" w:noVBand="1" w:val="04A0"/>
      </w:tblPr>
      <w:tblGrid>
        <w:gridCol w:w="3357"/>
        <w:gridCol w:w="3357"/>
        <w:gridCol w:w="3357"/>
      </w:tblGrid>
      <w:tr>
        <w:tc>
          <w:tcPr>
            <w:tcW w:type="dxa" w:w="2665"/>
            <w:vAlign w:val="center"/>
            <w:tcMar>
              <w:top w:w="90" w:type="dxa"/>
              <w:start w:w="100" w:type="dxa"/>
              <w:bottom w:w="90" w:type="dxa"/>
              <w:end w:w="100" w:type="dxa"/>
            </w:tcMar>
            <w:shd w:fill="E8EEF7"/>
          </w:tcPr>
          <w:p>
            <w:pPr>
              <w:spacing w:after="0" w:before="0" w:line="252" w:lineRule="auto"/>
              <w:jc w:val="center"/>
            </w:pPr>
            <w:r>
              <w:rPr>
                <w:rFonts w:ascii="DejaVu Serif" w:hAnsi="DejaVu Serif"/>
                <w:b/>
                <w:color w:val="17345F"/>
                <w:sz w:val="16"/>
              </w:rPr>
              <w:t>Controlled object</w:t>
            </w:r>
          </w:p>
        </w:tc>
        <w:tc>
          <w:tcPr>
            <w:tcW w:type="dxa" w:w="3969"/>
            <w:vAlign w:val="center"/>
            <w:tcMar>
              <w:top w:w="90" w:type="dxa"/>
              <w:start w:w="100" w:type="dxa"/>
              <w:bottom w:w="90" w:type="dxa"/>
              <w:end w:w="100" w:type="dxa"/>
            </w:tcMar>
            <w:shd w:fill="E8EEF7"/>
          </w:tcPr>
          <w:p>
            <w:pPr>
              <w:spacing w:after="0" w:before="0" w:line="252" w:lineRule="auto"/>
            </w:pPr>
            <w:r>
              <w:rPr>
                <w:rFonts w:ascii="DejaVu Serif" w:hAnsi="DejaVu Serif"/>
                <w:b/>
                <w:color w:val="17345F"/>
                <w:sz w:val="16"/>
              </w:rPr>
              <w:t>Normative English form</w:t>
            </w:r>
          </w:p>
        </w:tc>
        <w:tc>
          <w:tcPr>
            <w:tcW w:type="dxa" w:w="1701"/>
            <w:vAlign w:val="center"/>
            <w:tcMar>
              <w:top w:w="90" w:type="dxa"/>
              <w:start w:w="100" w:type="dxa"/>
              <w:bottom w:w="90" w:type="dxa"/>
              <w:end w:w="100" w:type="dxa"/>
            </w:tcMar>
            <w:shd w:fill="E8EEF7"/>
          </w:tcPr>
          <w:p>
            <w:pPr>
              <w:spacing w:after="0" w:before="0" w:line="252" w:lineRule="auto"/>
            </w:pPr>
            <w:r>
              <w:rPr>
                <w:rFonts w:ascii="DejaVu Serif" w:hAnsi="DejaVu Serif"/>
                <w:b/>
                <w:color w:val="17345F"/>
                <w:sz w:val="16"/>
              </w:rPr>
              <w:t>Audit result</w:t>
            </w:r>
          </w:p>
        </w:tc>
      </w:tr>
      <w:tr>
        <w:tc>
          <w:tcPr>
            <w:tcW w:type="dxa" w:w="2665"/>
            <w:vAlign w:val="center"/>
            <w:tcMar>
              <w:top w:w="90" w:type="dxa"/>
              <w:start w:w="100" w:type="dxa"/>
              <w:bottom w:w="90" w:type="dxa"/>
              <w:end w:w="100" w:type="dxa"/>
            </w:tcMar>
          </w:tcPr>
          <w:p>
            <w:pPr>
              <w:spacing w:after="0" w:before="0" w:line="252" w:lineRule="auto"/>
            </w:pPr>
            <w:r>
              <w:rPr>
                <w:rFonts w:ascii="DejaVu Serif" w:hAnsi="DejaVu Serif"/>
                <w:sz w:val="16"/>
              </w:rPr>
              <w:t>Reper / D/Dom / NAPG / KLT-RBD</w:t>
            </w:r>
          </w:p>
        </w:tc>
        <w:tc>
          <w:tcPr>
            <w:tcW w:type="dxa" w:w="3969"/>
            <w:vAlign w:val="center"/>
            <w:tcMar>
              <w:top w:w="90" w:type="dxa"/>
              <w:start w:w="100" w:type="dxa"/>
              <w:bottom w:w="90" w:type="dxa"/>
              <w:end w:w="100" w:type="dxa"/>
            </w:tcMar>
          </w:tcPr>
          <w:p>
            <w:pPr>
              <w:spacing w:after="0" w:before="0" w:line="252" w:lineRule="auto"/>
            </w:pPr>
            <w:r>
              <w:rPr>
                <w:rFonts w:ascii="DejaVu Serif" w:hAnsi="DejaVu Serif"/>
                <w:sz w:val="16"/>
              </w:rPr>
              <w:t>preserved technical forms</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PASS</w:t>
            </w:r>
          </w:p>
        </w:tc>
      </w:tr>
      <w:tr>
        <w:tc>
          <w:tcPr>
            <w:tcW w:type="dxa" w:w="2665"/>
            <w:vAlign w:val="center"/>
            <w:tcMar>
              <w:top w:w="90" w:type="dxa"/>
              <w:start w:w="100" w:type="dxa"/>
              <w:bottom w:w="90" w:type="dxa"/>
              <w:end w:w="100" w:type="dxa"/>
            </w:tcMar>
          </w:tcPr>
          <w:p>
            <w:pPr>
              <w:spacing w:after="0" w:before="0" w:line="252" w:lineRule="auto"/>
              <w:jc w:val="center"/>
            </w:pPr>
            <w:r>
              <w:rPr>
                <w:rFonts w:ascii="DejaVu Serif" w:hAnsi="DejaVu Serif"/>
                <w:sz w:val="16"/>
              </w:rPr>
              <w:t>событие@состояние</w:t>
            </w:r>
          </w:p>
        </w:tc>
        <w:tc>
          <w:tcPr>
            <w:tcW w:type="dxa" w:w="3969"/>
            <w:vAlign w:val="center"/>
            <w:tcMar>
              <w:top w:w="90" w:type="dxa"/>
              <w:start w:w="100" w:type="dxa"/>
              <w:bottom w:w="90" w:type="dxa"/>
              <w:end w:w="100" w:type="dxa"/>
            </w:tcMar>
          </w:tcPr>
          <w:p>
            <w:pPr>
              <w:spacing w:after="0" w:before="0" w:line="252" w:lineRule="auto"/>
            </w:pPr>
            <w:r>
              <w:rPr>
                <w:rFonts w:ascii="DejaVu Serif" w:hAnsi="DejaVu Serif"/>
                <w:sz w:val="16"/>
              </w:rPr>
              <w:t>event@state</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PASS</w:t>
            </w:r>
          </w:p>
        </w:tc>
      </w:tr>
      <w:tr>
        <w:tc>
          <w:tcPr>
            <w:tcW w:type="dxa" w:w="2665"/>
            <w:vAlign w:val="center"/>
            <w:tcMar>
              <w:top w:w="90" w:type="dxa"/>
              <w:start w:w="100" w:type="dxa"/>
              <w:bottom w:w="90" w:type="dxa"/>
              <w:end w:w="100" w:type="dxa"/>
            </w:tcMar>
          </w:tcPr>
          <w:p>
            <w:pPr>
              <w:spacing w:after="0" w:before="0" w:line="252" w:lineRule="auto"/>
              <w:jc w:val="center"/>
            </w:pPr>
            <w:r>
              <w:rPr>
                <w:rFonts w:ascii="DejaVu Serif" w:hAnsi="DejaVu Serif"/>
                <w:sz w:val="16"/>
              </w:rPr>
              <w:t>Время@Пространство</w:t>
            </w:r>
          </w:p>
        </w:tc>
        <w:tc>
          <w:tcPr>
            <w:tcW w:type="dxa" w:w="3969"/>
            <w:vAlign w:val="center"/>
            <w:tcMar>
              <w:top w:w="90" w:type="dxa"/>
              <w:start w:w="100" w:type="dxa"/>
              <w:bottom w:w="90" w:type="dxa"/>
              <w:end w:w="100" w:type="dxa"/>
            </w:tcMar>
          </w:tcPr>
          <w:p>
            <w:pPr>
              <w:spacing w:after="0" w:before="0" w:line="252" w:lineRule="auto"/>
            </w:pPr>
            <w:r>
              <w:rPr>
                <w:rFonts w:ascii="DejaVu Serif" w:hAnsi="DejaVu Serif"/>
                <w:sz w:val="16"/>
              </w:rPr>
              <w:t>Time@Space</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PASS</w:t>
            </w:r>
          </w:p>
        </w:tc>
      </w:tr>
      <w:tr>
        <w:tc>
          <w:tcPr>
            <w:tcW w:type="dxa" w:w="2665"/>
            <w:vAlign w:val="center"/>
            <w:tcMar>
              <w:top w:w="90" w:type="dxa"/>
              <w:start w:w="100" w:type="dxa"/>
              <w:bottom w:w="90" w:type="dxa"/>
              <w:end w:w="100" w:type="dxa"/>
            </w:tcMar>
          </w:tcPr>
          <w:p>
            <w:pPr>
              <w:spacing w:after="0" w:before="0" w:line="252" w:lineRule="auto"/>
              <w:jc w:val="center"/>
            </w:pPr>
            <w:r>
              <w:rPr>
                <w:rFonts w:ascii="DejaVu Serif" w:hAnsi="DejaVu Serif"/>
                <w:sz w:val="16"/>
              </w:rPr>
              <w:t>достаточное основание</w:t>
            </w:r>
          </w:p>
        </w:tc>
        <w:tc>
          <w:tcPr>
            <w:tcW w:type="dxa" w:w="3969"/>
            <w:vAlign w:val="center"/>
            <w:tcMar>
              <w:top w:w="90" w:type="dxa"/>
              <w:start w:w="100" w:type="dxa"/>
              <w:bottom w:w="90" w:type="dxa"/>
              <w:end w:w="100" w:type="dxa"/>
            </w:tcMar>
          </w:tcPr>
          <w:p>
            <w:pPr>
              <w:spacing w:after="0" w:before="0" w:line="252" w:lineRule="auto"/>
            </w:pPr>
            <w:r>
              <w:rPr>
                <w:rFonts w:ascii="DejaVu Serif" w:hAnsi="DejaVu Serif"/>
                <w:sz w:val="16"/>
              </w:rPr>
              <w:t>sufficient foundation</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PASS</w:t>
            </w:r>
          </w:p>
        </w:tc>
      </w:tr>
      <w:tr>
        <w:tc>
          <w:tcPr>
            <w:tcW w:type="dxa" w:w="2665"/>
            <w:vAlign w:val="center"/>
            <w:tcMar>
              <w:top w:w="90" w:type="dxa"/>
              <w:start w:w="100" w:type="dxa"/>
              <w:bottom w:w="90" w:type="dxa"/>
              <w:end w:w="100" w:type="dxa"/>
            </w:tcMar>
          </w:tcPr>
          <w:p>
            <w:pPr>
              <w:spacing w:after="0" w:before="0" w:line="252" w:lineRule="auto"/>
              <w:jc w:val="center"/>
            </w:pPr>
            <w:r>
              <w:rPr>
                <w:rFonts w:ascii="DejaVu Serif" w:hAnsi="DejaVu Serif"/>
                <w:sz w:val="16"/>
              </w:rPr>
              <w:t>воздержание</w:t>
            </w:r>
          </w:p>
        </w:tc>
        <w:tc>
          <w:tcPr>
            <w:tcW w:type="dxa" w:w="3969"/>
            <w:vAlign w:val="center"/>
            <w:tcMar>
              <w:top w:w="90" w:type="dxa"/>
              <w:start w:w="100" w:type="dxa"/>
              <w:bottom w:w="90" w:type="dxa"/>
              <w:end w:w="100" w:type="dxa"/>
            </w:tcMar>
          </w:tcPr>
          <w:p>
            <w:pPr>
              <w:spacing w:after="0" w:before="0" w:line="252" w:lineRule="auto"/>
            </w:pPr>
            <w:r>
              <w:rPr>
                <w:rFonts w:ascii="DejaVu Serif" w:hAnsi="DejaVu Serif"/>
                <w:sz w:val="16"/>
              </w:rPr>
              <w:t>ABSTAIN</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PASS</w:t>
            </w:r>
          </w:p>
        </w:tc>
      </w:tr>
      <w:tr>
        <w:tc>
          <w:tcPr>
            <w:tcW w:type="dxa" w:w="2665"/>
            <w:vAlign w:val="center"/>
            <w:tcMar>
              <w:top w:w="90" w:type="dxa"/>
              <w:start w:w="100" w:type="dxa"/>
              <w:bottom w:w="90" w:type="dxa"/>
              <w:end w:w="100" w:type="dxa"/>
            </w:tcMar>
          </w:tcPr>
          <w:p>
            <w:pPr>
              <w:spacing w:after="0" w:before="0" w:line="252" w:lineRule="auto"/>
              <w:jc w:val="center"/>
            </w:pPr>
            <w:r>
              <w:rPr>
                <w:rFonts w:ascii="DejaVu Serif" w:hAnsi="DejaVu Serif"/>
                <w:sz w:val="16"/>
              </w:rPr>
              <w:t>принцип слабейшего звена</w:t>
            </w:r>
          </w:p>
        </w:tc>
        <w:tc>
          <w:tcPr>
            <w:tcW w:type="dxa" w:w="3969"/>
            <w:vAlign w:val="center"/>
            <w:tcMar>
              <w:top w:w="90" w:type="dxa"/>
              <w:start w:w="100" w:type="dxa"/>
              <w:bottom w:w="90" w:type="dxa"/>
              <w:end w:w="100" w:type="dxa"/>
            </w:tcMar>
          </w:tcPr>
          <w:p>
            <w:pPr>
              <w:spacing w:after="0" w:before="0" w:line="252" w:lineRule="auto"/>
            </w:pPr>
            <w:r>
              <w:rPr>
                <w:rFonts w:ascii="DejaVu Serif" w:hAnsi="DejaVu Serif"/>
                <w:sz w:val="16"/>
              </w:rPr>
              <w:t>weakest-link principle</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PASS</w:t>
            </w:r>
          </w:p>
        </w:tc>
      </w:tr>
      <w:tr>
        <w:tc>
          <w:tcPr>
            <w:tcW w:type="dxa" w:w="2665"/>
            <w:vAlign w:val="center"/>
            <w:tcMar>
              <w:top w:w="90" w:type="dxa"/>
              <w:start w:w="100" w:type="dxa"/>
              <w:bottom w:w="90" w:type="dxa"/>
              <w:end w:w="100" w:type="dxa"/>
            </w:tcMar>
          </w:tcPr>
          <w:p>
            <w:pPr>
              <w:spacing w:after="0" w:before="0" w:line="252" w:lineRule="auto"/>
              <w:jc w:val="center"/>
            </w:pPr>
            <w:r>
              <w:rPr>
                <w:rFonts w:ascii="DejaVu Serif" w:hAnsi="DejaVu Serif"/>
                <w:sz w:val="16"/>
              </w:rPr>
              <w:t>ПН.2 Курпишева</w:t>
            </w:r>
          </w:p>
        </w:tc>
        <w:tc>
          <w:tcPr>
            <w:tcW w:type="dxa" w:w="3969"/>
            <w:vAlign w:val="center"/>
            <w:tcMar>
              <w:top w:w="90" w:type="dxa"/>
              <w:start w:w="100" w:type="dxa"/>
              <w:bottom w:w="90" w:type="dxa"/>
              <w:end w:w="100" w:type="dxa"/>
            </w:tcMar>
          </w:tcPr>
          <w:p>
            <w:pPr>
              <w:spacing w:after="0" w:before="0" w:line="252" w:lineRule="auto"/>
            </w:pPr>
            <w:r>
              <w:rPr>
                <w:rFonts w:ascii="DejaVu Serif" w:hAnsi="DejaVu Serif"/>
                <w:sz w:val="16"/>
              </w:rPr>
              <w:t>Kurpishev PN.2</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PASS</w:t>
            </w:r>
          </w:p>
        </w:tc>
      </w:tr>
    </w:tbl>
    <w:p>
      <w:pPr>
        <w:pStyle w:val="Heading2"/>
      </w:pPr>
      <w:r>
        <w:t>H.5. Negative Results, Counterexamples, and Source Cards</w:t>
      </w:r>
    </w:p>
    <w:p>
      <w:pPr>
        <w:spacing w:after="100" w:line="269" w:lineRule="auto"/>
      </w:pPr>
      <w:r>
        <w:rPr>
          <w:i w:val="0"/>
        </w:rPr>
        <w:t>The audit explicitly searched for preservation of counterexamples and forbidden implications. The Desargues-Kurpishev identification bridges remain conditional; the operator cross-ratio spectrum is not equated with strict equality; a triple does not determine a Reper; finite examples do not prove universal coverage; prediction is not intervention; and numerical reproducibility is not physical validation.</w:t>
      </w:r>
    </w:p>
    <w:p>
      <w:pPr>
        <w:spacing w:before="100" w:after="100"/>
        <w:jc w:val="center"/>
      </w:pPr>
      <w:r>
        <w:rPr>
          <w:rFonts w:ascii="DejaVu Serif" w:hAnsi="DejaVu Serif"/>
          <w:i/>
          <w:sz w:val="21"/>
        </w:rPr>
        <w:t>hash equality ≠ correct formula ≠ valid physical model</w:t>
      </w:r>
    </w:p>
    <w:p>
      <w:pPr>
        <w:spacing w:before="100" w:after="100"/>
        <w:jc w:val="center"/>
      </w:pPr>
      <w:r>
        <w:rPr>
          <w:rFonts w:ascii="DejaVu Serif" w:hAnsi="DejaVu Serif"/>
          <w:i/>
          <w:sz w:val="21"/>
        </w:rPr>
        <w:t>P(Y | X=x) ≠ P(Y | do(X=x))   without a causal bridge</w:t>
      </w:r>
    </w:p>
    <w:p>
      <w:pPr>
        <w:spacing w:after="100" w:line="269" w:lineRule="auto"/>
      </w:pPr>
      <w:r>
        <w:rPr>
          <w:i w:val="0"/>
        </w:rPr>
        <w:t>The consolidated source-card ledger retains artifact names, roles, and SHA-256 digests. Hashes are treated as identity and provenance evidence only. The source ledger does not authorize mathematical or physical truth by itself.</w:t>
      </w:r>
    </w:p>
    <w:p>
      <w:pPr>
        <w:pStyle w:val="Heading2"/>
      </w:pPr>
      <w:r>
        <w:t>H.6. Controlled Diff v0.10 → v0.11</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c>
          <w:tcPr>
            <w:tcW w:type="dxa" w:w="1474"/>
            <w:vAlign w:val="center"/>
            <w:tcMar>
              <w:top w:w="90" w:type="dxa"/>
              <w:start w:w="100" w:type="dxa"/>
              <w:bottom w:w="90" w:type="dxa"/>
              <w:end w:w="100" w:type="dxa"/>
            </w:tcMar>
            <w:shd w:fill="E8EEF7"/>
          </w:tcPr>
          <w:p>
            <w:pPr>
              <w:spacing w:after="0" w:before="0" w:line="252" w:lineRule="auto"/>
              <w:jc w:val="center"/>
            </w:pPr>
            <w:r>
              <w:rPr>
                <w:rFonts w:ascii="DejaVu Serif" w:hAnsi="DejaVu Serif"/>
                <w:b/>
                <w:color w:val="17345F"/>
                <w:sz w:val="16"/>
              </w:rPr>
              <w:t>Change ID</w:t>
            </w:r>
          </w:p>
        </w:tc>
        <w:tc>
          <w:tcPr>
            <w:tcW w:type="dxa" w:w="1701"/>
            <w:vAlign w:val="center"/>
            <w:tcMar>
              <w:top w:w="90" w:type="dxa"/>
              <w:start w:w="100" w:type="dxa"/>
              <w:bottom w:w="90" w:type="dxa"/>
              <w:end w:w="100" w:type="dxa"/>
            </w:tcMar>
            <w:shd w:fill="E8EEF7"/>
          </w:tcPr>
          <w:p>
            <w:pPr>
              <w:spacing w:after="0" w:before="0" w:line="252" w:lineRule="auto"/>
            </w:pPr>
            <w:r>
              <w:rPr>
                <w:rFonts w:ascii="DejaVu Serif" w:hAnsi="DejaVu Serif"/>
                <w:b/>
                <w:color w:val="17345F"/>
                <w:sz w:val="16"/>
              </w:rPr>
              <w:t>Object</w:t>
            </w:r>
          </w:p>
        </w:tc>
        <w:tc>
          <w:tcPr>
            <w:tcW w:type="dxa" w:w="4365"/>
            <w:vAlign w:val="center"/>
            <w:tcMar>
              <w:top w:w="90" w:type="dxa"/>
              <w:start w:w="100" w:type="dxa"/>
              <w:bottom w:w="90" w:type="dxa"/>
              <w:end w:w="100" w:type="dxa"/>
            </w:tcMar>
            <w:shd w:fill="E8EEF7"/>
          </w:tcPr>
          <w:p>
            <w:pPr>
              <w:spacing w:after="0" w:before="0" w:line="252" w:lineRule="auto"/>
            </w:pPr>
            <w:r>
              <w:rPr>
                <w:rFonts w:ascii="DejaVu Serif" w:hAnsi="DejaVu Serif"/>
                <w:b/>
                <w:color w:val="17345F"/>
                <w:sz w:val="16"/>
              </w:rPr>
              <w:t>Change</w:t>
            </w:r>
          </w:p>
        </w:tc>
        <w:tc>
          <w:tcPr>
            <w:tcW w:type="dxa" w:w="1134"/>
            <w:vAlign w:val="center"/>
            <w:tcMar>
              <w:top w:w="90" w:type="dxa"/>
              <w:start w:w="100" w:type="dxa"/>
              <w:bottom w:w="90" w:type="dxa"/>
              <w:end w:w="100" w:type="dxa"/>
            </w:tcMar>
            <w:shd w:fill="E8EEF7"/>
          </w:tcPr>
          <w:p>
            <w:pPr>
              <w:spacing w:after="0" w:before="0" w:line="252" w:lineRule="auto"/>
            </w:pPr>
            <w:r>
              <w:rPr>
                <w:rFonts w:ascii="DejaVu Serif" w:hAnsi="DejaVu Serif"/>
                <w:b/>
                <w:color w:val="17345F"/>
                <w:sz w:val="16"/>
              </w:rPr>
              <w:t>Status</w:t>
            </w:r>
          </w:p>
        </w:tc>
      </w:tr>
      <w:tr>
        <w:tc>
          <w:tcPr>
            <w:tcW w:type="dxa" w:w="1474"/>
            <w:vAlign w:val="center"/>
            <w:tcMar>
              <w:top w:w="90" w:type="dxa"/>
              <w:start w:w="100" w:type="dxa"/>
              <w:bottom w:w="90" w:type="dxa"/>
              <w:end w:w="100" w:type="dxa"/>
            </w:tcMar>
          </w:tcPr>
          <w:p>
            <w:pPr>
              <w:spacing w:after="0" w:before="0" w:line="252" w:lineRule="auto"/>
              <w:jc w:val="center"/>
            </w:pPr>
            <w:r>
              <w:rPr>
                <w:rFonts w:ascii="DejaVu Serif" w:hAnsi="DejaVu Serif"/>
                <w:sz w:val="16"/>
              </w:rPr>
              <w:t>T1-EN-CS-077</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release identity</w:t>
            </w:r>
          </w:p>
        </w:tc>
        <w:tc>
          <w:tcPr>
            <w:tcW w:type="dxa" w:w="4365"/>
            <w:vAlign w:val="center"/>
            <w:tcMar>
              <w:top w:w="90" w:type="dxa"/>
              <w:start w:w="100" w:type="dxa"/>
              <w:bottom w:w="90" w:type="dxa"/>
              <w:end w:w="100" w:type="dxa"/>
            </w:tcMar>
          </w:tcPr>
          <w:p>
            <w:pPr>
              <w:spacing w:after="0" w:before="0" w:line="252" w:lineRule="auto"/>
            </w:pPr>
            <w:r>
              <w:rPr>
                <w:rFonts w:ascii="DejaVu Serif" w:hAnsi="DejaVu Serif"/>
                <w:sz w:val="16"/>
              </w:rPr>
              <w:t>updated cover, passport, header, footer, and authority line to v0.11</w:t>
            </w:r>
          </w:p>
        </w:tc>
        <w:tc>
          <w:tcPr>
            <w:tcW w:type="dxa" w:w="1134"/>
            <w:vAlign w:val="center"/>
            <w:tcMar>
              <w:top w:w="90" w:type="dxa"/>
              <w:start w:w="100" w:type="dxa"/>
              <w:bottom w:w="90" w:type="dxa"/>
              <w:end w:w="100" w:type="dxa"/>
            </w:tcMar>
          </w:tcPr>
          <w:p>
            <w:pPr>
              <w:spacing w:after="0" w:before="0" w:line="252" w:lineRule="auto"/>
            </w:pPr>
            <w:r>
              <w:rPr>
                <w:rFonts w:ascii="DejaVu Serif" w:hAnsi="DejaVu Serif"/>
                <w:sz w:val="16"/>
              </w:rPr>
              <w:t>DOC</w:t>
            </w:r>
          </w:p>
        </w:tc>
      </w:tr>
      <w:tr>
        <w:tc>
          <w:tcPr>
            <w:tcW w:type="dxa" w:w="1474"/>
            <w:vAlign w:val="center"/>
            <w:tcMar>
              <w:top w:w="90" w:type="dxa"/>
              <w:start w:w="100" w:type="dxa"/>
              <w:bottom w:w="90" w:type="dxa"/>
              <w:end w:w="100" w:type="dxa"/>
            </w:tcMar>
          </w:tcPr>
          <w:p>
            <w:pPr>
              <w:spacing w:after="0" w:before="0" w:line="252" w:lineRule="auto"/>
              <w:jc w:val="center"/>
            </w:pPr>
            <w:r>
              <w:rPr>
                <w:rFonts w:ascii="DejaVu Serif" w:hAnsi="DejaVu Serif"/>
                <w:sz w:val="16"/>
              </w:rPr>
              <w:t>T1-EN-CS-078</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Appendix F</w:t>
            </w:r>
          </w:p>
        </w:tc>
        <w:tc>
          <w:tcPr>
            <w:tcW w:type="dxa" w:w="4365"/>
            <w:vAlign w:val="center"/>
            <w:tcMar>
              <w:top w:w="90" w:type="dxa"/>
              <w:start w:w="100" w:type="dxa"/>
              <w:bottom w:w="90" w:type="dxa"/>
              <w:end w:w="100" w:type="dxa"/>
            </w:tcMar>
          </w:tcPr>
          <w:p>
            <w:pPr>
              <w:spacing w:after="0" w:before="0" w:line="252" w:lineRule="auto"/>
            </w:pPr>
            <w:r>
              <w:rPr>
                <w:rFonts w:ascii="DejaVu Serif" w:hAnsi="DejaVu Serif"/>
                <w:sz w:val="16"/>
              </w:rPr>
              <w:t>applied eight parity-critical formula-registry corrections</w:t>
            </w:r>
          </w:p>
        </w:tc>
        <w:tc>
          <w:tcPr>
            <w:tcW w:type="dxa" w:w="1134"/>
            <w:vAlign w:val="center"/>
            <w:tcMar>
              <w:top w:w="90" w:type="dxa"/>
              <w:start w:w="100" w:type="dxa"/>
              <w:bottom w:w="90" w:type="dxa"/>
              <w:end w:w="100" w:type="dxa"/>
            </w:tcMar>
          </w:tcPr>
          <w:p>
            <w:pPr>
              <w:spacing w:after="0" w:before="0" w:line="252" w:lineRule="auto"/>
            </w:pPr>
            <w:r>
              <w:rPr>
                <w:rFonts w:ascii="DejaVu Serif" w:hAnsi="DejaVu Serif"/>
                <w:sz w:val="16"/>
              </w:rPr>
              <w:t>PARITY</w:t>
            </w:r>
          </w:p>
        </w:tc>
      </w:tr>
      <w:tr>
        <w:tc>
          <w:tcPr>
            <w:tcW w:type="dxa" w:w="1474"/>
            <w:vAlign w:val="center"/>
            <w:tcMar>
              <w:top w:w="90" w:type="dxa"/>
              <w:start w:w="100" w:type="dxa"/>
              <w:bottom w:w="90" w:type="dxa"/>
              <w:end w:w="100" w:type="dxa"/>
            </w:tcMar>
          </w:tcPr>
          <w:p>
            <w:pPr>
              <w:spacing w:after="0" w:before="0" w:line="252" w:lineRule="auto"/>
              <w:jc w:val="center"/>
            </w:pPr>
            <w:r>
              <w:rPr>
                <w:rFonts w:ascii="DejaVu Serif" w:hAnsi="DejaVu Serif"/>
                <w:sz w:val="16"/>
              </w:rPr>
              <w:t>T1-EN-CS-079</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Appendix H</w:t>
            </w:r>
          </w:p>
        </w:tc>
        <w:tc>
          <w:tcPr>
            <w:tcW w:type="dxa" w:w="4365"/>
            <w:vAlign w:val="center"/>
            <w:tcMar>
              <w:top w:w="90" w:type="dxa"/>
              <w:start w:w="100" w:type="dxa"/>
              <w:bottom w:w="90" w:type="dxa"/>
              <w:end w:w="100" w:type="dxa"/>
            </w:tcMar>
          </w:tcPr>
          <w:p>
            <w:pPr>
              <w:spacing w:after="0" w:before="0" w:line="252" w:lineRule="auto"/>
            </w:pPr>
            <w:r>
              <w:rPr>
                <w:rFonts w:ascii="DejaVu Serif" w:hAnsi="DejaVu Serif"/>
                <w:sz w:val="16"/>
              </w:rPr>
              <w:t>added bilingual formula/status/source audit and verifier boundary</w:t>
            </w:r>
          </w:p>
        </w:tc>
        <w:tc>
          <w:tcPr>
            <w:tcW w:type="dxa" w:w="1134"/>
            <w:vAlign w:val="center"/>
            <w:tcMar>
              <w:top w:w="90" w:type="dxa"/>
              <w:start w:w="100" w:type="dxa"/>
              <w:bottom w:w="90" w:type="dxa"/>
              <w:end w:w="100" w:type="dxa"/>
            </w:tcMar>
          </w:tcPr>
          <w:p>
            <w:pPr>
              <w:spacing w:after="0" w:before="0" w:line="252" w:lineRule="auto"/>
            </w:pPr>
            <w:r>
              <w:rPr>
                <w:rFonts w:ascii="DejaVu Serif" w:hAnsi="DejaVu Serif"/>
                <w:sz w:val="16"/>
              </w:rPr>
              <w:t>AUDIT</w:t>
            </w:r>
          </w:p>
        </w:tc>
      </w:tr>
      <w:tr>
        <w:tc>
          <w:tcPr>
            <w:tcW w:type="dxa" w:w="1474"/>
            <w:vAlign w:val="center"/>
            <w:tcMar>
              <w:top w:w="90" w:type="dxa"/>
              <w:start w:w="100" w:type="dxa"/>
              <w:bottom w:w="90" w:type="dxa"/>
              <w:end w:w="100" w:type="dxa"/>
            </w:tcMar>
          </w:tcPr>
          <w:p>
            <w:pPr>
              <w:spacing w:after="0" w:before="0" w:line="252" w:lineRule="auto"/>
              <w:jc w:val="center"/>
            </w:pPr>
            <w:r>
              <w:rPr>
                <w:rFonts w:ascii="DejaVu Serif" w:hAnsi="DejaVu Serif"/>
                <w:sz w:val="16"/>
              </w:rPr>
              <w:t>T1-EN-CS-080</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language scan</w:t>
            </w:r>
          </w:p>
        </w:tc>
        <w:tc>
          <w:tcPr>
            <w:tcW w:type="dxa" w:w="4365"/>
            <w:vAlign w:val="center"/>
            <w:tcMar>
              <w:top w:w="90" w:type="dxa"/>
              <w:start w:w="100" w:type="dxa"/>
              <w:bottom w:w="90" w:type="dxa"/>
              <w:end w:w="100" w:type="dxa"/>
            </w:tcMar>
          </w:tcPr>
          <w:p>
            <w:pPr>
              <w:spacing w:after="0" w:before="0" w:line="252" w:lineRule="auto"/>
            </w:pPr>
            <w:r>
              <w:rPr>
                <w:rFonts w:ascii="DejaVu Serif" w:hAnsi="DejaVu Serif"/>
                <w:sz w:val="16"/>
              </w:rPr>
              <w:t>restricted Cyrillic to intentional bilingual maps and ledger</w:t>
            </w:r>
          </w:p>
        </w:tc>
        <w:tc>
          <w:tcPr>
            <w:tcW w:type="dxa" w:w="1134"/>
            <w:vAlign w:val="center"/>
            <w:tcMar>
              <w:top w:w="90" w:type="dxa"/>
              <w:start w:w="100" w:type="dxa"/>
              <w:bottom w:w="90" w:type="dxa"/>
              <w:end w:w="100" w:type="dxa"/>
            </w:tcMar>
          </w:tcPr>
          <w:p>
            <w:pPr>
              <w:spacing w:after="0" w:before="0" w:line="252" w:lineRule="auto"/>
            </w:pPr>
            <w:r>
              <w:rPr>
                <w:rFonts w:ascii="DejaVu Serif" w:hAnsi="DejaVu Serif"/>
                <w:sz w:val="16"/>
              </w:rPr>
              <w:t>QA</w:t>
            </w:r>
          </w:p>
        </w:tc>
      </w:tr>
      <w:tr>
        <w:tc>
          <w:tcPr>
            <w:tcW w:type="dxa" w:w="1474"/>
            <w:vAlign w:val="center"/>
            <w:tcMar>
              <w:top w:w="90" w:type="dxa"/>
              <w:start w:w="100" w:type="dxa"/>
              <w:bottom w:w="90" w:type="dxa"/>
              <w:end w:w="100" w:type="dxa"/>
            </w:tcMar>
          </w:tcPr>
          <w:p>
            <w:pPr>
              <w:spacing w:after="0" w:before="0" w:line="252" w:lineRule="auto"/>
              <w:jc w:val="center"/>
            </w:pPr>
            <w:r>
              <w:rPr>
                <w:rFonts w:ascii="DejaVu Serif" w:hAnsi="DejaVu Serif"/>
                <w:sz w:val="16"/>
              </w:rPr>
              <w:t>T1-EN-CS-081</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evidence firewall</w:t>
            </w:r>
          </w:p>
        </w:tc>
        <w:tc>
          <w:tcPr>
            <w:tcW w:type="dxa" w:w="4365"/>
            <w:vAlign w:val="center"/>
            <w:tcMar>
              <w:top w:w="90" w:type="dxa"/>
              <w:start w:w="100" w:type="dxa"/>
              <w:bottom w:w="90" w:type="dxa"/>
              <w:end w:w="100" w:type="dxa"/>
            </w:tcMar>
          </w:tcPr>
          <w:p>
            <w:pPr>
              <w:spacing w:after="0" w:before="0" w:line="252" w:lineRule="auto"/>
            </w:pPr>
            <w:r>
              <w:rPr>
                <w:rFonts w:ascii="DejaVu Serif" w:hAnsi="DejaVu Serif"/>
                <w:sz w:val="16"/>
              </w:rPr>
              <w:t>reconfirmed no EXT-RUN and no EMP-OBS</w:t>
            </w:r>
          </w:p>
        </w:tc>
        <w:tc>
          <w:tcPr>
            <w:tcW w:type="dxa" w:w="1134"/>
            <w:vAlign w:val="center"/>
            <w:tcMar>
              <w:top w:w="90" w:type="dxa"/>
              <w:start w:w="100" w:type="dxa"/>
              <w:bottom w:w="90" w:type="dxa"/>
              <w:end w:w="100" w:type="dxa"/>
            </w:tcMar>
          </w:tcPr>
          <w:p>
            <w:pPr>
              <w:spacing w:after="0" w:before="0" w:line="252" w:lineRule="auto"/>
            </w:pPr>
            <w:r>
              <w:rPr>
                <w:rFonts w:ascii="DejaVu Serif" w:hAnsi="DejaVu Serif"/>
                <w:sz w:val="16"/>
              </w:rPr>
              <w:t>PARITY</w:t>
            </w:r>
          </w:p>
        </w:tc>
      </w:tr>
      <w:tr>
        <w:tc>
          <w:tcPr>
            <w:tcW w:type="dxa" w:w="1474"/>
            <w:vAlign w:val="center"/>
            <w:tcMar>
              <w:top w:w="90" w:type="dxa"/>
              <w:start w:w="100" w:type="dxa"/>
              <w:bottom w:w="90" w:type="dxa"/>
              <w:end w:w="100" w:type="dxa"/>
            </w:tcMar>
          </w:tcPr>
          <w:p>
            <w:pPr>
              <w:spacing w:after="0" w:before="0" w:line="252" w:lineRule="auto"/>
              <w:jc w:val="center"/>
            </w:pPr>
            <w:r>
              <w:rPr>
                <w:rFonts w:ascii="DejaVu Serif" w:hAnsi="DejaVu Serif"/>
                <w:sz w:val="16"/>
              </w:rPr>
              <w:t>T1-EN-CS-082</w:t>
            </w:r>
          </w:p>
        </w:tc>
        <w:tc>
          <w:tcPr>
            <w:tcW w:type="dxa" w:w="1701"/>
            <w:vAlign w:val="center"/>
            <w:tcMar>
              <w:top w:w="90" w:type="dxa"/>
              <w:start w:w="100" w:type="dxa"/>
              <w:bottom w:w="90" w:type="dxa"/>
              <w:end w:w="100" w:type="dxa"/>
            </w:tcMar>
          </w:tcPr>
          <w:p>
            <w:pPr>
              <w:spacing w:after="0" w:before="0" w:line="252" w:lineRule="auto"/>
            </w:pPr>
            <w:r>
              <w:rPr>
                <w:rFonts w:ascii="DejaVu Serif" w:hAnsi="DejaVu Serif"/>
                <w:sz w:val="16"/>
              </w:rPr>
              <w:t>next gate</w:t>
            </w:r>
          </w:p>
        </w:tc>
        <w:tc>
          <w:tcPr>
            <w:tcW w:type="dxa" w:w="4365"/>
            <w:vAlign w:val="center"/>
            <w:tcMar>
              <w:top w:w="90" w:type="dxa"/>
              <w:start w:w="100" w:type="dxa"/>
              <w:bottom w:w="90" w:type="dxa"/>
              <w:end w:w="100" w:type="dxa"/>
            </w:tcMar>
          </w:tcPr>
          <w:p>
            <w:pPr>
              <w:spacing w:after="0" w:before="0" w:line="252" w:lineRule="auto"/>
            </w:pPr>
            <w:r>
              <w:rPr>
                <w:rFonts w:ascii="DejaVu Serif" w:hAnsi="DejaVu Serif"/>
                <w:sz w:val="16"/>
              </w:rPr>
              <w:t>set T1-EN-FC-v0.12 as the next checkpoint</w:t>
            </w:r>
          </w:p>
        </w:tc>
        <w:tc>
          <w:tcPr>
            <w:tcW w:type="dxa" w:w="1134"/>
            <w:vAlign w:val="center"/>
            <w:tcMar>
              <w:top w:w="90" w:type="dxa"/>
              <w:start w:w="100" w:type="dxa"/>
              <w:bottom w:w="90" w:type="dxa"/>
              <w:end w:w="100" w:type="dxa"/>
            </w:tcMar>
          </w:tcPr>
          <w:p>
            <w:pPr>
              <w:spacing w:after="0" w:before="0" w:line="252" w:lineRule="auto"/>
            </w:pPr>
            <w:r>
              <w:rPr>
                <w:rFonts w:ascii="DejaVu Serif" w:hAnsi="DejaVu Serif"/>
                <w:sz w:val="16"/>
              </w:rPr>
              <w:t>DOC</w:t>
            </w:r>
          </w:p>
        </w:tc>
      </w:tr>
    </w:tbl>
    <w:p>
      <w:pPr>
        <w:pStyle w:val="Heading2"/>
      </w:pPr>
      <w:r>
        <w:t>H.7. Audit Obligations</w:t>
      </w:r>
    </w:p>
    <w:tbl>
      <w:tblPr>
        <w:tblStyle w:val="TableGrid"/>
        <w:tblW w:type="auto" w:w="0"/>
        <w:jc w:val="center"/>
        <w:tblLayout w:type="autofit"/>
        <w:tblLook w:firstColumn="1" w:firstRow="1" w:lastColumn="0" w:lastRow="0" w:noHBand="0" w:noVBand="1" w:val="04A0"/>
      </w:tblPr>
      <w:tblGrid>
        <w:gridCol w:w="3357"/>
        <w:gridCol w:w="3357"/>
        <w:gridCol w:w="3357"/>
      </w:tblGrid>
      <w:tr>
        <w:tc>
          <w:tcPr>
            <w:tcW w:type="dxa" w:w="1757"/>
            <w:vAlign w:val="center"/>
            <w:tcMar>
              <w:top w:w="90" w:type="dxa"/>
              <w:start w:w="100" w:type="dxa"/>
              <w:bottom w:w="90" w:type="dxa"/>
              <w:end w:w="100" w:type="dxa"/>
            </w:tcMar>
            <w:shd w:fill="E8EEF7"/>
          </w:tcPr>
          <w:p>
            <w:pPr>
              <w:spacing w:after="0" w:before="0" w:line="252" w:lineRule="auto"/>
              <w:jc w:val="center"/>
            </w:pPr>
            <w:r>
              <w:rPr>
                <w:rFonts w:ascii="DejaVu Serif" w:hAnsi="DejaVu Serif"/>
                <w:b/>
                <w:color w:val="17345F"/>
                <w:sz w:val="16"/>
              </w:rPr>
              <w:t>Obligation</w:t>
            </w:r>
          </w:p>
        </w:tc>
        <w:tc>
          <w:tcPr>
            <w:tcW w:type="dxa" w:w="4819"/>
            <w:vAlign w:val="center"/>
            <w:tcMar>
              <w:top w:w="90" w:type="dxa"/>
              <w:start w:w="100" w:type="dxa"/>
              <w:bottom w:w="90" w:type="dxa"/>
              <w:end w:w="100" w:type="dxa"/>
            </w:tcMar>
            <w:shd w:fill="E8EEF7"/>
          </w:tcPr>
          <w:p>
            <w:pPr>
              <w:spacing w:after="0" w:before="0" w:line="252" w:lineRule="auto"/>
            </w:pPr>
            <w:r>
              <w:rPr>
                <w:rFonts w:ascii="DejaVu Serif" w:hAnsi="DejaVu Serif"/>
                <w:b/>
                <w:color w:val="17345F"/>
                <w:sz w:val="16"/>
              </w:rPr>
              <w:t>Content</w:t>
            </w:r>
          </w:p>
        </w:tc>
        <w:tc>
          <w:tcPr>
            <w:tcW w:type="dxa" w:w="2098"/>
            <w:vAlign w:val="center"/>
            <w:tcMar>
              <w:top w:w="90" w:type="dxa"/>
              <w:start w:w="100" w:type="dxa"/>
              <w:bottom w:w="90" w:type="dxa"/>
              <w:end w:w="100" w:type="dxa"/>
            </w:tcMar>
            <w:shd w:fill="E8EEF7"/>
          </w:tcPr>
          <w:p>
            <w:pPr>
              <w:spacing w:after="0" w:before="0" w:line="252" w:lineRule="auto"/>
            </w:pPr>
            <w:r>
              <w:rPr>
                <w:rFonts w:ascii="DejaVu Serif" w:hAnsi="DejaVu Serif"/>
                <w:b/>
                <w:color w:val="17345F"/>
                <w:sz w:val="16"/>
              </w:rPr>
              <w:t>Status</w:t>
            </w:r>
          </w:p>
        </w:tc>
      </w:tr>
      <w:tr>
        <w:tc>
          <w:tcPr>
            <w:tcW w:type="dxa" w:w="1757"/>
            <w:vAlign w:val="center"/>
            <w:tcMar>
              <w:top w:w="90" w:type="dxa"/>
              <w:start w:w="100" w:type="dxa"/>
              <w:bottom w:w="90" w:type="dxa"/>
              <w:end w:w="100" w:type="dxa"/>
            </w:tcMar>
          </w:tcPr>
          <w:p>
            <w:pPr>
              <w:spacing w:after="0" w:before="0" w:line="252" w:lineRule="auto"/>
              <w:jc w:val="center"/>
            </w:pPr>
            <w:r>
              <w:rPr>
                <w:rFonts w:ascii="DejaVu Serif" w:hAnsi="DejaVu Serif"/>
                <w:sz w:val="16"/>
              </w:rPr>
              <w:t>T1-EN-PO-021</w:t>
            </w:r>
          </w:p>
        </w:tc>
        <w:tc>
          <w:tcPr>
            <w:tcW w:type="dxa" w:w="4819"/>
            <w:vAlign w:val="center"/>
            <w:tcMar>
              <w:top w:w="90" w:type="dxa"/>
              <w:start w:w="100" w:type="dxa"/>
              <w:bottom w:w="90" w:type="dxa"/>
              <w:end w:w="100" w:type="dxa"/>
            </w:tcMar>
          </w:tcPr>
          <w:p>
            <w:pPr>
              <w:spacing w:after="0" w:before="0" w:line="252" w:lineRule="auto"/>
            </w:pPr>
            <w:r>
              <w:rPr>
                <w:rFonts w:ascii="DejaVu Serif" w:hAnsi="DejaVu Serif"/>
                <w:sz w:val="16"/>
              </w:rPr>
              <w:t>bilingual structural and formula audit</w:t>
            </w:r>
          </w:p>
        </w:tc>
        <w:tc>
          <w:tcPr>
            <w:tcW w:type="dxa" w:w="2098"/>
            <w:vAlign w:val="center"/>
            <w:tcMar>
              <w:top w:w="90" w:type="dxa"/>
              <w:start w:w="100" w:type="dxa"/>
              <w:bottom w:w="90" w:type="dxa"/>
              <w:end w:w="100" w:type="dxa"/>
            </w:tcMar>
          </w:tcPr>
          <w:p>
            <w:pPr>
              <w:spacing w:after="0" w:before="0" w:line="252" w:lineRule="auto"/>
            </w:pPr>
            <w:r>
              <w:rPr>
                <w:rFonts w:ascii="DejaVu Serif" w:hAnsi="DejaVu Serif"/>
                <w:sz w:val="16"/>
              </w:rPr>
              <w:t>CLOSED-AUTHORIAL-AUDIT</w:t>
            </w:r>
          </w:p>
        </w:tc>
      </w:tr>
      <w:tr>
        <w:tc>
          <w:tcPr>
            <w:tcW w:type="dxa" w:w="1757"/>
            <w:vAlign w:val="center"/>
            <w:tcMar>
              <w:top w:w="90" w:type="dxa"/>
              <w:start w:w="100" w:type="dxa"/>
              <w:bottom w:w="90" w:type="dxa"/>
              <w:end w:w="100" w:type="dxa"/>
            </w:tcMar>
          </w:tcPr>
          <w:p>
            <w:pPr>
              <w:spacing w:after="0" w:before="0" w:line="252" w:lineRule="auto"/>
              <w:jc w:val="center"/>
            </w:pPr>
            <w:r>
              <w:rPr>
                <w:rFonts w:ascii="DejaVu Serif" w:hAnsi="DejaVu Serif"/>
                <w:sz w:val="16"/>
              </w:rPr>
              <w:t>T1-EN-PO-022</w:t>
            </w:r>
          </w:p>
        </w:tc>
        <w:tc>
          <w:tcPr>
            <w:tcW w:type="dxa" w:w="4819"/>
            <w:vAlign w:val="center"/>
            <w:tcMar>
              <w:top w:w="90" w:type="dxa"/>
              <w:start w:w="100" w:type="dxa"/>
              <w:bottom w:w="90" w:type="dxa"/>
              <w:end w:w="100" w:type="dxa"/>
            </w:tcMar>
          </w:tcPr>
          <w:p>
            <w:pPr>
              <w:spacing w:after="0" w:before="0" w:line="252" w:lineRule="auto"/>
            </w:pPr>
            <w:r>
              <w:rPr>
                <w:rFonts w:ascii="DejaVu Serif" w:hAnsi="DejaVu Serif"/>
                <w:sz w:val="16"/>
              </w:rPr>
              <w:t>formula registry precision corrections</w:t>
            </w:r>
          </w:p>
        </w:tc>
        <w:tc>
          <w:tcPr>
            <w:tcW w:type="dxa" w:w="2098"/>
            <w:vAlign w:val="center"/>
            <w:tcMar>
              <w:top w:w="90" w:type="dxa"/>
              <w:start w:w="100" w:type="dxa"/>
              <w:bottom w:w="90" w:type="dxa"/>
              <w:end w:w="100" w:type="dxa"/>
            </w:tcMar>
          </w:tcPr>
          <w:p>
            <w:pPr>
              <w:spacing w:after="0" w:before="0" w:line="252" w:lineRule="auto"/>
            </w:pPr>
            <w:r>
              <w:rPr>
                <w:rFonts w:ascii="DejaVu Serif" w:hAnsi="DejaVu Serif"/>
                <w:sz w:val="16"/>
              </w:rPr>
              <w:t>CLOSED-PARITY</w:t>
            </w:r>
          </w:p>
        </w:tc>
      </w:tr>
      <w:tr>
        <w:tc>
          <w:tcPr>
            <w:tcW w:type="dxa" w:w="1757"/>
            <w:vAlign w:val="center"/>
            <w:tcMar>
              <w:top w:w="90" w:type="dxa"/>
              <w:start w:w="100" w:type="dxa"/>
              <w:bottom w:w="90" w:type="dxa"/>
              <w:end w:w="100" w:type="dxa"/>
            </w:tcMar>
          </w:tcPr>
          <w:p>
            <w:pPr>
              <w:spacing w:after="0" w:before="0" w:line="252" w:lineRule="auto"/>
              <w:jc w:val="center"/>
            </w:pPr>
            <w:r>
              <w:rPr>
                <w:rFonts w:ascii="DejaVu Serif" w:hAnsi="DejaVu Serif"/>
                <w:sz w:val="16"/>
              </w:rPr>
              <w:t>T1-EN-PO-023</w:t>
            </w:r>
          </w:p>
        </w:tc>
        <w:tc>
          <w:tcPr>
            <w:tcW w:type="dxa" w:w="4819"/>
            <w:vAlign w:val="center"/>
            <w:tcMar>
              <w:top w:w="90" w:type="dxa"/>
              <w:start w:w="100" w:type="dxa"/>
              <w:bottom w:w="90" w:type="dxa"/>
              <w:end w:w="100" w:type="dxa"/>
            </w:tcMar>
          </w:tcPr>
          <w:p>
            <w:pPr>
              <w:spacing w:after="0" w:before="0" w:line="252" w:lineRule="auto"/>
            </w:pPr>
            <w:r>
              <w:rPr>
                <w:rFonts w:ascii="DejaVu Serif" w:hAnsi="DejaVu Serif"/>
                <w:sz w:val="16"/>
              </w:rPr>
              <w:t>definition/theorem/status non-promotion audit</w:t>
            </w:r>
          </w:p>
        </w:tc>
        <w:tc>
          <w:tcPr>
            <w:tcW w:type="dxa" w:w="2098"/>
            <w:vAlign w:val="center"/>
            <w:tcMar>
              <w:top w:w="90" w:type="dxa"/>
              <w:start w:w="100" w:type="dxa"/>
              <w:bottom w:w="90" w:type="dxa"/>
              <w:end w:w="100" w:type="dxa"/>
            </w:tcMar>
          </w:tcPr>
          <w:p>
            <w:pPr>
              <w:spacing w:after="0" w:before="0" w:line="252" w:lineRule="auto"/>
            </w:pPr>
            <w:r>
              <w:rPr>
                <w:rFonts w:ascii="DejaVu Serif" w:hAnsi="DejaVu Serif"/>
                <w:sz w:val="16"/>
              </w:rPr>
              <w:t>CLOSED-PARITY</w:t>
            </w:r>
          </w:p>
        </w:tc>
      </w:tr>
      <w:tr>
        <w:tc>
          <w:tcPr>
            <w:tcW w:type="dxa" w:w="1757"/>
            <w:vAlign w:val="center"/>
            <w:tcMar>
              <w:top w:w="90" w:type="dxa"/>
              <w:start w:w="100" w:type="dxa"/>
              <w:bottom w:w="90" w:type="dxa"/>
              <w:end w:w="100" w:type="dxa"/>
            </w:tcMar>
          </w:tcPr>
          <w:p>
            <w:pPr>
              <w:spacing w:after="0" w:before="0" w:line="252" w:lineRule="auto"/>
              <w:jc w:val="center"/>
            </w:pPr>
            <w:r>
              <w:rPr>
                <w:rFonts w:ascii="DejaVu Serif" w:hAnsi="DejaVu Serif"/>
                <w:sz w:val="16"/>
              </w:rPr>
              <w:t>T1-EN-PO-024</w:t>
            </w:r>
          </w:p>
        </w:tc>
        <w:tc>
          <w:tcPr>
            <w:tcW w:type="dxa" w:w="4819"/>
            <w:vAlign w:val="center"/>
            <w:tcMar>
              <w:top w:w="90" w:type="dxa"/>
              <w:start w:w="100" w:type="dxa"/>
              <w:bottom w:w="90" w:type="dxa"/>
              <w:end w:w="100" w:type="dxa"/>
            </w:tcMar>
          </w:tcPr>
          <w:p>
            <w:pPr>
              <w:spacing w:after="0" w:before="0" w:line="252" w:lineRule="auto"/>
            </w:pPr>
            <w:r>
              <w:rPr>
                <w:rFonts w:ascii="DejaVu Serif" w:hAnsi="DejaVu Serif"/>
                <w:sz w:val="16"/>
              </w:rPr>
              <w:t>negative-result and counterexample preservation</w:t>
            </w:r>
          </w:p>
        </w:tc>
        <w:tc>
          <w:tcPr>
            <w:tcW w:type="dxa" w:w="2098"/>
            <w:vAlign w:val="center"/>
            <w:tcMar>
              <w:top w:w="90" w:type="dxa"/>
              <w:start w:w="100" w:type="dxa"/>
              <w:bottom w:w="90" w:type="dxa"/>
              <w:end w:w="100" w:type="dxa"/>
            </w:tcMar>
          </w:tcPr>
          <w:p>
            <w:pPr>
              <w:spacing w:after="0" w:before="0" w:line="252" w:lineRule="auto"/>
            </w:pPr>
            <w:r>
              <w:rPr>
                <w:rFonts w:ascii="DejaVu Serif" w:hAnsi="DejaVu Serif"/>
                <w:sz w:val="16"/>
              </w:rPr>
              <w:t>CLOSED-QA</w:t>
            </w:r>
          </w:p>
        </w:tc>
      </w:tr>
      <w:tr>
        <w:tc>
          <w:tcPr>
            <w:tcW w:type="dxa" w:w="1757"/>
            <w:vAlign w:val="center"/>
            <w:tcMar>
              <w:top w:w="90" w:type="dxa"/>
              <w:start w:w="100" w:type="dxa"/>
              <w:bottom w:w="90" w:type="dxa"/>
              <w:end w:w="100" w:type="dxa"/>
            </w:tcMar>
          </w:tcPr>
          <w:p>
            <w:pPr>
              <w:spacing w:after="0" w:before="0" w:line="252" w:lineRule="auto"/>
              <w:jc w:val="center"/>
            </w:pPr>
            <w:r>
              <w:rPr>
                <w:rFonts w:ascii="DejaVu Serif" w:hAnsi="DejaVu Serif"/>
                <w:sz w:val="16"/>
              </w:rPr>
              <w:t>T1-EN-PO-025</w:t>
            </w:r>
          </w:p>
        </w:tc>
        <w:tc>
          <w:tcPr>
            <w:tcW w:type="dxa" w:w="4819"/>
            <w:vAlign w:val="center"/>
            <w:tcMar>
              <w:top w:w="90" w:type="dxa"/>
              <w:start w:w="100" w:type="dxa"/>
              <w:bottom w:w="90" w:type="dxa"/>
              <w:end w:w="100" w:type="dxa"/>
            </w:tcMar>
          </w:tcPr>
          <w:p>
            <w:pPr>
              <w:spacing w:after="0" w:before="0" w:line="252" w:lineRule="auto"/>
            </w:pPr>
            <w:r>
              <w:rPr>
                <w:rFonts w:ascii="DejaVu Serif" w:hAnsi="DejaVu Serif"/>
                <w:sz w:val="16"/>
              </w:rPr>
              <w:t>untranslated-fragment boundary audit</w:t>
            </w:r>
          </w:p>
        </w:tc>
        <w:tc>
          <w:tcPr>
            <w:tcW w:type="dxa" w:w="2098"/>
            <w:vAlign w:val="center"/>
            <w:tcMar>
              <w:top w:w="90" w:type="dxa"/>
              <w:start w:w="100" w:type="dxa"/>
              <w:bottom w:w="90" w:type="dxa"/>
              <w:end w:w="100" w:type="dxa"/>
            </w:tcMar>
          </w:tcPr>
          <w:p>
            <w:pPr>
              <w:spacing w:after="0" w:before="0" w:line="252" w:lineRule="auto"/>
            </w:pPr>
            <w:r>
              <w:rPr>
                <w:rFonts w:ascii="DejaVu Serif" w:hAnsi="DejaVu Serif"/>
                <w:sz w:val="16"/>
              </w:rPr>
              <w:t>CLOSED-QA</w:t>
            </w:r>
          </w:p>
        </w:tc>
      </w:tr>
      <w:tr>
        <w:tc>
          <w:tcPr>
            <w:tcW w:type="dxa" w:w="1757"/>
            <w:vAlign w:val="center"/>
            <w:tcMar>
              <w:top w:w="90" w:type="dxa"/>
              <w:start w:w="100" w:type="dxa"/>
              <w:bottom w:w="90" w:type="dxa"/>
              <w:end w:w="100" w:type="dxa"/>
            </w:tcMar>
          </w:tcPr>
          <w:p>
            <w:pPr>
              <w:spacing w:after="0" w:before="0" w:line="252" w:lineRule="auto"/>
              <w:jc w:val="center"/>
            </w:pPr>
            <w:r>
              <w:rPr>
                <w:rFonts w:ascii="DejaVu Serif" w:hAnsi="DejaVu Serif"/>
                <w:sz w:val="16"/>
              </w:rPr>
              <w:t>T1-EN-PO-026</w:t>
            </w:r>
          </w:p>
        </w:tc>
        <w:tc>
          <w:tcPr>
            <w:tcW w:type="dxa" w:w="4819"/>
            <w:vAlign w:val="center"/>
            <w:tcMar>
              <w:top w:w="90" w:type="dxa"/>
              <w:start w:w="100" w:type="dxa"/>
              <w:bottom w:w="90" w:type="dxa"/>
              <w:end w:w="100" w:type="dxa"/>
            </w:tcMar>
          </w:tcPr>
          <w:p>
            <w:pPr>
              <w:spacing w:after="0" w:before="0" w:line="252" w:lineRule="auto"/>
            </w:pPr>
            <w:r>
              <w:rPr>
                <w:rFonts w:ascii="DejaVu Serif" w:hAnsi="DejaVu Serif"/>
                <w:sz w:val="16"/>
              </w:rPr>
              <w:t>source-card and hash-format audit</w:t>
            </w:r>
          </w:p>
        </w:tc>
        <w:tc>
          <w:tcPr>
            <w:tcW w:type="dxa" w:w="2098"/>
            <w:vAlign w:val="center"/>
            <w:tcMar>
              <w:top w:w="90" w:type="dxa"/>
              <w:start w:w="100" w:type="dxa"/>
              <w:bottom w:w="90" w:type="dxa"/>
              <w:end w:w="100" w:type="dxa"/>
            </w:tcMar>
          </w:tcPr>
          <w:p>
            <w:pPr>
              <w:spacing w:after="0" w:before="0" w:line="252" w:lineRule="auto"/>
            </w:pPr>
            <w:r>
              <w:rPr>
                <w:rFonts w:ascii="DejaVu Serif" w:hAnsi="DejaVu Serif"/>
                <w:sz w:val="16"/>
              </w:rPr>
              <w:t>CLOSED-QA</w:t>
            </w:r>
          </w:p>
        </w:tc>
      </w:tr>
      <w:tr>
        <w:tc>
          <w:tcPr>
            <w:tcW w:type="dxa" w:w="1757"/>
            <w:vAlign w:val="center"/>
            <w:tcMar>
              <w:top w:w="90" w:type="dxa"/>
              <w:start w:w="100" w:type="dxa"/>
              <w:bottom w:w="90" w:type="dxa"/>
              <w:end w:w="100" w:type="dxa"/>
            </w:tcMar>
          </w:tcPr>
          <w:p>
            <w:pPr>
              <w:spacing w:after="0" w:before="0" w:line="252" w:lineRule="auto"/>
              <w:jc w:val="center"/>
            </w:pPr>
            <w:r>
              <w:rPr>
                <w:rFonts w:ascii="DejaVu Serif" w:hAnsi="DejaVu Serif"/>
                <w:sz w:val="16"/>
              </w:rPr>
              <w:t>T1-EN-PO-027</w:t>
            </w:r>
          </w:p>
        </w:tc>
        <w:tc>
          <w:tcPr>
            <w:tcW w:type="dxa" w:w="4819"/>
            <w:vAlign w:val="center"/>
            <w:tcMar>
              <w:top w:w="90" w:type="dxa"/>
              <w:start w:w="100" w:type="dxa"/>
              <w:bottom w:w="90" w:type="dxa"/>
              <w:end w:w="100" w:type="dxa"/>
            </w:tcMar>
          </w:tcPr>
          <w:p>
            <w:pPr>
              <w:spacing w:after="0" w:before="0" w:line="252" w:lineRule="auto"/>
            </w:pPr>
            <w:r>
              <w:rPr>
                <w:rFonts w:ascii="DejaVu Serif" w:hAnsi="DejaVu Serif"/>
                <w:sz w:val="16"/>
              </w:rPr>
              <w:t>externally signed bilingual review</w:t>
            </w:r>
          </w:p>
        </w:tc>
        <w:tc>
          <w:tcPr>
            <w:tcW w:type="dxa" w:w="2098"/>
            <w:vAlign w:val="center"/>
            <w:tcMar>
              <w:top w:w="90" w:type="dxa"/>
              <w:start w:w="100" w:type="dxa"/>
              <w:bottom w:w="90" w:type="dxa"/>
              <w:end w:w="100" w:type="dxa"/>
            </w:tcMar>
          </w:tcPr>
          <w:p>
            <w:pPr>
              <w:spacing w:after="0" w:before="0" w:line="252" w:lineRule="auto"/>
            </w:pPr>
            <w:r>
              <w:rPr>
                <w:rFonts w:ascii="DejaVu Serif" w:hAnsi="DejaVu Serif"/>
                <w:sz w:val="16"/>
              </w:rPr>
              <w:t>OPEN NON-VETO</w:t>
            </w:r>
          </w:p>
        </w:tc>
      </w:tr>
      <w:tr>
        <w:tc>
          <w:tcPr>
            <w:tcW w:type="dxa" w:w="1757"/>
            <w:vAlign w:val="center"/>
            <w:tcMar>
              <w:top w:w="90" w:type="dxa"/>
              <w:start w:w="100" w:type="dxa"/>
              <w:bottom w:w="90" w:type="dxa"/>
              <w:end w:w="100" w:type="dxa"/>
            </w:tcMar>
          </w:tcPr>
          <w:p>
            <w:pPr>
              <w:spacing w:after="0" w:before="0" w:line="252" w:lineRule="auto"/>
              <w:jc w:val="center"/>
            </w:pPr>
            <w:r>
              <w:rPr>
                <w:rFonts w:ascii="DejaVu Serif" w:hAnsi="DejaVu Serif"/>
                <w:sz w:val="16"/>
              </w:rPr>
              <w:t>T1-EN-PO-028</w:t>
            </w:r>
          </w:p>
        </w:tc>
        <w:tc>
          <w:tcPr>
            <w:tcW w:type="dxa" w:w="4819"/>
            <w:vAlign w:val="center"/>
            <w:tcMar>
              <w:top w:w="90" w:type="dxa"/>
              <w:start w:w="100" w:type="dxa"/>
              <w:bottom w:w="90" w:type="dxa"/>
              <w:end w:w="100" w:type="dxa"/>
            </w:tcMar>
          </w:tcPr>
          <w:p>
            <w:pPr>
              <w:spacing w:after="0" w:before="0" w:line="252" w:lineRule="auto"/>
            </w:pPr>
            <w:r>
              <w:rPr>
                <w:rFonts w:ascii="DejaVu Serif" w:hAnsi="DejaVu Serif"/>
                <w:sz w:val="16"/>
              </w:rPr>
              <w:t>freeze-candidate controlled diff and detached receipt</w:t>
            </w:r>
          </w:p>
        </w:tc>
        <w:tc>
          <w:tcPr>
            <w:tcW w:type="dxa" w:w="2098"/>
            <w:vAlign w:val="center"/>
            <w:tcMar>
              <w:top w:w="90" w:type="dxa"/>
              <w:start w:w="100" w:type="dxa"/>
              <w:bottom w:w="90" w:type="dxa"/>
              <w:end w:w="100" w:type="dxa"/>
            </w:tcMar>
          </w:tcPr>
          <w:p>
            <w:pPr>
              <w:spacing w:after="0" w:before="0" w:line="252" w:lineRule="auto"/>
            </w:pPr>
            <w:r>
              <w:rPr>
                <w:rFonts w:ascii="DejaVu Serif" w:hAnsi="DejaVu Serif"/>
                <w:sz w:val="16"/>
              </w:rPr>
              <w:t>NEXT</w:t>
            </w:r>
          </w:p>
        </w:tc>
      </w:tr>
      <w:tr>
        <w:tc>
          <w:tcPr>
            <w:tcW w:type="dxa" w:w="1757"/>
            <w:vAlign w:val="center"/>
            <w:tcMar>
              <w:top w:w="90" w:type="dxa"/>
              <w:start w:w="100" w:type="dxa"/>
              <w:bottom w:w="90" w:type="dxa"/>
              <w:end w:w="100" w:type="dxa"/>
            </w:tcMar>
          </w:tcPr>
          <w:p>
            <w:pPr>
              <w:spacing w:after="0" w:before="0" w:line="252" w:lineRule="auto"/>
              <w:jc w:val="center"/>
            </w:pPr>
            <w:r>
              <w:rPr>
                <w:rFonts w:ascii="DejaVu Serif" w:hAnsi="DejaVu Serif"/>
                <w:sz w:val="16"/>
              </w:rPr>
              <w:t>T1-EN-PO-029</w:t>
            </w:r>
          </w:p>
        </w:tc>
        <w:tc>
          <w:tcPr>
            <w:tcW w:type="dxa" w:w="4819"/>
            <w:vAlign w:val="center"/>
            <w:tcMar>
              <w:top w:w="90" w:type="dxa"/>
              <w:start w:w="100" w:type="dxa"/>
              <w:bottom w:w="90" w:type="dxa"/>
              <w:end w:w="100" w:type="dxa"/>
            </w:tcMar>
          </w:tcPr>
          <w:p>
            <w:pPr>
              <w:spacing w:after="0" w:before="0" w:line="252" w:lineRule="auto"/>
            </w:pPr>
            <w:r>
              <w:rPr>
                <w:rFonts w:ascii="DejaVu Serif" w:hAnsi="DejaVu Serif"/>
                <w:sz w:val="16"/>
              </w:rPr>
              <w:t>immutable English release</w:t>
            </w:r>
          </w:p>
        </w:tc>
        <w:tc>
          <w:tcPr>
            <w:tcW w:type="dxa" w:w="2098"/>
            <w:vAlign w:val="center"/>
            <w:tcMar>
              <w:top w:w="90" w:type="dxa"/>
              <w:start w:w="100" w:type="dxa"/>
              <w:bottom w:w="90" w:type="dxa"/>
              <w:end w:w="100" w:type="dxa"/>
            </w:tcMar>
          </w:tcPr>
          <w:p>
            <w:pPr>
              <w:spacing w:after="0" w:before="0" w:line="252" w:lineRule="auto"/>
            </w:pPr>
            <w:r>
              <w:rPr>
                <w:rFonts w:ascii="DejaVu Serif" w:hAnsi="DejaVu Serif"/>
                <w:sz w:val="16"/>
              </w:rPr>
              <w:t>FUTURE</w:t>
            </w:r>
          </w:p>
        </w:tc>
      </w:tr>
    </w:tbl>
    <w:p>
      <w:pPr>
        <w:pStyle w:val="Heading2"/>
      </w:pPr>
      <w:r>
        <w:t>H.8. Decision and Boundary of Conclusion</w:t>
      </w:r>
    </w:p>
    <w:tbl>
      <w:tblPr>
        <w:tblStyle w:val="TableGrid"/>
        <w:tblW w:type="auto" w:w="0"/>
        <w:jc w:val="center"/>
        <w:tblLook w:firstColumn="1" w:firstRow="1" w:lastColumn="0" w:lastRow="0" w:noHBand="0" w:noVBand="1" w:val="04A0"/>
      </w:tblPr>
      <w:tblGrid>
        <w:gridCol w:w="10070"/>
      </w:tblGrid>
      <w:tr>
        <w:tc>
          <w:tcPr>
            <w:tcW w:type="dxa" w:w="10070"/>
            <w:shd w:fill="EAF2EA"/>
            <w:tcMar>
              <w:top w:w="140" w:type="dxa"/>
              <w:start w:w="160" w:type="dxa"/>
              <w:bottom w:w="140" w:type="dxa"/>
              <w:end w:w="160" w:type="dxa"/>
            </w:tcMar>
          </w:tcPr>
          <w:p>
            <w:pPr>
              <w:jc w:val="left"/>
            </w:pPr>
            <w:r>
              <w:rPr>
                <w:rFonts w:ascii="DejaVu Serif" w:hAnsi="DejaVu Serif"/>
                <w:b/>
                <w:color w:val="1E5B36"/>
                <w:sz w:val="18"/>
              </w:rPr>
              <w:t>DECISION. T1-EN-AUDIT-v0.11 is accepted as the audited authorial English master and may proceed to T1-EN-FC-v0.12. The next stage must create a controlled diff against v0.11, a detached release receipt, final no-change verification, and an explicit freeze-candidate decision.</w:t>
            </w:r>
          </w:p>
        </w:tc>
      </w:tr>
    </w:tbl>
    <w:p>
      <w:pPr>
        <w:spacing w:before="100" w:after="100"/>
        <w:jc w:val="center"/>
      </w:pPr>
      <w:r>
        <w:rPr>
          <w:rFonts w:ascii="DejaVu Serif" w:hAnsi="DejaVu Serif"/>
          <w:i/>
          <w:sz w:val="21"/>
        </w:rPr>
        <w:t>NUM-SOURCE ≠ EXT-RUN ≠ EMP-OBS</w:t>
      </w:r>
    </w:p>
    <w:p>
      <w:pPr>
        <w:spacing w:before="100" w:after="100"/>
        <w:jc w:val="center"/>
      </w:pPr>
      <w:r>
        <w:rPr>
          <w:rFonts w:ascii="DejaVu Serif" w:hAnsi="DejaVu Serif"/>
          <w:i/>
          <w:sz w:val="21"/>
        </w:rPr>
        <w:t>Physical verdict for F-1-F-14 = ABSTAIN / OPEN</w:t>
      </w:r>
    </w:p>
    <w:p>
      <w:pPr>
        <w:spacing w:after="100" w:line="269" w:lineRule="auto"/>
      </w:pPr>
      <w:r>
        <w:rPr>
          <w:i w:val="0"/>
        </w:rPr>
        <w:t>No experimental data were introduced. No theorem was strengthened. No Russian source object was overwritten. Any future scientific correction must be introduced through a documented change-set and a new version.</w:t>
      </w:r>
    </w:p>
    <w:tbl>
      <w:tblPr>
        <w:tblStyle w:val="TableGrid"/>
        <w:tblW w:type="auto" w:w="0"/>
        <w:jc w:val="center"/>
        <w:tblLayout w:type="autofit"/>
        <w:tblLook w:firstColumn="1" w:firstRow="1" w:lastColumn="0" w:lastRow="0" w:noHBand="0" w:noVBand="1" w:val="04A0"/>
      </w:tblPr>
      <w:tblGrid>
        <w:gridCol w:w="5035"/>
        <w:gridCol w:w="5035"/>
      </w:tblGrid>
      <w:tr>
        <w:tc>
          <w:tcPr>
            <w:tcW w:type="dxa" w:w="2438"/>
            <w:vAlign w:val="center"/>
            <w:tcMar>
              <w:top w:w="90" w:type="dxa"/>
              <w:start w:w="100" w:type="dxa"/>
              <w:bottom w:w="90" w:type="dxa"/>
              <w:end w:w="100" w:type="dxa"/>
            </w:tcMar>
            <w:shd w:fill="E8EEF7"/>
          </w:tcPr>
          <w:p>
            <w:pPr>
              <w:spacing w:after="0" w:before="0" w:line="252" w:lineRule="auto"/>
              <w:jc w:val="center"/>
            </w:pPr>
            <w:r>
              <w:rPr>
                <w:rFonts w:ascii="DejaVu Serif" w:hAnsi="DejaVu Serif"/>
                <w:b/>
                <w:color w:val="17345F"/>
                <w:sz w:val="16"/>
              </w:rPr>
              <w:t>Field</w:t>
            </w:r>
          </w:p>
        </w:tc>
        <w:tc>
          <w:tcPr>
            <w:tcW w:type="dxa" w:w="6690"/>
            <w:vAlign w:val="center"/>
            <w:tcMar>
              <w:top w:w="90" w:type="dxa"/>
              <w:start w:w="100" w:type="dxa"/>
              <w:bottom w:w="90" w:type="dxa"/>
              <w:end w:w="100" w:type="dxa"/>
            </w:tcMar>
            <w:shd w:fill="E8EEF7"/>
          </w:tcPr>
          <w:p>
            <w:pPr>
              <w:spacing w:after="0" w:before="0" w:line="252" w:lineRule="auto"/>
            </w:pPr>
            <w:r>
              <w:rPr>
                <w:rFonts w:ascii="DejaVu Serif" w:hAnsi="DejaVu Serif"/>
                <w:b/>
                <w:color w:val="17345F"/>
                <w:sz w:val="16"/>
              </w:rPr>
              <w:t>Fixed value</w:t>
            </w:r>
          </w:p>
        </w:tc>
      </w:tr>
      <w:tr>
        <w:tc>
          <w:tcPr>
            <w:tcW w:type="dxa" w:w="2438"/>
            <w:vAlign w:val="center"/>
            <w:tcMar>
              <w:top w:w="90" w:type="dxa"/>
              <w:start w:w="100" w:type="dxa"/>
              <w:bottom w:w="90" w:type="dxa"/>
              <w:end w:w="100" w:type="dxa"/>
            </w:tcMar>
          </w:tcPr>
          <w:p>
            <w:pPr>
              <w:spacing w:after="0" w:before="0" w:line="252" w:lineRule="auto"/>
              <w:jc w:val="center"/>
            </w:pPr>
            <w:r>
              <w:rPr>
                <w:rFonts w:ascii="DejaVu Serif" w:hAnsi="DejaVu Serif"/>
                <w:sz w:val="16"/>
              </w:rPr>
              <w:t>Release</w:t>
            </w:r>
          </w:p>
        </w:tc>
        <w:tc>
          <w:tcPr>
            <w:tcW w:type="dxa" w:w="6690"/>
            <w:vAlign w:val="center"/>
            <w:tcMar>
              <w:top w:w="90" w:type="dxa"/>
              <w:start w:w="100" w:type="dxa"/>
              <w:bottom w:w="90" w:type="dxa"/>
              <w:end w:w="100" w:type="dxa"/>
            </w:tcMar>
          </w:tcPr>
          <w:p>
            <w:pPr>
              <w:spacing w:after="0" w:before="0" w:line="252" w:lineRule="auto"/>
            </w:pPr>
            <w:r>
              <w:rPr>
                <w:rFonts w:ascii="DejaVu Serif" w:hAnsi="DejaVu Serif"/>
                <w:sz w:val="16"/>
              </w:rPr>
              <w:t>T1-EN-AUDIT-v0.11</w:t>
            </w:r>
          </w:p>
        </w:tc>
      </w:tr>
      <w:tr>
        <w:tc>
          <w:tcPr>
            <w:tcW w:type="dxa" w:w="2438"/>
            <w:vAlign w:val="center"/>
            <w:tcMar>
              <w:top w:w="90" w:type="dxa"/>
              <w:start w:w="100" w:type="dxa"/>
              <w:bottom w:w="90" w:type="dxa"/>
              <w:end w:w="100" w:type="dxa"/>
            </w:tcMar>
          </w:tcPr>
          <w:p>
            <w:pPr>
              <w:spacing w:after="0" w:before="0" w:line="252" w:lineRule="auto"/>
              <w:jc w:val="center"/>
            </w:pPr>
            <w:r>
              <w:rPr>
                <w:rFonts w:ascii="DejaVu Serif" w:hAnsi="DejaVu Serif"/>
                <w:sz w:val="16"/>
              </w:rPr>
              <w:t>Canonical source</w:t>
            </w:r>
          </w:p>
        </w:tc>
        <w:tc>
          <w:tcPr>
            <w:tcW w:type="dxa" w:w="6690"/>
            <w:vAlign w:val="center"/>
            <w:tcMar>
              <w:top w:w="90" w:type="dxa"/>
              <w:start w:w="100" w:type="dxa"/>
              <w:bottom w:w="90" w:type="dxa"/>
              <w:end w:w="100" w:type="dxa"/>
            </w:tcMar>
          </w:tcPr>
          <w:p>
            <w:pPr>
              <w:spacing w:after="0" w:before="0" w:line="252" w:lineRule="auto"/>
            </w:pPr>
            <w:r>
              <w:rPr>
                <w:rFonts w:ascii="DejaVu Serif" w:hAnsi="DejaVu Serif"/>
                <w:sz w:val="16"/>
              </w:rPr>
              <w:t>tom1_v197_ru.pdf</w:t>
            </w:r>
          </w:p>
        </w:tc>
      </w:tr>
      <w:tr>
        <w:tc>
          <w:tcPr>
            <w:tcW w:type="dxa" w:w="2438"/>
            <w:vAlign w:val="center"/>
            <w:tcMar>
              <w:top w:w="90" w:type="dxa"/>
              <w:start w:w="100" w:type="dxa"/>
              <w:bottom w:w="90" w:type="dxa"/>
              <w:end w:w="100" w:type="dxa"/>
            </w:tcMar>
          </w:tcPr>
          <w:p>
            <w:pPr>
              <w:spacing w:after="0" w:before="0" w:line="252" w:lineRule="auto"/>
              <w:jc w:val="center"/>
            </w:pPr>
            <w:r>
              <w:rPr>
                <w:rFonts w:ascii="DejaVu Serif" w:hAnsi="DejaVu Serif"/>
                <w:sz w:val="16"/>
              </w:rPr>
              <w:t>Predecessor</w:t>
            </w:r>
          </w:p>
        </w:tc>
        <w:tc>
          <w:tcPr>
            <w:tcW w:type="dxa" w:w="6690"/>
            <w:vAlign w:val="center"/>
            <w:tcMar>
              <w:top w:w="90" w:type="dxa"/>
              <w:start w:w="100" w:type="dxa"/>
              <w:bottom w:w="90" w:type="dxa"/>
              <w:end w:w="100" w:type="dxa"/>
            </w:tcMar>
          </w:tcPr>
          <w:p>
            <w:pPr>
              <w:spacing w:after="0" w:before="0" w:line="252" w:lineRule="auto"/>
            </w:pPr>
            <w:r>
              <w:rPr>
                <w:rFonts w:ascii="DejaVu Serif" w:hAnsi="DejaVu Serif"/>
                <w:sz w:val="16"/>
              </w:rPr>
              <w:t>tom1_en_v0_10.docx / pdf</w:t>
            </w:r>
          </w:p>
        </w:tc>
      </w:tr>
      <w:tr>
        <w:tc>
          <w:tcPr>
            <w:tcW w:type="dxa" w:w="2438"/>
            <w:vAlign w:val="center"/>
            <w:tcMar>
              <w:top w:w="90" w:type="dxa"/>
              <w:start w:w="100" w:type="dxa"/>
              <w:bottom w:w="90" w:type="dxa"/>
              <w:end w:w="100" w:type="dxa"/>
            </w:tcMar>
          </w:tcPr>
          <w:p>
            <w:pPr>
              <w:spacing w:after="0" w:before="0" w:line="252" w:lineRule="auto"/>
              <w:jc w:val="center"/>
            </w:pPr>
            <w:r>
              <w:rPr>
                <w:rFonts w:ascii="DejaVu Serif" w:hAnsi="DejaVu Serif"/>
                <w:sz w:val="16"/>
              </w:rPr>
              <w:t>Formula parity</w:t>
            </w:r>
          </w:p>
        </w:tc>
        <w:tc>
          <w:tcPr>
            <w:tcW w:type="dxa" w:w="6690"/>
            <w:vAlign w:val="center"/>
            <w:tcMar>
              <w:top w:w="90" w:type="dxa"/>
              <w:start w:w="100" w:type="dxa"/>
              <w:bottom w:w="90" w:type="dxa"/>
              <w:end w:w="100" w:type="dxa"/>
            </w:tcMar>
          </w:tcPr>
          <w:p>
            <w:pPr>
              <w:spacing w:after="0" w:before="0" w:line="252" w:lineRule="auto"/>
            </w:pPr>
            <w:r>
              <w:rPr>
                <w:rFonts w:ascii="DejaVu Serif" w:hAnsi="DejaVu Serif"/>
                <w:sz w:val="16"/>
              </w:rPr>
              <w:t>F001-F086; 8 precision corrections; 0 renumbering</w:t>
            </w:r>
          </w:p>
        </w:tc>
      </w:tr>
      <w:tr>
        <w:tc>
          <w:tcPr>
            <w:tcW w:type="dxa" w:w="2438"/>
            <w:vAlign w:val="center"/>
            <w:tcMar>
              <w:top w:w="90" w:type="dxa"/>
              <w:start w:w="100" w:type="dxa"/>
              <w:bottom w:w="90" w:type="dxa"/>
              <w:end w:w="100" w:type="dxa"/>
            </w:tcMar>
          </w:tcPr>
          <w:p>
            <w:pPr>
              <w:spacing w:after="0" w:before="0" w:line="252" w:lineRule="auto"/>
              <w:jc w:val="center"/>
            </w:pPr>
            <w:r>
              <w:rPr>
                <w:rFonts w:ascii="DejaVu Serif" w:hAnsi="DejaVu Serif"/>
                <w:sz w:val="16"/>
              </w:rPr>
              <w:t>Status parity</w:t>
            </w:r>
          </w:p>
        </w:tc>
        <w:tc>
          <w:tcPr>
            <w:tcW w:type="dxa" w:w="6690"/>
            <w:vAlign w:val="center"/>
            <w:tcMar>
              <w:top w:w="90" w:type="dxa"/>
              <w:start w:w="100" w:type="dxa"/>
              <w:bottom w:w="90" w:type="dxa"/>
              <w:end w:w="100" w:type="dxa"/>
            </w:tcMar>
          </w:tcPr>
          <w:p>
            <w:pPr>
              <w:spacing w:after="0" w:before="0" w:line="252" w:lineRule="auto"/>
            </w:pPr>
            <w:r>
              <w:rPr>
                <w:rFonts w:ascii="DejaVu Serif" w:hAnsi="DejaVu Serif"/>
                <w:sz w:val="16"/>
              </w:rPr>
              <w:t>truth_layer_promotion=0</w:t>
            </w:r>
          </w:p>
        </w:tc>
      </w:tr>
      <w:tr>
        <w:tc>
          <w:tcPr>
            <w:tcW w:type="dxa" w:w="2438"/>
            <w:vAlign w:val="center"/>
            <w:tcMar>
              <w:top w:w="90" w:type="dxa"/>
              <w:start w:w="100" w:type="dxa"/>
              <w:bottom w:w="90" w:type="dxa"/>
              <w:end w:w="100" w:type="dxa"/>
            </w:tcMar>
          </w:tcPr>
          <w:p>
            <w:pPr>
              <w:spacing w:after="0" w:before="0" w:line="252" w:lineRule="auto"/>
              <w:jc w:val="center"/>
            </w:pPr>
            <w:r>
              <w:rPr>
                <w:rFonts w:ascii="DejaVu Serif" w:hAnsi="DejaVu Serif"/>
                <w:sz w:val="16"/>
              </w:rPr>
              <w:t>External audit</w:t>
            </w:r>
          </w:p>
        </w:tc>
        <w:tc>
          <w:tcPr>
            <w:tcW w:type="dxa" w:w="6690"/>
            <w:vAlign w:val="center"/>
            <w:tcMar>
              <w:top w:w="90" w:type="dxa"/>
              <w:start w:w="100" w:type="dxa"/>
              <w:bottom w:w="90" w:type="dxa"/>
              <w:end w:w="100" w:type="dxa"/>
            </w:tcMar>
          </w:tcPr>
          <w:p>
            <w:pPr>
              <w:spacing w:after="0" w:before="0" w:line="252" w:lineRule="auto"/>
            </w:pPr>
            <w:r>
              <w:rPr>
                <w:rFonts w:ascii="DejaVu Serif" w:hAnsi="DejaVu Serif"/>
                <w:sz w:val="16"/>
              </w:rPr>
              <w:t>OPEN NON-VETO</w:t>
            </w:r>
          </w:p>
        </w:tc>
      </w:tr>
      <w:tr>
        <w:tc>
          <w:tcPr>
            <w:tcW w:type="dxa" w:w="2438"/>
            <w:vAlign w:val="center"/>
            <w:tcMar>
              <w:top w:w="90" w:type="dxa"/>
              <w:start w:w="100" w:type="dxa"/>
              <w:bottom w:w="90" w:type="dxa"/>
              <w:end w:w="100" w:type="dxa"/>
            </w:tcMar>
          </w:tcPr>
          <w:p>
            <w:pPr>
              <w:spacing w:after="0" w:before="0" w:line="252" w:lineRule="auto"/>
              <w:jc w:val="center"/>
            </w:pPr>
            <w:r>
              <w:rPr>
                <w:rFonts w:ascii="DejaVu Serif" w:hAnsi="DejaVu Serif"/>
                <w:sz w:val="16"/>
              </w:rPr>
              <w:t>Next checkpoint</w:t>
            </w:r>
          </w:p>
        </w:tc>
        <w:tc>
          <w:tcPr>
            <w:tcW w:type="dxa" w:w="6690"/>
            <w:vAlign w:val="center"/>
            <w:tcMar>
              <w:top w:w="90" w:type="dxa"/>
              <w:start w:w="100" w:type="dxa"/>
              <w:bottom w:w="90" w:type="dxa"/>
              <w:end w:w="100" w:type="dxa"/>
            </w:tcMar>
          </w:tcPr>
          <w:p>
            <w:pPr>
              <w:spacing w:after="0" w:before="0" w:line="252" w:lineRule="auto"/>
            </w:pPr>
            <w:r>
              <w:rPr>
                <w:rFonts w:ascii="DejaVu Serif" w:hAnsi="DejaVu Serif"/>
                <w:sz w:val="16"/>
              </w:rPr>
              <w:t>T1-EN-FC-v0.12</w:t>
            </w:r>
          </w:p>
        </w:tc>
      </w:tr>
    </w:tbl>
    <w:p>
      <w:bookmarkStart w:id="900" w:name="T1_EN_FC_V012"/>
      <w:pPr>
        <w:pStyle w:val="Heading1"/>
        <w:pageBreakBefore/>
      </w:pPr>
      <w:r>
        <w:t>T1-EN-FC-v0.12</w:t>
      </w:r>
      <w:bookmarkEnd w:id="900"/>
    </w:p>
    <w:p>
      <w:pPr>
        <w:jc w:val="center"/>
      </w:pPr>
      <w:r>
        <w:rPr>
          <w:rFonts w:ascii="DejaVu Sans" w:hAnsi="DejaVu Sans" w:eastAsia="DejaVu Sans"/>
          <w:b/>
          <w:color w:val="17345F"/>
          <w:sz w:val="21"/>
        </w:rPr>
        <w:t>FREEZE CANDIDATE · CONTROLLED DIFF · NO-CHANGE VERIFICATION · DETACHED RELEASE RECEIPT</w:t>
      </w:r>
    </w:p>
    <w:tbl>
      <w:tblPr>
        <w:tblStyle w:val="TableGrid"/>
        <w:tblW w:type="auto" w:w="0"/>
        <w:jc w:val="center"/>
        <w:tblLayout w:type="autofit"/>
        <w:tblLook w:firstColumn="1" w:firstRow="1" w:lastColumn="0" w:lastRow="0" w:noHBand="0" w:noVBand="1" w:val="04A0"/>
      </w:tblPr>
      <w:tblGrid>
        <w:gridCol w:w="10070"/>
      </w:tblGrid>
      <w:tr>
        <w:trPr>
          <w:cantSplit/>
        </w:trPr>
        <w:tc>
          <w:tcPr>
            <w:tcW w:type="dxa" w:w="10070"/>
            <w:shd w:fill="EAF2EA"/>
            <w:tcMar>
              <w:top w:w="90" w:type="dxa"/>
              <w:start w:w="100" w:type="dxa"/>
              <w:bottom w:w="90" w:type="dxa"/>
              <w:end w:w="100" w:type="dxa"/>
            </w:tcMar>
            <w:vAlign w:val="center"/>
          </w:tcPr>
          <w:p>
            <w:pPr>
              <w:spacing w:before="0" w:after="0" w:line="252" w:lineRule="auto"/>
              <w:jc w:val="left"/>
            </w:pPr>
            <w:r>
              <w:rPr>
                <w:rFonts w:ascii="DejaVu Serif" w:hAnsi="DejaVu Serif" w:eastAsia="DejaVu Serif"/>
                <w:b/>
                <w:color w:val="1E5B36"/>
                <w:sz w:val="18"/>
              </w:rPr>
              <w:t>CANDIDATE VERDICT. ACCEPTED FOR T1-EN-FREEZE-v1.0. The scientific and audit body inherited from v0.11 is unchanged under the normalized comparison contract. The present checkpoint adds release-control metadata only. This is an authorial freeze decision, not an external scientific certification.</w:t>
            </w:r>
          </w:p>
        </w:tc>
      </w:tr>
    </w:tbl>
    <w:p>
      <w:bookmarkStart w:id="901" w:name="APP_I_FC"/>
      <w:pPr>
        <w:pStyle w:val="Heading1"/>
      </w:pPr>
      <w:r>
        <w:t>Appendix I. Freeze Candidate, Controlled Diff, and Detached Release Receipt</w:t>
      </w:r>
      <w:bookmarkEnd w:id="901"/>
    </w:p>
    <w:p>
      <w:pPr>
        <w:spacing w:after="100" w:line="269" w:lineRule="auto"/>
      </w:pPr>
      <w:r>
        <w:rPr>
          <w:rFonts w:ascii="DejaVu Serif" w:hAnsi="DejaVu Serif" w:eastAsia="DejaVu Serif"/>
          <w:i w:val="0"/>
          <w:sz w:val="20"/>
        </w:rPr>
        <w:t>Appendix I records the transition from the audited English master v0.11 to the freeze candidate v0.12. The candidate does not revise the scientific corpus. It fixes predecessor hashes, defines a reproducible semantic comparison, preserves formula and media manifests, records the allowed metadata-only changes, and creates an unsigned detached receipt contract for the final files.</w:t>
      </w:r>
    </w:p>
    <w:p>
      <w:pPr>
        <w:pStyle w:val="Heading2"/>
      </w:pPr>
      <w:r>
        <w:t>I.1. Authority and Candidate Scope</w:t>
      </w:r>
    </w:p>
    <w:p>
      <w:pPr>
        <w:spacing w:before="100" w:after="100"/>
        <w:jc w:val="center"/>
      </w:pPr>
      <w:r>
        <w:rPr>
          <w:rFonts w:ascii="DejaVu Serif" w:hAnsi="DejaVu Serif" w:eastAsia="DejaVu Serif"/>
          <w:i/>
          <w:sz w:val="20"/>
        </w:rPr>
        <w:t>Authority(T1-RU v197) &gt; Authority(T1-EN v0.12)</w:t>
      </w:r>
    </w:p>
    <w:p>
      <w:pPr>
        <w:spacing w:before="100" w:after="100"/>
        <w:jc w:val="center"/>
      </w:pPr>
      <w:r>
        <w:rPr>
          <w:rFonts w:ascii="DejaVu Serif" w:hAnsi="DejaVu Serif" w:eastAsia="DejaVu Serif"/>
          <w:i/>
          <w:sz w:val="20"/>
        </w:rPr>
        <w:t>Status_EN(x) ≤ Status_RU(x),   truth_layer_promotion = 0</w:t>
      </w:r>
    </w:p>
    <w:p>
      <w:pPr>
        <w:spacing w:before="100" w:after="100"/>
        <w:jc w:val="center"/>
      </w:pPr>
      <w:r>
        <w:rPr>
          <w:rFonts w:ascii="DejaVu Serif" w:hAnsi="DejaVu Serif" w:eastAsia="DejaVu Serif"/>
          <w:i/>
          <w:sz w:val="20"/>
        </w:rPr>
        <w:t>v0.12 = v0.11 scientific/audit body + freeze-control metadata</w:t>
      </w:r>
    </w:p>
    <w:p>
      <w:pPr>
        <w:spacing w:after="100" w:line="269" w:lineRule="auto"/>
      </w:pPr>
      <w:r>
        <w:rPr>
          <w:rFonts w:ascii="DejaVu Serif" w:hAnsi="DejaVu Serif" w:eastAsia="DejaVu Serif"/>
          <w:i w:val="0"/>
          <w:sz w:val="20"/>
        </w:rPr>
        <w:t>The canonical Russian source remains tom1_v197_ru.pdf. The audited predecessor is tom1_en_v0_11.docx / pdf. The no-change comparison covers the ordered content beginning with Chapter 1 and ending with Appendix H, including all paragraphs, tables, theorem/status statements, negative results, and the normative formula registry.</w:t>
      </w:r>
    </w:p>
    <w:tbl>
      <w:tblPr>
        <w:tblStyle w:val="TableGrid"/>
        <w:tblW w:type="auto" w:w="0"/>
        <w:jc w:val="center"/>
        <w:tblLayout w:type="autofit"/>
        <w:tblLook w:firstColumn="1" w:firstRow="1" w:lastColumn="0" w:lastRow="0" w:noHBand="0" w:noVBand="1" w:val="04A0"/>
      </w:tblPr>
      <w:tblGrid>
        <w:gridCol w:w="5035"/>
        <w:gridCol w:w="5035"/>
      </w:tblGrid>
      <w:tr>
        <w:trPr>
          <w:tblHeader w:val="true"/>
          <w:cantSplit/>
        </w:trPr>
        <w:tc>
          <w:tcPr>
            <w:tcW w:type="dxa" w:w="2835"/>
            <w:vAlign w:val="center"/>
            <w:tcMar>
              <w:top w:w="90" w:type="dxa"/>
              <w:start w:w="100" w:type="dxa"/>
              <w:bottom w:w="90" w:type="dxa"/>
              <w:end w:w="100" w:type="dxa"/>
            </w:tcMar>
            <w:shd w:fill="E8EEF7"/>
          </w:tcPr>
          <w:p>
            <w:pPr>
              <w:spacing w:before="0" w:after="0" w:line="252" w:lineRule="auto"/>
              <w:jc w:val="center"/>
            </w:pPr>
            <w:r>
              <w:rPr>
                <w:rFonts w:ascii="DejaVu Serif" w:hAnsi="DejaVu Serif" w:eastAsia="DejaVu Serif"/>
                <w:b/>
                <w:color w:val="17345F"/>
                <w:sz w:val="16"/>
              </w:rPr>
              <w:t>Field</w:t>
            </w:r>
          </w:p>
        </w:tc>
        <w:tc>
          <w:tcPr>
            <w:tcW w:type="dxa" w:w="6350"/>
            <w:vAlign w:val="center"/>
            <w:tcMar>
              <w:top w:w="90" w:type="dxa"/>
              <w:start w:w="100" w:type="dxa"/>
              <w:bottom w:w="90" w:type="dxa"/>
              <w:end w:w="100" w:type="dxa"/>
            </w:tcMar>
            <w:shd w:fill="E8EEF7"/>
          </w:tcPr>
          <w:p>
            <w:pPr>
              <w:spacing w:before="0" w:after="0" w:line="252" w:lineRule="auto"/>
            </w:pPr>
            <w:r>
              <w:rPr>
                <w:rFonts w:ascii="DejaVu Serif" w:hAnsi="DejaVu Serif" w:eastAsia="DejaVu Serif"/>
                <w:b/>
                <w:color w:val="17345F"/>
                <w:sz w:val="16"/>
              </w:rPr>
              <w:t>Fixed value</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Candidate</w:t>
            </w:r>
          </w:p>
        </w:tc>
        <w:tc>
          <w:tcPr>
            <w:tcW w:type="dxa" w:w="6350"/>
            <w:vAlign w:val="center"/>
            <w:tcMar>
              <w:top w:w="90" w:type="dxa"/>
              <w:start w:w="100" w:type="dxa"/>
              <w:bottom w:w="90" w:type="dxa"/>
              <w:end w:w="100" w:type="dxa"/>
            </w:tcMar>
          </w:tcPr>
          <w:p>
            <w:pPr>
              <w:spacing w:before="0" w:after="0" w:line="252" w:lineRule="auto"/>
            </w:pPr>
            <w:r>
              <w:rPr>
                <w:rFonts w:ascii="DejaVu Serif" w:hAnsi="DejaVu Serif" w:eastAsia="DejaVu Serif"/>
                <w:sz w:val="16"/>
              </w:rPr>
              <w:t>T1-EN-FC-v0.12</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Canonical Russian source</w:t>
            </w:r>
          </w:p>
        </w:tc>
        <w:tc>
          <w:tcPr>
            <w:tcW w:type="dxa" w:w="6350"/>
            <w:vAlign w:val="center"/>
            <w:tcMar>
              <w:top w:w="90" w:type="dxa"/>
              <w:start w:w="100" w:type="dxa"/>
              <w:bottom w:w="90" w:type="dxa"/>
              <w:end w:w="100" w:type="dxa"/>
            </w:tcMar>
          </w:tcPr>
          <w:p>
            <w:pPr>
              <w:spacing w:before="0" w:after="0" w:line="252" w:lineRule="auto"/>
            </w:pPr>
            <w:r>
              <w:rPr>
                <w:rFonts w:ascii="DejaVu Serif" w:hAnsi="DejaVu Serif" w:eastAsia="DejaVu Serif"/>
                <w:sz w:val="16"/>
              </w:rPr>
              <w:t>tom1_v197_ru.pdf</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RU SHA-256</w:t>
            </w:r>
          </w:p>
        </w:tc>
        <w:tc>
          <w:tcPr>
            <w:tcW w:type="dxa" w:w="6350"/>
            <w:vAlign w:val="center"/>
            <w:tcMar>
              <w:top w:w="90" w:type="dxa"/>
              <w:start w:w="100" w:type="dxa"/>
              <w:bottom w:w="90" w:type="dxa"/>
              <w:end w:w="100" w:type="dxa"/>
            </w:tcMar>
          </w:tcPr>
          <w:p>
            <w:pPr>
              <w:spacing w:before="0" w:after="0" w:line="252" w:lineRule="auto"/>
            </w:pPr>
            <w:r>
              <w:rPr>
                <w:rFonts w:ascii="DejaVu Serif" w:hAnsi="DejaVu Serif" w:eastAsia="DejaVu Serif"/>
                <w:sz w:val="16"/>
              </w:rPr>
              <w:t>5a2021c02428e3e395fe81e029c46cd26b4a0e06ceb7dbfc89befddffd84a7d8</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Audited predecessor DOCX</w:t>
            </w:r>
          </w:p>
        </w:tc>
        <w:tc>
          <w:tcPr>
            <w:tcW w:type="dxa" w:w="6350"/>
            <w:vAlign w:val="center"/>
            <w:tcMar>
              <w:top w:w="90" w:type="dxa"/>
              <w:start w:w="100" w:type="dxa"/>
              <w:bottom w:w="90" w:type="dxa"/>
              <w:end w:w="100" w:type="dxa"/>
            </w:tcMar>
          </w:tcPr>
          <w:p>
            <w:pPr>
              <w:spacing w:before="0" w:after="0" w:line="252" w:lineRule="auto"/>
            </w:pPr>
            <w:r>
              <w:rPr>
                <w:rFonts w:ascii="DejaVu Serif" w:hAnsi="DejaVu Serif" w:eastAsia="DejaVu Serif"/>
                <w:sz w:val="16"/>
              </w:rPr>
              <w:t>tom1_en_v0_11.docx</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Predecessor DOCX SHA-256</w:t>
            </w:r>
          </w:p>
        </w:tc>
        <w:tc>
          <w:tcPr>
            <w:tcW w:type="dxa" w:w="6350"/>
            <w:vAlign w:val="center"/>
            <w:tcMar>
              <w:top w:w="90" w:type="dxa"/>
              <w:start w:w="100" w:type="dxa"/>
              <w:bottom w:w="90" w:type="dxa"/>
              <w:end w:w="100" w:type="dxa"/>
            </w:tcMar>
          </w:tcPr>
          <w:p>
            <w:pPr>
              <w:spacing w:before="0" w:after="0" w:line="252" w:lineRule="auto"/>
            </w:pPr>
            <w:r>
              <w:rPr>
                <w:rFonts w:ascii="DejaVu Serif" w:hAnsi="DejaVu Serif" w:eastAsia="DejaVu Serif"/>
                <w:sz w:val="16"/>
              </w:rPr>
              <w:t>28ddbfc7e047940671a3930b8d9bf16e7dbc7ddad8ed3b322a24b3ec660024d6</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Audited predecessor PDF</w:t>
            </w:r>
          </w:p>
        </w:tc>
        <w:tc>
          <w:tcPr>
            <w:tcW w:type="dxa" w:w="6350"/>
            <w:vAlign w:val="center"/>
            <w:tcMar>
              <w:top w:w="90" w:type="dxa"/>
              <w:start w:w="100" w:type="dxa"/>
              <w:bottom w:w="90" w:type="dxa"/>
              <w:end w:w="100" w:type="dxa"/>
            </w:tcMar>
          </w:tcPr>
          <w:p>
            <w:pPr>
              <w:spacing w:before="0" w:after="0" w:line="252" w:lineRule="auto"/>
            </w:pPr>
            <w:r>
              <w:rPr>
                <w:rFonts w:ascii="DejaVu Serif" w:hAnsi="DejaVu Serif" w:eastAsia="DejaVu Serif"/>
                <w:sz w:val="16"/>
              </w:rPr>
              <w:t>tom1_en_v0_11.pdf</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Predecessor PDF SHA-256</w:t>
            </w:r>
          </w:p>
        </w:tc>
        <w:tc>
          <w:tcPr>
            <w:tcW w:type="dxa" w:w="6350"/>
            <w:vAlign w:val="center"/>
            <w:tcMar>
              <w:top w:w="90" w:type="dxa"/>
              <w:start w:w="100" w:type="dxa"/>
              <w:bottom w:w="90" w:type="dxa"/>
              <w:end w:w="100" w:type="dxa"/>
            </w:tcMar>
          </w:tcPr>
          <w:p>
            <w:pPr>
              <w:spacing w:before="0" w:after="0" w:line="252" w:lineRule="auto"/>
            </w:pPr>
            <w:r>
              <w:rPr>
                <w:rFonts w:ascii="DejaVu Serif" w:hAnsi="DejaVu Serif" w:eastAsia="DejaVu Serif"/>
                <w:sz w:val="16"/>
              </w:rPr>
              <w:t>8daa5a2583e46bd5b201b510ec7a53e650bb335eac186e4bb5878f0b9a6b460a</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Candidate scientific scope</w:t>
            </w:r>
          </w:p>
        </w:tc>
        <w:tc>
          <w:tcPr>
            <w:tcW w:type="dxa" w:w="6350"/>
            <w:vAlign w:val="center"/>
            <w:tcMar>
              <w:top w:w="90" w:type="dxa"/>
              <w:start w:w="100" w:type="dxa"/>
              <w:bottom w:w="90" w:type="dxa"/>
              <w:end w:w="100" w:type="dxa"/>
            </w:tcMar>
          </w:tcPr>
          <w:p>
            <w:pPr>
              <w:spacing w:before="0" w:after="0" w:line="252" w:lineRule="auto"/>
            </w:pPr>
            <w:r>
              <w:rPr>
                <w:rFonts w:ascii="DejaVu Serif" w:hAnsi="DejaVu Serif" w:eastAsia="DejaVu Serif"/>
                <w:sz w:val="16"/>
              </w:rPr>
              <w:t>Chapters 1-52 and canonical Appendices A-G; audit Appendix H verified separately</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New release-control scope</w:t>
            </w:r>
          </w:p>
        </w:tc>
        <w:tc>
          <w:tcPr>
            <w:tcW w:type="dxa" w:w="6350"/>
            <w:vAlign w:val="center"/>
            <w:tcMar>
              <w:top w:w="90" w:type="dxa"/>
              <w:start w:w="100" w:type="dxa"/>
              <w:bottom w:w="90" w:type="dxa"/>
              <w:end w:w="100" w:type="dxa"/>
            </w:tcMar>
          </w:tcPr>
          <w:p>
            <w:pPr>
              <w:spacing w:before="0" w:after="0" w:line="252" w:lineRule="auto"/>
            </w:pPr>
            <w:r>
              <w:rPr>
                <w:rFonts w:ascii="DejaVu Serif" w:hAnsi="DejaVu Serif" w:eastAsia="DejaVu Serif"/>
                <w:sz w:val="16"/>
              </w:rPr>
              <w:t>Appendix I and active release metadata only</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Next gate</w:t>
            </w:r>
          </w:p>
        </w:tc>
        <w:tc>
          <w:tcPr>
            <w:tcW w:type="dxa" w:w="6350"/>
            <w:vAlign w:val="center"/>
            <w:tcMar>
              <w:top w:w="90" w:type="dxa"/>
              <w:start w:w="100" w:type="dxa"/>
              <w:bottom w:w="90" w:type="dxa"/>
              <w:end w:w="100" w:type="dxa"/>
            </w:tcMar>
          </w:tcPr>
          <w:p>
            <w:pPr>
              <w:spacing w:before="0" w:after="0" w:line="252" w:lineRule="auto"/>
            </w:pPr>
            <w:r>
              <w:rPr>
                <w:rFonts w:ascii="DejaVu Serif" w:hAnsi="DejaVu Serif" w:eastAsia="DejaVu Serif"/>
                <w:sz w:val="16"/>
              </w:rPr>
              <w:t>T1-EN-FREEZE-v1.0</w:t>
            </w:r>
          </w:p>
        </w:tc>
      </w:tr>
    </w:tbl>
    <w:p>
      <w:pPr>
        <w:pStyle w:val="Heading2"/>
      </w:pPr>
      <w:r>
        <w:t>I.2. No-Scientific-Change Verification Contract</w:t>
      </w:r>
    </w:p>
    <w:p>
      <w:pPr>
        <w:spacing w:after="100" w:line="269" w:lineRule="auto"/>
      </w:pPr>
      <w:r>
        <w:rPr>
          <w:rFonts w:ascii="DejaVu Serif" w:hAnsi="DejaVu Serif" w:eastAsia="DejaVu Serif"/>
          <w:i w:val="0"/>
          <w:sz w:val="20"/>
        </w:rPr>
        <w:t>The comparison uses four independent manifests. The scientific manifest serializes Chapter 1 through Appendix G and excludes derivative navigation metadata. The audit manifest serializes Appendix H separately. The formula manifest serializes F001-F086 by stable identifier. The media manifest serializes each embedded word/media object by name, size, and SHA-256. A PASS requires equality in all four channels. Assembly page numbers may be corrected without changing scientific content.</w:t>
      </w:r>
    </w:p>
    <w:p>
      <w:pPr>
        <w:spacing w:before="100" w:after="100"/>
        <w:jc w:val="center"/>
      </w:pPr>
      <w:r>
        <w:rPr>
          <w:rFonts w:ascii="DejaVu Serif" w:hAnsi="DejaVu Serif" w:eastAsia="DejaVu Serif"/>
          <w:i/>
          <w:sz w:val="20"/>
        </w:rPr>
        <w:t>PASS_no-change ⇔ H_science(v0.11)=H_science(v0.12) ∧ H_audit(v0.11)=H_audit(v0.12) ∧ H_F(v0.11)=H_F(v0.12) ∧ H_media(v0.11)=H_media(v0.12)</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tblHeader w:val="true"/>
          <w:cantSplit/>
        </w:trPr>
        <w:tc>
          <w:tcPr>
            <w:tcW w:type="dxa" w:w="1701"/>
            <w:vAlign w:val="center"/>
            <w:tcMar>
              <w:top w:w="90" w:type="dxa"/>
              <w:start w:w="100" w:type="dxa"/>
              <w:bottom w:w="90" w:type="dxa"/>
              <w:end w:w="100" w:type="dxa"/>
            </w:tcMar>
            <w:shd w:fill="E8EEF7"/>
          </w:tcPr>
          <w:p>
            <w:pPr>
              <w:spacing w:before="0" w:after="0" w:line="252" w:lineRule="auto"/>
              <w:jc w:val="center"/>
            </w:pPr>
            <w:r>
              <w:rPr>
                <w:rFonts w:ascii="DejaVu Serif" w:hAnsi="DejaVu Serif" w:eastAsia="DejaVu Serif"/>
                <w:b/>
                <w:color w:val="17345F"/>
                <w:sz w:val="15"/>
              </w:rPr>
              <w:t>Channel</w:t>
            </w:r>
          </w:p>
        </w:tc>
        <w:tc>
          <w:tcPr>
            <w:tcW w:type="dxa" w:w="2948"/>
            <w:vAlign w:val="center"/>
            <w:tcMar>
              <w:top w:w="90" w:type="dxa"/>
              <w:start w:w="100" w:type="dxa"/>
              <w:bottom w:w="90" w:type="dxa"/>
              <w:end w:w="100" w:type="dxa"/>
            </w:tcMar>
            <w:shd w:fill="E8EEF7"/>
          </w:tcPr>
          <w:p>
            <w:pPr>
              <w:spacing w:before="0" w:after="0" w:line="252" w:lineRule="auto"/>
            </w:pPr>
            <w:r>
              <w:rPr>
                <w:rFonts w:ascii="DejaVu Serif" w:hAnsi="DejaVu Serif" w:eastAsia="DejaVu Serif"/>
                <w:b/>
                <w:color w:val="17345F"/>
                <w:sz w:val="15"/>
              </w:rPr>
              <w:t>Predecessor value</w:t>
            </w:r>
          </w:p>
        </w:tc>
        <w:tc>
          <w:tcPr>
            <w:tcW w:type="dxa" w:w="2948"/>
            <w:vAlign w:val="center"/>
            <w:tcMar>
              <w:top w:w="90" w:type="dxa"/>
              <w:start w:w="100" w:type="dxa"/>
              <w:bottom w:w="90" w:type="dxa"/>
              <w:end w:w="100" w:type="dxa"/>
            </w:tcMar>
            <w:shd w:fill="E8EEF7"/>
          </w:tcPr>
          <w:p>
            <w:pPr>
              <w:spacing w:before="0" w:after="0" w:line="252" w:lineRule="auto"/>
            </w:pPr>
            <w:r>
              <w:rPr>
                <w:rFonts w:ascii="DejaVu Serif" w:hAnsi="DejaVu Serif" w:eastAsia="DejaVu Serif"/>
                <w:b/>
                <w:color w:val="17345F"/>
                <w:sz w:val="15"/>
              </w:rPr>
              <w:t>Required candidate value</w:t>
            </w:r>
          </w:p>
        </w:tc>
        <w:tc>
          <w:tcPr>
            <w:tcW w:type="dxa" w:w="1361"/>
            <w:vAlign w:val="center"/>
            <w:tcMar>
              <w:top w:w="90" w:type="dxa"/>
              <w:start w:w="100" w:type="dxa"/>
              <w:bottom w:w="90" w:type="dxa"/>
              <w:end w:w="100" w:type="dxa"/>
            </w:tcMar>
            <w:shd w:fill="E8EEF7"/>
          </w:tcPr>
          <w:p>
            <w:pPr>
              <w:spacing w:before="0" w:after="0" w:line="252" w:lineRule="auto"/>
            </w:pPr>
            <w:r>
              <w:rPr>
                <w:rFonts w:ascii="DejaVu Serif" w:hAnsi="DejaVu Serif" w:eastAsia="DejaVu Serif"/>
                <w:b/>
                <w:color w:val="17345F"/>
                <w:sz w:val="15"/>
              </w:rPr>
              <w:t>Gate</w:t>
            </w:r>
          </w:p>
        </w:tc>
      </w:tr>
      <w:tr>
        <w:trPr>
          <w:cantSplit/>
        </w:trPr>
        <w:tc>
          <w:tcPr>
            <w:tcW w:type="dxa" w:w="170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Scientific corpus</w:t>
            </w:r>
          </w:p>
        </w:tc>
        <w:tc>
          <w:tcPr>
            <w:tcW w:type="dxa" w:w="2948"/>
            <w:vAlign w:val="center"/>
            <w:tcMar>
              <w:top w:w="90" w:type="dxa"/>
              <w:start w:w="100" w:type="dxa"/>
              <w:bottom w:w="90" w:type="dxa"/>
              <w:end w:w="100" w:type="dxa"/>
            </w:tcMar>
          </w:tcPr>
          <w:p>
            <w:pPr>
              <w:spacing w:before="0" w:after="0" w:line="252" w:lineRule="auto"/>
            </w:pPr>
            <w:r>
              <w:rPr>
                <w:rFonts w:ascii="DejaVu Serif" w:hAnsi="DejaVu Serif" w:eastAsia="DejaVu Serif"/>
                <w:sz w:val="15"/>
              </w:rPr>
              <w:t>5c9f75267839d69f2eaf00ffad77fd37237dccc1c284973276e74c647b40b9c0</w:t>
            </w:r>
          </w:p>
        </w:tc>
        <w:tc>
          <w:tcPr>
            <w:tcW w:type="dxa" w:w="2948"/>
            <w:vAlign w:val="center"/>
            <w:tcMar>
              <w:top w:w="90" w:type="dxa"/>
              <w:start w:w="100" w:type="dxa"/>
              <w:bottom w:w="90" w:type="dxa"/>
              <w:end w:w="100" w:type="dxa"/>
            </w:tcMar>
          </w:tcPr>
          <w:p>
            <w:pPr>
              <w:spacing w:before="0" w:after="0" w:line="252" w:lineRule="auto"/>
            </w:pPr>
            <w:r>
              <w:rPr>
                <w:rFonts w:ascii="DejaVu Serif" w:hAnsi="DejaVu Serif" w:eastAsia="DejaVu Serif"/>
                <w:sz w:val="15"/>
              </w:rPr>
              <w:t>5c9f75267839d69f2eaf00ffad77fd37237dccc1c284973276e74c647b40b9c0</w:t>
            </w:r>
          </w:p>
        </w:tc>
        <w:tc>
          <w:tcPr>
            <w:tcW w:type="dxa" w:w="136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2059 blocks</w:t>
            </w:r>
          </w:p>
        </w:tc>
      </w:tr>
      <w:tr>
        <w:trPr>
          <w:cantSplit/>
        </w:trPr>
        <w:tc>
          <w:tcPr>
            <w:tcW w:type="dxa" w:w="170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Audit Appendix H</w:t>
            </w:r>
          </w:p>
        </w:tc>
        <w:tc>
          <w:tcPr>
            <w:tcW w:type="dxa" w:w="2948"/>
            <w:vAlign w:val="center"/>
            <w:tcMar>
              <w:top w:w="90" w:type="dxa"/>
              <w:start w:w="100" w:type="dxa"/>
              <w:bottom w:w="90" w:type="dxa"/>
              <w:end w:w="100" w:type="dxa"/>
            </w:tcMar>
          </w:tcPr>
          <w:p>
            <w:pPr>
              <w:spacing w:before="0" w:after="0" w:line="252" w:lineRule="auto"/>
            </w:pPr>
            <w:r>
              <w:rPr>
                <w:rFonts w:ascii="DejaVu Serif" w:hAnsi="DejaVu Serif" w:eastAsia="DejaVu Serif"/>
                <w:sz w:val="15"/>
              </w:rPr>
              <w:t>d770a618915b4c5e1035e0463f23bfa32d9237dc5a22c4136b4a975272ba1dfd</w:t>
            </w:r>
          </w:p>
        </w:tc>
        <w:tc>
          <w:tcPr>
            <w:tcW w:type="dxa" w:w="2948"/>
            <w:vAlign w:val="center"/>
            <w:tcMar>
              <w:top w:w="90" w:type="dxa"/>
              <w:start w:w="100" w:type="dxa"/>
              <w:bottom w:w="90" w:type="dxa"/>
              <w:end w:w="100" w:type="dxa"/>
            </w:tcMar>
          </w:tcPr>
          <w:p>
            <w:pPr>
              <w:spacing w:before="0" w:after="0" w:line="252" w:lineRule="auto"/>
            </w:pPr>
            <w:r>
              <w:rPr>
                <w:rFonts w:ascii="DejaVu Serif" w:hAnsi="DejaVu Serif" w:eastAsia="DejaVu Serif"/>
                <w:sz w:val="15"/>
              </w:rPr>
              <w:t>d770a618915b4c5e1035e0463f23bfa32d9237dc5a22c4136b4a975272ba1dfd</w:t>
            </w:r>
          </w:p>
        </w:tc>
        <w:tc>
          <w:tcPr>
            <w:tcW w:type="dxa" w:w="136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35 blocks</w:t>
            </w:r>
          </w:p>
        </w:tc>
      </w:tr>
      <w:tr>
        <w:trPr>
          <w:cantSplit/>
        </w:trPr>
        <w:tc>
          <w:tcPr>
            <w:tcW w:type="dxa" w:w="170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Formula registry</w:t>
            </w:r>
          </w:p>
        </w:tc>
        <w:tc>
          <w:tcPr>
            <w:tcW w:type="dxa" w:w="2948"/>
            <w:vAlign w:val="center"/>
            <w:tcMar>
              <w:top w:w="90" w:type="dxa"/>
              <w:start w:w="100" w:type="dxa"/>
              <w:bottom w:w="90" w:type="dxa"/>
              <w:end w:w="100" w:type="dxa"/>
            </w:tcMar>
          </w:tcPr>
          <w:p>
            <w:pPr>
              <w:spacing w:before="0" w:after="0" w:line="252" w:lineRule="auto"/>
            </w:pPr>
            <w:r>
              <w:rPr>
                <w:rFonts w:ascii="DejaVu Serif" w:hAnsi="DejaVu Serif" w:eastAsia="DejaVu Serif"/>
                <w:sz w:val="15"/>
              </w:rPr>
              <w:t>f40a8840b075c6c797b59d23c3c00c2ac79165a4f2534ee619588bf91b235ab0</w:t>
            </w:r>
          </w:p>
        </w:tc>
        <w:tc>
          <w:tcPr>
            <w:tcW w:type="dxa" w:w="2948"/>
            <w:vAlign w:val="center"/>
            <w:tcMar>
              <w:top w:w="90" w:type="dxa"/>
              <w:start w:w="100" w:type="dxa"/>
              <w:bottom w:w="90" w:type="dxa"/>
              <w:end w:w="100" w:type="dxa"/>
            </w:tcMar>
          </w:tcPr>
          <w:p>
            <w:pPr>
              <w:spacing w:before="0" w:after="0" w:line="252" w:lineRule="auto"/>
            </w:pPr>
            <w:r>
              <w:rPr>
                <w:rFonts w:ascii="DejaVu Serif" w:hAnsi="DejaVu Serif" w:eastAsia="DejaVu Serif"/>
                <w:sz w:val="15"/>
              </w:rPr>
              <w:t>f40a8840b075c6c797b59d23c3c00c2ac79165a4f2534ee619588bf91b235ab0</w:t>
            </w:r>
          </w:p>
        </w:tc>
        <w:tc>
          <w:tcPr>
            <w:tcW w:type="dxa" w:w="136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86/86</w:t>
            </w:r>
          </w:p>
        </w:tc>
      </w:tr>
      <w:tr>
        <w:trPr>
          <w:cantSplit/>
        </w:trPr>
        <w:tc>
          <w:tcPr>
            <w:tcW w:type="dxa" w:w="170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Embedded media</w:t>
            </w:r>
          </w:p>
        </w:tc>
        <w:tc>
          <w:tcPr>
            <w:tcW w:type="dxa" w:w="2948"/>
            <w:vAlign w:val="center"/>
            <w:tcMar>
              <w:top w:w="90" w:type="dxa"/>
              <w:start w:w="100" w:type="dxa"/>
              <w:bottom w:w="90" w:type="dxa"/>
              <w:end w:w="100" w:type="dxa"/>
            </w:tcMar>
          </w:tcPr>
          <w:p>
            <w:pPr>
              <w:spacing w:before="0" w:after="0" w:line="252" w:lineRule="auto"/>
            </w:pPr>
            <w:r>
              <w:rPr>
                <w:rFonts w:ascii="DejaVu Serif" w:hAnsi="DejaVu Serif" w:eastAsia="DejaVu Serif"/>
                <w:sz w:val="15"/>
              </w:rPr>
              <w:t>835421d94355a5d406a0a5f940c35eab4bc3c7f8bb1966e9b675241b4f06c697</w:t>
            </w:r>
          </w:p>
        </w:tc>
        <w:tc>
          <w:tcPr>
            <w:tcW w:type="dxa" w:w="2948"/>
            <w:vAlign w:val="center"/>
            <w:tcMar>
              <w:top w:w="90" w:type="dxa"/>
              <w:start w:w="100" w:type="dxa"/>
              <w:bottom w:w="90" w:type="dxa"/>
              <w:end w:w="100" w:type="dxa"/>
            </w:tcMar>
          </w:tcPr>
          <w:p>
            <w:pPr>
              <w:spacing w:before="0" w:after="0" w:line="252" w:lineRule="auto"/>
            </w:pPr>
            <w:r>
              <w:rPr>
                <w:rFonts w:ascii="DejaVu Serif" w:hAnsi="DejaVu Serif" w:eastAsia="DejaVu Serif"/>
                <w:sz w:val="15"/>
              </w:rPr>
              <w:t>835421d94355a5d406a0a5f940c35eab4bc3c7f8bb1966e9b675241b4f06c697</w:t>
            </w:r>
          </w:p>
        </w:tc>
        <w:tc>
          <w:tcPr>
            <w:tcW w:type="dxa" w:w="136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61/61</w:t>
            </w:r>
          </w:p>
        </w:tc>
      </w:tr>
    </w:tbl>
    <w:tbl>
      <w:tblPr>
        <w:tblStyle w:val="TableGrid"/>
        <w:tblW w:type="auto" w:w="0"/>
        <w:jc w:val="center"/>
        <w:tblLayout w:type="autofit"/>
        <w:tblLook w:firstColumn="1" w:firstRow="1" w:lastColumn="0" w:lastRow="0" w:noHBand="0" w:noVBand="1" w:val="04A0"/>
      </w:tblPr>
      <w:tblGrid>
        <w:gridCol w:w="10070"/>
      </w:tblGrid>
      <w:tr>
        <w:trPr>
          <w:cantSplit/>
        </w:trPr>
        <w:tc>
          <w:tcPr>
            <w:tcW w:type="dxa" w:w="10070"/>
            <w:shd w:fill="F5F7FB"/>
            <w:tcMar>
              <w:top w:w="90" w:type="dxa"/>
              <w:start w:w="100" w:type="dxa"/>
              <w:bottom w:w="90" w:type="dxa"/>
              <w:end w:w="100" w:type="dxa"/>
            </w:tcMar>
            <w:vAlign w:val="center"/>
          </w:tcPr>
          <w:p>
            <w:pPr>
              <w:spacing w:before="0" w:after="0" w:line="252" w:lineRule="auto"/>
              <w:jc w:val="left"/>
            </w:pPr>
            <w:r>
              <w:rPr>
                <w:rFonts w:ascii="DejaVu Serif" w:hAnsi="DejaVu Serif" w:eastAsia="DejaVu Serif"/>
                <w:b w:val="0"/>
                <w:color w:val="17345F"/>
                <w:sz w:val="18"/>
              </w:rPr>
              <w:t>NO-CHANGE BOUNDARY. Equality of normalized document content is a release-control result. It does not independently prove the correctness of the mathematics, the truth of physical hypotheses, or the validity of an unexecuted external experiment.</w:t>
            </w:r>
          </w:p>
        </w:tc>
      </w:tr>
    </w:tbl>
    <w:p>
      <w:pPr>
        <w:pStyle w:val="Heading2"/>
      </w:pPr>
      <w:r>
        <w:t>I.3. Controlled Diff v0.11 → v0.12</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tblHeader w:val="true"/>
          <w:cantSplit/>
        </w:trPr>
        <w:tc>
          <w:tcPr>
            <w:tcW w:type="dxa" w:w="1474"/>
            <w:vAlign w:val="center"/>
            <w:tcMar>
              <w:top w:w="90" w:type="dxa"/>
              <w:start w:w="100" w:type="dxa"/>
              <w:bottom w:w="90" w:type="dxa"/>
              <w:end w:w="100" w:type="dxa"/>
            </w:tcMar>
            <w:shd w:fill="E8EEF7"/>
          </w:tcPr>
          <w:p>
            <w:pPr>
              <w:spacing w:before="0" w:after="0" w:line="252" w:lineRule="auto"/>
              <w:jc w:val="center"/>
            </w:pPr>
            <w:r>
              <w:rPr>
                <w:rFonts w:ascii="DejaVu Serif" w:hAnsi="DejaVu Serif" w:eastAsia="DejaVu Serif"/>
                <w:b/>
                <w:color w:val="17345F"/>
                <w:sz w:val="15"/>
              </w:rPr>
              <w:t>Change ID</w:t>
            </w:r>
          </w:p>
        </w:tc>
        <w:tc>
          <w:tcPr>
            <w:tcW w:type="dxa" w:w="1984"/>
            <w:vAlign w:val="center"/>
            <w:tcMar>
              <w:top w:w="90" w:type="dxa"/>
              <w:start w:w="100" w:type="dxa"/>
              <w:bottom w:w="90" w:type="dxa"/>
              <w:end w:w="100" w:type="dxa"/>
            </w:tcMar>
            <w:shd w:fill="E8EEF7"/>
          </w:tcPr>
          <w:p>
            <w:pPr>
              <w:spacing w:before="0" w:after="0" w:line="252" w:lineRule="auto"/>
            </w:pPr>
            <w:r>
              <w:rPr>
                <w:rFonts w:ascii="DejaVu Serif" w:hAnsi="DejaVu Serif" w:eastAsia="DejaVu Serif"/>
                <w:b/>
                <w:color w:val="17345F"/>
                <w:sz w:val="15"/>
              </w:rPr>
              <w:t>Object</w:t>
            </w:r>
          </w:p>
        </w:tc>
        <w:tc>
          <w:tcPr>
            <w:tcW w:type="dxa" w:w="4082"/>
            <w:vAlign w:val="center"/>
            <w:tcMar>
              <w:top w:w="90" w:type="dxa"/>
              <w:start w:w="100" w:type="dxa"/>
              <w:bottom w:w="90" w:type="dxa"/>
              <w:end w:w="100" w:type="dxa"/>
            </w:tcMar>
            <w:shd w:fill="E8EEF7"/>
          </w:tcPr>
          <w:p>
            <w:pPr>
              <w:spacing w:before="0" w:after="0" w:line="252" w:lineRule="auto"/>
            </w:pPr>
            <w:r>
              <w:rPr>
                <w:rFonts w:ascii="DejaVu Serif" w:hAnsi="DejaVu Serif" w:eastAsia="DejaVu Serif"/>
                <w:b/>
                <w:color w:val="17345F"/>
                <w:sz w:val="15"/>
              </w:rPr>
              <w:t>Permitted change</w:t>
            </w:r>
          </w:p>
        </w:tc>
        <w:tc>
          <w:tcPr>
            <w:tcW w:type="dxa" w:w="1531"/>
            <w:vAlign w:val="center"/>
            <w:tcMar>
              <w:top w:w="90" w:type="dxa"/>
              <w:start w:w="100" w:type="dxa"/>
              <w:bottom w:w="90" w:type="dxa"/>
              <w:end w:w="100" w:type="dxa"/>
            </w:tcMar>
            <w:shd w:fill="E8EEF7"/>
          </w:tcPr>
          <w:p>
            <w:pPr>
              <w:spacing w:before="0" w:after="0" w:line="252" w:lineRule="auto"/>
            </w:pPr>
            <w:r>
              <w:rPr>
                <w:rFonts w:ascii="DejaVu Serif" w:hAnsi="DejaVu Serif" w:eastAsia="DejaVu Serif"/>
                <w:b/>
                <w:color w:val="17345F"/>
                <w:sz w:val="15"/>
              </w:rPr>
              <w:t>Classification</w:t>
            </w:r>
          </w:p>
        </w:tc>
      </w:tr>
      <w:tr>
        <w:trPr>
          <w:cantSplit/>
        </w:trPr>
        <w:tc>
          <w:tcPr>
            <w:tcW w:type="dxa" w:w="1474"/>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T1-EN-FC-001</w:t>
            </w:r>
          </w:p>
        </w:tc>
        <w:tc>
          <w:tcPr>
            <w:tcW w:type="dxa" w:w="1984"/>
            <w:vAlign w:val="center"/>
            <w:tcMar>
              <w:top w:w="90" w:type="dxa"/>
              <w:start w:w="100" w:type="dxa"/>
              <w:bottom w:w="90" w:type="dxa"/>
              <w:end w:w="100" w:type="dxa"/>
            </w:tcMar>
          </w:tcPr>
          <w:p>
            <w:pPr>
              <w:spacing w:before="0" w:after="0" w:line="252" w:lineRule="auto"/>
            </w:pPr>
            <w:r>
              <w:rPr>
                <w:rFonts w:ascii="DejaVu Serif" w:hAnsi="DejaVu Serif" w:eastAsia="DejaVu Serif"/>
                <w:sz w:val="15"/>
              </w:rPr>
              <w:t>cover and active passport</w:t>
            </w:r>
          </w:p>
        </w:tc>
        <w:tc>
          <w:tcPr>
            <w:tcW w:type="dxa" w:w="4082"/>
            <w:vAlign w:val="center"/>
            <w:tcMar>
              <w:top w:w="90" w:type="dxa"/>
              <w:start w:w="100" w:type="dxa"/>
              <w:bottom w:w="90" w:type="dxa"/>
              <w:end w:w="100" w:type="dxa"/>
            </w:tcMar>
          </w:tcPr>
          <w:p>
            <w:pPr>
              <w:spacing w:before="0" w:after="0" w:line="252" w:lineRule="auto"/>
            </w:pPr>
            <w:r>
              <w:rPr>
                <w:rFonts w:ascii="DejaVu Serif" w:hAnsi="DejaVu Serif" w:eastAsia="DejaVu Serif"/>
                <w:sz w:val="15"/>
              </w:rPr>
              <w:t>checkpoint identity v0.11 → v0.12; next gate v1.0</w:t>
            </w:r>
          </w:p>
        </w:tc>
        <w:tc>
          <w:tcPr>
            <w:tcW w:type="dxa" w:w="153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METADATA</w:t>
            </w:r>
          </w:p>
        </w:tc>
      </w:tr>
      <w:tr>
        <w:trPr>
          <w:cantSplit/>
        </w:trPr>
        <w:tc>
          <w:tcPr>
            <w:tcW w:type="dxa" w:w="1474"/>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T1-EN-FC-002</w:t>
            </w:r>
          </w:p>
        </w:tc>
        <w:tc>
          <w:tcPr>
            <w:tcW w:type="dxa" w:w="1984"/>
            <w:vAlign w:val="center"/>
            <w:tcMar>
              <w:top w:w="90" w:type="dxa"/>
              <w:start w:w="100" w:type="dxa"/>
              <w:bottom w:w="90" w:type="dxa"/>
              <w:end w:w="100" w:type="dxa"/>
            </w:tcMar>
          </w:tcPr>
          <w:p>
            <w:pPr>
              <w:spacing w:before="0" w:after="0" w:line="252" w:lineRule="auto"/>
            </w:pPr>
            <w:r>
              <w:rPr>
                <w:rFonts w:ascii="DejaVu Serif" w:hAnsi="DejaVu Serif" w:eastAsia="DejaVu Serif"/>
                <w:sz w:val="15"/>
              </w:rPr>
              <w:t>header and footer</w:t>
            </w:r>
          </w:p>
        </w:tc>
        <w:tc>
          <w:tcPr>
            <w:tcW w:type="dxa" w:w="4082"/>
            <w:vAlign w:val="center"/>
            <w:tcMar>
              <w:top w:w="90" w:type="dxa"/>
              <w:start w:w="100" w:type="dxa"/>
              <w:bottom w:w="90" w:type="dxa"/>
              <w:end w:w="100" w:type="dxa"/>
            </w:tcMar>
          </w:tcPr>
          <w:p>
            <w:pPr>
              <w:spacing w:before="0" w:after="0" w:line="252" w:lineRule="auto"/>
            </w:pPr>
            <w:r>
              <w:rPr>
                <w:rFonts w:ascii="DejaVu Serif" w:hAnsi="DejaVu Serif" w:eastAsia="DejaVu Serif"/>
                <w:sz w:val="15"/>
              </w:rPr>
              <w:t>active release label updated to T1-EN-FC-v0.12</w:t>
            </w:r>
          </w:p>
        </w:tc>
        <w:tc>
          <w:tcPr>
            <w:tcW w:type="dxa" w:w="153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METADATA</w:t>
            </w:r>
          </w:p>
        </w:tc>
      </w:tr>
      <w:tr>
        <w:trPr>
          <w:cantSplit/>
        </w:trPr>
        <w:tc>
          <w:tcPr>
            <w:tcW w:type="dxa" w:w="1474"/>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T1-EN-FC-003</w:t>
            </w:r>
          </w:p>
        </w:tc>
        <w:tc>
          <w:tcPr>
            <w:tcW w:type="dxa" w:w="1984"/>
            <w:vAlign w:val="center"/>
            <w:tcMar>
              <w:top w:w="90" w:type="dxa"/>
              <w:start w:w="100" w:type="dxa"/>
              <w:bottom w:w="90" w:type="dxa"/>
              <w:end w:w="100" w:type="dxa"/>
            </w:tcMar>
          </w:tcPr>
          <w:p>
            <w:pPr>
              <w:spacing w:before="0" w:after="0" w:line="252" w:lineRule="auto"/>
            </w:pPr>
            <w:r>
              <w:rPr>
                <w:rFonts w:ascii="DejaVu Serif" w:hAnsi="DejaVu Serif" w:eastAsia="DejaVu Serif"/>
                <w:sz w:val="15"/>
              </w:rPr>
              <w:t>navigation metadata</w:t>
            </w:r>
          </w:p>
        </w:tc>
        <w:tc>
          <w:tcPr>
            <w:tcW w:type="dxa" w:w="4082"/>
            <w:vAlign w:val="center"/>
            <w:tcMar>
              <w:top w:w="90" w:type="dxa"/>
              <w:start w:w="100" w:type="dxa"/>
              <w:bottom w:w="90" w:type="dxa"/>
              <w:end w:w="100" w:type="dxa"/>
            </w:tcMar>
          </w:tcPr>
          <w:p>
            <w:pPr>
              <w:spacing w:before="0" w:after="0" w:line="252" w:lineRule="auto"/>
            </w:pPr>
            <w:r>
              <w:rPr>
                <w:rFonts w:ascii="DejaVu Serif" w:hAnsi="DejaVu Serif" w:eastAsia="DejaVu Serif"/>
                <w:sz w:val="15"/>
              </w:rPr>
              <w:t>workflow state and displayed EN page locators corrected; v1.0 set as next</w:t>
            </w:r>
          </w:p>
        </w:tc>
        <w:tc>
          <w:tcPr>
            <w:tcW w:type="dxa" w:w="153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NAVIGATION</w:t>
            </w:r>
          </w:p>
        </w:tc>
      </w:tr>
      <w:tr>
        <w:trPr>
          <w:cantSplit/>
        </w:trPr>
        <w:tc>
          <w:tcPr>
            <w:tcW w:type="dxa" w:w="1474"/>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T1-EN-FC-004</w:t>
            </w:r>
          </w:p>
        </w:tc>
        <w:tc>
          <w:tcPr>
            <w:tcW w:type="dxa" w:w="1984"/>
            <w:vAlign w:val="center"/>
            <w:tcMar>
              <w:top w:w="90" w:type="dxa"/>
              <w:start w:w="100" w:type="dxa"/>
              <w:bottom w:w="90" w:type="dxa"/>
              <w:end w:w="100" w:type="dxa"/>
            </w:tcMar>
          </w:tcPr>
          <w:p>
            <w:pPr>
              <w:spacing w:before="0" w:after="0" w:line="252" w:lineRule="auto"/>
            </w:pPr>
            <w:r>
              <w:rPr>
                <w:rFonts w:ascii="DejaVu Serif" w:hAnsi="DejaVu Serif" w:eastAsia="DejaVu Serif"/>
                <w:sz w:val="15"/>
              </w:rPr>
              <w:t>Appendix I</w:t>
            </w:r>
          </w:p>
        </w:tc>
        <w:tc>
          <w:tcPr>
            <w:tcW w:type="dxa" w:w="4082"/>
            <w:vAlign w:val="center"/>
            <w:tcMar>
              <w:top w:w="90" w:type="dxa"/>
              <w:start w:w="100" w:type="dxa"/>
              <w:bottom w:w="90" w:type="dxa"/>
              <w:end w:w="100" w:type="dxa"/>
            </w:tcMar>
          </w:tcPr>
          <w:p>
            <w:pPr>
              <w:spacing w:before="0" w:after="0" w:line="252" w:lineRule="auto"/>
            </w:pPr>
            <w:r>
              <w:rPr>
                <w:rFonts w:ascii="DejaVu Serif" w:hAnsi="DejaVu Serif" w:eastAsia="DejaVu Serif"/>
                <w:sz w:val="15"/>
              </w:rPr>
              <w:t>added no-change contract, receipt schema, and freeze decision</w:t>
            </w:r>
          </w:p>
        </w:tc>
        <w:tc>
          <w:tcPr>
            <w:tcW w:type="dxa" w:w="153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RELEASE CONTROL</w:t>
            </w:r>
          </w:p>
        </w:tc>
      </w:tr>
      <w:tr>
        <w:trPr>
          <w:cantSplit/>
        </w:trPr>
        <w:tc>
          <w:tcPr>
            <w:tcW w:type="dxa" w:w="1474"/>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T1-EN-FC-005</w:t>
            </w:r>
          </w:p>
        </w:tc>
        <w:tc>
          <w:tcPr>
            <w:tcW w:type="dxa" w:w="1984"/>
            <w:vAlign w:val="center"/>
            <w:tcMar>
              <w:top w:w="90" w:type="dxa"/>
              <w:start w:w="100" w:type="dxa"/>
              <w:bottom w:w="90" w:type="dxa"/>
              <w:end w:w="100" w:type="dxa"/>
            </w:tcMar>
          </w:tcPr>
          <w:p>
            <w:pPr>
              <w:spacing w:before="0" w:after="0" w:line="252" w:lineRule="auto"/>
            </w:pPr>
            <w:r>
              <w:rPr>
                <w:rFonts w:ascii="DejaVu Serif" w:hAnsi="DejaVu Serif" w:eastAsia="DejaVu Serif"/>
                <w:sz w:val="15"/>
              </w:rPr>
              <w:t>detached receipt</w:t>
            </w:r>
          </w:p>
        </w:tc>
        <w:tc>
          <w:tcPr>
            <w:tcW w:type="dxa" w:w="4082"/>
            <w:vAlign w:val="center"/>
            <w:tcMar>
              <w:top w:w="90" w:type="dxa"/>
              <w:start w:w="100" w:type="dxa"/>
              <w:bottom w:w="90" w:type="dxa"/>
              <w:end w:w="100" w:type="dxa"/>
            </w:tcMar>
          </w:tcPr>
          <w:p>
            <w:pPr>
              <w:spacing w:before="0" w:after="0" w:line="252" w:lineRule="auto"/>
            </w:pPr>
            <w:r>
              <w:rPr>
                <w:rFonts w:ascii="DejaVu Serif" w:hAnsi="DejaVu Serif" w:eastAsia="DejaVu Serif"/>
                <w:sz w:val="15"/>
              </w:rPr>
              <w:t>generated after final DOCX/PDF hashes become available</w:t>
            </w:r>
          </w:p>
        </w:tc>
        <w:tc>
          <w:tcPr>
            <w:tcW w:type="dxa" w:w="153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PROVENANCE</w:t>
            </w:r>
          </w:p>
        </w:tc>
      </w:tr>
      <w:tr>
        <w:trPr>
          <w:cantSplit/>
        </w:trPr>
        <w:tc>
          <w:tcPr>
            <w:tcW w:type="dxa" w:w="1474"/>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T1-EN-FC-006</w:t>
            </w:r>
          </w:p>
        </w:tc>
        <w:tc>
          <w:tcPr>
            <w:tcW w:type="dxa" w:w="1984"/>
            <w:vAlign w:val="center"/>
            <w:tcMar>
              <w:top w:w="90" w:type="dxa"/>
              <w:start w:w="100" w:type="dxa"/>
              <w:bottom w:w="90" w:type="dxa"/>
              <w:end w:w="100" w:type="dxa"/>
            </w:tcMar>
          </w:tcPr>
          <w:p>
            <w:pPr>
              <w:spacing w:before="0" w:after="0" w:line="252" w:lineRule="auto"/>
            </w:pPr>
            <w:r>
              <w:rPr>
                <w:rFonts w:ascii="DejaVu Serif" w:hAnsi="DejaVu Serif" w:eastAsia="DejaVu Serif"/>
                <w:sz w:val="15"/>
              </w:rPr>
              <w:t>scientific body</w:t>
            </w:r>
          </w:p>
        </w:tc>
        <w:tc>
          <w:tcPr>
            <w:tcW w:type="dxa" w:w="4082"/>
            <w:vAlign w:val="center"/>
            <w:tcMar>
              <w:top w:w="90" w:type="dxa"/>
              <w:start w:w="100" w:type="dxa"/>
              <w:bottom w:w="90" w:type="dxa"/>
              <w:end w:w="100" w:type="dxa"/>
            </w:tcMar>
          </w:tcPr>
          <w:p>
            <w:pPr>
              <w:spacing w:before="0" w:after="0" w:line="252" w:lineRule="auto"/>
            </w:pPr>
            <w:r>
              <w:rPr>
                <w:rFonts w:ascii="DejaVu Serif" w:hAnsi="DejaVu Serif" w:eastAsia="DejaVu Serif"/>
                <w:sz w:val="15"/>
              </w:rPr>
              <w:t>no permitted change</w:t>
            </w:r>
          </w:p>
        </w:tc>
        <w:tc>
          <w:tcPr>
            <w:tcW w:type="dxa" w:w="153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LOCKED</w:t>
            </w:r>
          </w:p>
        </w:tc>
      </w:tr>
      <w:tr>
        <w:trPr>
          <w:cantSplit/>
        </w:trPr>
        <w:tc>
          <w:tcPr>
            <w:tcW w:type="dxa" w:w="1474"/>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T1-EN-FC-007</w:t>
            </w:r>
          </w:p>
        </w:tc>
        <w:tc>
          <w:tcPr>
            <w:tcW w:type="dxa" w:w="1984"/>
            <w:vAlign w:val="center"/>
            <w:tcMar>
              <w:top w:w="90" w:type="dxa"/>
              <w:start w:w="100" w:type="dxa"/>
              <w:bottom w:w="90" w:type="dxa"/>
              <w:end w:w="100" w:type="dxa"/>
            </w:tcMar>
          </w:tcPr>
          <w:p>
            <w:pPr>
              <w:spacing w:before="0" w:after="0" w:line="252" w:lineRule="auto"/>
            </w:pPr>
            <w:r>
              <w:rPr>
                <w:rFonts w:ascii="DejaVu Serif" w:hAnsi="DejaVu Serif" w:eastAsia="DejaVu Serif"/>
                <w:sz w:val="15"/>
              </w:rPr>
              <w:t>formula registry F001-F086</w:t>
            </w:r>
          </w:p>
        </w:tc>
        <w:tc>
          <w:tcPr>
            <w:tcW w:type="dxa" w:w="4082"/>
            <w:vAlign w:val="center"/>
            <w:tcMar>
              <w:top w:w="90" w:type="dxa"/>
              <w:start w:w="100" w:type="dxa"/>
              <w:bottom w:w="90" w:type="dxa"/>
              <w:end w:w="100" w:type="dxa"/>
            </w:tcMar>
          </w:tcPr>
          <w:p>
            <w:pPr>
              <w:spacing w:before="0" w:after="0" w:line="252" w:lineRule="auto"/>
            </w:pPr>
            <w:r>
              <w:rPr>
                <w:rFonts w:ascii="DejaVu Serif" w:hAnsi="DejaVu Serif" w:eastAsia="DejaVu Serif"/>
                <w:sz w:val="15"/>
              </w:rPr>
              <w:t>no permitted change</w:t>
            </w:r>
          </w:p>
        </w:tc>
        <w:tc>
          <w:tcPr>
            <w:tcW w:type="dxa" w:w="153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LOCKED</w:t>
            </w:r>
          </w:p>
        </w:tc>
      </w:tr>
      <w:tr>
        <w:trPr>
          <w:cantSplit/>
        </w:trPr>
        <w:tc>
          <w:tcPr>
            <w:tcW w:type="dxa" w:w="1474"/>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T1-EN-FC-008</w:t>
            </w:r>
          </w:p>
        </w:tc>
        <w:tc>
          <w:tcPr>
            <w:tcW w:type="dxa" w:w="1984"/>
            <w:vAlign w:val="center"/>
            <w:tcMar>
              <w:top w:w="90" w:type="dxa"/>
              <w:start w:w="100" w:type="dxa"/>
              <w:bottom w:w="90" w:type="dxa"/>
              <w:end w:w="100" w:type="dxa"/>
            </w:tcMar>
          </w:tcPr>
          <w:p>
            <w:pPr>
              <w:spacing w:before="0" w:after="0" w:line="252" w:lineRule="auto"/>
            </w:pPr>
            <w:r>
              <w:rPr>
                <w:rFonts w:ascii="DejaVu Serif" w:hAnsi="DejaVu Serif" w:eastAsia="DejaVu Serif"/>
                <w:sz w:val="15"/>
              </w:rPr>
              <w:t>statuses and negative results</w:t>
            </w:r>
          </w:p>
        </w:tc>
        <w:tc>
          <w:tcPr>
            <w:tcW w:type="dxa" w:w="4082"/>
            <w:vAlign w:val="center"/>
            <w:tcMar>
              <w:top w:w="90" w:type="dxa"/>
              <w:start w:w="100" w:type="dxa"/>
              <w:bottom w:w="90" w:type="dxa"/>
              <w:end w:w="100" w:type="dxa"/>
            </w:tcMar>
          </w:tcPr>
          <w:p>
            <w:pPr>
              <w:spacing w:before="0" w:after="0" w:line="252" w:lineRule="auto"/>
            </w:pPr>
            <w:r>
              <w:rPr>
                <w:rFonts w:ascii="DejaVu Serif" w:hAnsi="DejaVu Serif" w:eastAsia="DejaVu Serif"/>
                <w:sz w:val="15"/>
              </w:rPr>
              <w:t>no permitted change</w:t>
            </w:r>
          </w:p>
        </w:tc>
        <w:tc>
          <w:tcPr>
            <w:tcW w:type="dxa" w:w="153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LOCKED</w:t>
            </w:r>
          </w:p>
        </w:tc>
      </w:tr>
    </w:tbl>
    <w:p>
      <w:pPr>
        <w:pStyle w:val="Heading2"/>
      </w:pPr>
      <w:r>
        <w:t>I.4. Detached Release Receipt Contract</w:t>
      </w:r>
    </w:p>
    <w:p>
      <w:pPr>
        <w:spacing w:after="100" w:line="269" w:lineRule="auto"/>
      </w:pPr>
      <w:r>
        <w:rPr>
          <w:rFonts w:ascii="DejaVu Serif" w:hAnsi="DejaVu Serif" w:eastAsia="DejaVu Serif"/>
          <w:i w:val="0"/>
          <w:sz w:val="20"/>
        </w:rPr>
        <w:t>The detached receipt is a JSON sidecar created after the final DOCX and PDF are rendered and accepted. It is unsigned unless a later external signer adds a separate signature. The receipt contains file names, byte sizes, SHA-256 hashes, predecessor hashes, semantic/formula/media manifests, QA verdicts, status locks, and the next release gate. It deliberately contains no self-hash field.</w:t>
      </w:r>
    </w:p>
    <w:p>
      <w:pPr>
        <w:spacing w:before="100" w:after="100"/>
        <w:jc w:val="center"/>
      </w:pPr>
      <w:r>
        <w:rPr>
          <w:rFonts w:ascii="DejaVu Serif" w:hAnsi="DejaVu Serif" w:eastAsia="DejaVu Serif"/>
          <w:i/>
          <w:sz w:val="20"/>
        </w:rPr>
        <w:t>Receipt = (source, predecessor, candidate, semantic manifests, QA, status lock, next gate)</w:t>
      </w:r>
    </w:p>
    <w:tbl>
      <w:tblPr>
        <w:tblStyle w:val="TableGrid"/>
        <w:tblW w:type="auto" w:w="0"/>
        <w:jc w:val="center"/>
        <w:tblLayout w:type="autofit"/>
        <w:tblLook w:firstColumn="1" w:firstRow="1" w:lastColumn="0" w:lastRow="0" w:noHBand="0" w:noVBand="1" w:val="04A0"/>
      </w:tblPr>
      <w:tblGrid>
        <w:gridCol w:w="3357"/>
        <w:gridCol w:w="3357"/>
        <w:gridCol w:w="3357"/>
      </w:tblGrid>
      <w:tr>
        <w:trPr>
          <w:tblHeader w:val="true"/>
          <w:cantSplit/>
        </w:trPr>
        <w:tc>
          <w:tcPr>
            <w:tcW w:type="dxa" w:w="2041"/>
            <w:vAlign w:val="center"/>
            <w:tcMar>
              <w:top w:w="90" w:type="dxa"/>
              <w:start w:w="100" w:type="dxa"/>
              <w:bottom w:w="90" w:type="dxa"/>
              <w:end w:w="100" w:type="dxa"/>
            </w:tcMar>
            <w:shd w:fill="E8EEF7"/>
          </w:tcPr>
          <w:p>
            <w:pPr>
              <w:spacing w:before="0" w:after="0" w:line="252" w:lineRule="auto"/>
              <w:jc w:val="center"/>
            </w:pPr>
            <w:r>
              <w:rPr>
                <w:rFonts w:ascii="DejaVu Serif" w:hAnsi="DejaVu Serif" w:eastAsia="DejaVu Serif"/>
                <w:b/>
                <w:color w:val="17345F"/>
                <w:sz w:val="16"/>
              </w:rPr>
              <w:t>Receipt field</w:t>
            </w:r>
          </w:p>
        </w:tc>
        <w:tc>
          <w:tcPr>
            <w:tcW w:type="dxa" w:w="3402"/>
            <w:vAlign w:val="center"/>
            <w:tcMar>
              <w:top w:w="90" w:type="dxa"/>
              <w:start w:w="100" w:type="dxa"/>
              <w:bottom w:w="90" w:type="dxa"/>
              <w:end w:w="100" w:type="dxa"/>
            </w:tcMar>
            <w:shd w:fill="E8EEF7"/>
          </w:tcPr>
          <w:p>
            <w:pPr>
              <w:spacing w:before="0" w:after="0" w:line="252" w:lineRule="auto"/>
            </w:pPr>
            <w:r>
              <w:rPr>
                <w:rFonts w:ascii="DejaVu Serif" w:hAnsi="DejaVu Serif" w:eastAsia="DejaVu Serif"/>
                <w:b/>
                <w:color w:val="17345F"/>
                <w:sz w:val="16"/>
              </w:rPr>
              <w:t>Requirement</w:t>
            </w:r>
          </w:p>
        </w:tc>
        <w:tc>
          <w:tcPr>
            <w:tcW w:type="dxa" w:w="3515"/>
            <w:vAlign w:val="center"/>
            <w:tcMar>
              <w:top w:w="90" w:type="dxa"/>
              <w:start w:w="100" w:type="dxa"/>
              <w:bottom w:w="90" w:type="dxa"/>
              <w:end w:w="100" w:type="dxa"/>
            </w:tcMar>
            <w:shd w:fill="E8EEF7"/>
          </w:tcPr>
          <w:p>
            <w:pPr>
              <w:spacing w:before="0" w:after="0" w:line="252" w:lineRule="auto"/>
            </w:pPr>
            <w:r>
              <w:rPr>
                <w:rFonts w:ascii="DejaVu Serif" w:hAnsi="DejaVu Serif" w:eastAsia="DejaVu Serif"/>
                <w:b/>
                <w:color w:val="17345F"/>
                <w:sz w:val="16"/>
              </w:rPr>
              <w:t>Interpretation boundary</w:t>
            </w:r>
          </w:p>
        </w:tc>
      </w:tr>
      <w:tr>
        <w:trPr>
          <w:cantSplit/>
        </w:trPr>
        <w:tc>
          <w:tcPr>
            <w:tcW w:type="dxa" w:w="204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receipt_id</w:t>
            </w:r>
          </w:p>
        </w:tc>
        <w:tc>
          <w:tcPr>
            <w:tcW w:type="dxa" w:w="3402"/>
            <w:vAlign w:val="center"/>
            <w:tcMar>
              <w:top w:w="90" w:type="dxa"/>
              <w:start w:w="100" w:type="dxa"/>
              <w:bottom w:w="90" w:type="dxa"/>
              <w:end w:w="100" w:type="dxa"/>
            </w:tcMar>
          </w:tcPr>
          <w:p>
            <w:pPr>
              <w:spacing w:before="0" w:after="0" w:line="252" w:lineRule="auto"/>
            </w:pPr>
            <w:r>
              <w:rPr>
                <w:rFonts w:ascii="DejaVu Serif" w:hAnsi="DejaVu Serif" w:eastAsia="DejaVu Serif"/>
                <w:sz w:val="16"/>
              </w:rPr>
              <w:t>T1-EN-FC-v0.12-RECEIPT</w:t>
            </w:r>
          </w:p>
        </w:tc>
        <w:tc>
          <w:tcPr>
            <w:tcW w:type="dxa" w:w="3515"/>
            <w:vAlign w:val="center"/>
            <w:tcMar>
              <w:top w:w="90" w:type="dxa"/>
              <w:start w:w="100" w:type="dxa"/>
              <w:bottom w:w="90" w:type="dxa"/>
              <w:end w:w="100" w:type="dxa"/>
            </w:tcMar>
          </w:tcPr>
          <w:p>
            <w:pPr>
              <w:spacing w:before="0" w:after="0" w:line="252" w:lineRule="auto"/>
            </w:pPr>
            <w:r>
              <w:rPr>
                <w:rFonts w:ascii="DejaVu Serif" w:hAnsi="DejaVu Serif" w:eastAsia="DejaVu Serif"/>
                <w:sz w:val="16"/>
              </w:rPr>
              <w:t>stable identifier, not a signature</w:t>
            </w:r>
          </w:p>
        </w:tc>
      </w:tr>
      <w:tr>
        <w:trPr>
          <w:cantSplit/>
        </w:trPr>
        <w:tc>
          <w:tcPr>
            <w:tcW w:type="dxa" w:w="204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candidate hashes</w:t>
            </w:r>
          </w:p>
        </w:tc>
        <w:tc>
          <w:tcPr>
            <w:tcW w:type="dxa" w:w="3402"/>
            <w:vAlign w:val="center"/>
            <w:tcMar>
              <w:top w:w="90" w:type="dxa"/>
              <w:start w:w="100" w:type="dxa"/>
              <w:bottom w:w="90" w:type="dxa"/>
              <w:end w:w="100" w:type="dxa"/>
            </w:tcMar>
          </w:tcPr>
          <w:p>
            <w:pPr>
              <w:spacing w:before="0" w:after="0" w:line="252" w:lineRule="auto"/>
            </w:pPr>
            <w:r>
              <w:rPr>
                <w:rFonts w:ascii="DejaVu Serif" w:hAnsi="DejaVu Serif" w:eastAsia="DejaVu Serif"/>
                <w:sz w:val="16"/>
              </w:rPr>
              <w:t>final DOCX and PDF SHA-256</w:t>
            </w:r>
          </w:p>
        </w:tc>
        <w:tc>
          <w:tcPr>
            <w:tcW w:type="dxa" w:w="3515"/>
            <w:vAlign w:val="center"/>
            <w:tcMar>
              <w:top w:w="90" w:type="dxa"/>
              <w:start w:w="100" w:type="dxa"/>
              <w:bottom w:w="90" w:type="dxa"/>
              <w:end w:w="100" w:type="dxa"/>
            </w:tcMar>
          </w:tcPr>
          <w:p>
            <w:pPr>
              <w:spacing w:before="0" w:after="0" w:line="252" w:lineRule="auto"/>
            </w:pPr>
            <w:r>
              <w:rPr>
                <w:rFonts w:ascii="DejaVu Serif" w:hAnsi="DejaVu Serif" w:eastAsia="DejaVu Serif"/>
                <w:sz w:val="16"/>
              </w:rPr>
              <w:t>file identity and integrity</w:t>
            </w:r>
          </w:p>
        </w:tc>
      </w:tr>
      <w:tr>
        <w:trPr>
          <w:cantSplit/>
        </w:trPr>
        <w:tc>
          <w:tcPr>
            <w:tcW w:type="dxa" w:w="204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predecessor hashes</w:t>
            </w:r>
          </w:p>
        </w:tc>
        <w:tc>
          <w:tcPr>
            <w:tcW w:type="dxa" w:w="3402"/>
            <w:vAlign w:val="center"/>
            <w:tcMar>
              <w:top w:w="90" w:type="dxa"/>
              <w:start w:w="100" w:type="dxa"/>
              <w:bottom w:w="90" w:type="dxa"/>
              <w:end w:w="100" w:type="dxa"/>
            </w:tcMar>
          </w:tcPr>
          <w:p>
            <w:pPr>
              <w:spacing w:before="0" w:after="0" w:line="252" w:lineRule="auto"/>
            </w:pPr>
            <w:r>
              <w:rPr>
                <w:rFonts w:ascii="DejaVu Serif" w:hAnsi="DejaVu Serif" w:eastAsia="DejaVu Serif"/>
                <w:sz w:val="16"/>
              </w:rPr>
              <w:t>v0.11 DOCX/PDF SHA-256</w:t>
            </w:r>
          </w:p>
        </w:tc>
        <w:tc>
          <w:tcPr>
            <w:tcW w:type="dxa" w:w="3515"/>
            <w:vAlign w:val="center"/>
            <w:tcMar>
              <w:top w:w="90" w:type="dxa"/>
              <w:start w:w="100" w:type="dxa"/>
              <w:bottom w:w="90" w:type="dxa"/>
              <w:end w:w="100" w:type="dxa"/>
            </w:tcMar>
          </w:tcPr>
          <w:p>
            <w:pPr>
              <w:spacing w:before="0" w:after="0" w:line="252" w:lineRule="auto"/>
            </w:pPr>
            <w:r>
              <w:rPr>
                <w:rFonts w:ascii="DejaVu Serif" w:hAnsi="DejaVu Serif" w:eastAsia="DejaVu Serif"/>
                <w:sz w:val="16"/>
              </w:rPr>
              <w:t>controlled lineage</w:t>
            </w:r>
          </w:p>
        </w:tc>
      </w:tr>
      <w:tr>
        <w:trPr>
          <w:cantSplit/>
        </w:trPr>
        <w:tc>
          <w:tcPr>
            <w:tcW w:type="dxa" w:w="204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semantic manifests</w:t>
            </w:r>
          </w:p>
        </w:tc>
        <w:tc>
          <w:tcPr>
            <w:tcW w:type="dxa" w:w="3402"/>
            <w:vAlign w:val="center"/>
            <w:tcMar>
              <w:top w:w="90" w:type="dxa"/>
              <w:start w:w="100" w:type="dxa"/>
              <w:bottom w:w="90" w:type="dxa"/>
              <w:end w:w="100" w:type="dxa"/>
            </w:tcMar>
          </w:tcPr>
          <w:p>
            <w:pPr>
              <w:spacing w:before="0" w:after="0" w:line="252" w:lineRule="auto"/>
            </w:pPr>
            <w:r>
              <w:rPr>
                <w:rFonts w:ascii="DejaVu Serif" w:hAnsi="DejaVu Serif" w:eastAsia="DejaVu Serif"/>
                <w:sz w:val="16"/>
              </w:rPr>
              <w:t>science, audit H, F001-F086, media digests</w:t>
            </w:r>
          </w:p>
        </w:tc>
        <w:tc>
          <w:tcPr>
            <w:tcW w:type="dxa" w:w="3515"/>
            <w:vAlign w:val="center"/>
            <w:tcMar>
              <w:top w:w="90" w:type="dxa"/>
              <w:start w:w="100" w:type="dxa"/>
              <w:bottom w:w="90" w:type="dxa"/>
              <w:end w:w="100" w:type="dxa"/>
            </w:tcMar>
          </w:tcPr>
          <w:p>
            <w:pPr>
              <w:spacing w:before="0" w:after="0" w:line="252" w:lineRule="auto"/>
            </w:pPr>
            <w:r>
              <w:rPr>
                <w:rFonts w:ascii="DejaVu Serif" w:hAnsi="DejaVu Serif" w:eastAsia="DejaVu Serif"/>
                <w:sz w:val="16"/>
              </w:rPr>
              <w:t>no-scientific-change evidence</w:t>
            </w:r>
          </w:p>
        </w:tc>
      </w:tr>
      <w:tr>
        <w:trPr>
          <w:cantSplit/>
        </w:trPr>
        <w:tc>
          <w:tcPr>
            <w:tcW w:type="dxa" w:w="204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QA evidence</w:t>
            </w:r>
          </w:p>
        </w:tc>
        <w:tc>
          <w:tcPr>
            <w:tcW w:type="dxa" w:w="3402"/>
            <w:vAlign w:val="center"/>
            <w:tcMar>
              <w:top w:w="90" w:type="dxa"/>
              <w:start w:w="100" w:type="dxa"/>
              <w:bottom w:w="90" w:type="dxa"/>
              <w:end w:w="100" w:type="dxa"/>
            </w:tcMar>
          </w:tcPr>
          <w:p>
            <w:pPr>
              <w:spacing w:before="0" w:after="0" w:line="252" w:lineRule="auto"/>
            </w:pPr>
            <w:r>
              <w:rPr>
                <w:rFonts w:ascii="DejaVu Serif" w:hAnsi="DejaVu Serif" w:eastAsia="DejaVu Serif"/>
                <w:sz w:val="16"/>
              </w:rPr>
              <w:t>render count, ZIP/PDF checks, placeholder scan</w:t>
            </w:r>
          </w:p>
        </w:tc>
        <w:tc>
          <w:tcPr>
            <w:tcW w:type="dxa" w:w="3515"/>
            <w:vAlign w:val="center"/>
            <w:tcMar>
              <w:top w:w="90" w:type="dxa"/>
              <w:start w:w="100" w:type="dxa"/>
              <w:bottom w:w="90" w:type="dxa"/>
              <w:end w:w="100" w:type="dxa"/>
            </w:tcMar>
          </w:tcPr>
          <w:p>
            <w:pPr>
              <w:spacing w:before="0" w:after="0" w:line="252" w:lineRule="auto"/>
            </w:pPr>
            <w:r>
              <w:rPr>
                <w:rFonts w:ascii="DejaVu Serif" w:hAnsi="DejaVu Serif" w:eastAsia="DejaVu Serif"/>
                <w:sz w:val="16"/>
              </w:rPr>
              <w:t>publication hygiene</w:t>
            </w:r>
          </w:p>
        </w:tc>
      </w:tr>
      <w:tr>
        <w:trPr>
          <w:cantSplit/>
        </w:trPr>
        <w:tc>
          <w:tcPr>
            <w:tcW w:type="dxa" w:w="204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status lock</w:t>
            </w:r>
          </w:p>
        </w:tc>
        <w:tc>
          <w:tcPr>
            <w:tcW w:type="dxa" w:w="3402"/>
            <w:vAlign w:val="center"/>
            <w:tcMar>
              <w:top w:w="90" w:type="dxa"/>
              <w:start w:w="100" w:type="dxa"/>
              <w:bottom w:w="90" w:type="dxa"/>
              <w:end w:w="100" w:type="dxa"/>
            </w:tcMar>
          </w:tcPr>
          <w:p>
            <w:pPr>
              <w:spacing w:before="0" w:after="0" w:line="252" w:lineRule="auto"/>
            </w:pPr>
            <w:r>
              <w:rPr>
                <w:rFonts w:ascii="DejaVu Serif" w:hAnsi="DejaVu Serif" w:eastAsia="DejaVu Serif"/>
                <w:sz w:val="16"/>
              </w:rPr>
              <w:t>truth_layer_promotion=0; EXT-RUN absent</w:t>
            </w:r>
          </w:p>
        </w:tc>
        <w:tc>
          <w:tcPr>
            <w:tcW w:type="dxa" w:w="3515"/>
            <w:vAlign w:val="center"/>
            <w:tcMar>
              <w:top w:w="90" w:type="dxa"/>
              <w:start w:w="100" w:type="dxa"/>
              <w:bottom w:w="90" w:type="dxa"/>
              <w:end w:w="100" w:type="dxa"/>
            </w:tcMar>
          </w:tcPr>
          <w:p>
            <w:pPr>
              <w:spacing w:before="0" w:after="0" w:line="252" w:lineRule="auto"/>
            </w:pPr>
            <w:r>
              <w:rPr>
                <w:rFonts w:ascii="DejaVu Serif" w:hAnsi="DejaVu Serif" w:eastAsia="DejaVu Serif"/>
                <w:sz w:val="16"/>
              </w:rPr>
              <w:t>no evidence promotion</w:t>
            </w:r>
          </w:p>
        </w:tc>
      </w:tr>
      <w:tr>
        <w:trPr>
          <w:cantSplit/>
        </w:trPr>
        <w:tc>
          <w:tcPr>
            <w:tcW w:type="dxa" w:w="204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signature status</w:t>
            </w:r>
          </w:p>
        </w:tc>
        <w:tc>
          <w:tcPr>
            <w:tcW w:type="dxa" w:w="3402"/>
            <w:vAlign w:val="center"/>
            <w:tcMar>
              <w:top w:w="90" w:type="dxa"/>
              <w:start w:w="100" w:type="dxa"/>
              <w:bottom w:w="90" w:type="dxa"/>
              <w:end w:w="100" w:type="dxa"/>
            </w:tcMar>
          </w:tcPr>
          <w:p>
            <w:pPr>
              <w:spacing w:before="0" w:after="0" w:line="252" w:lineRule="auto"/>
            </w:pPr>
            <w:r>
              <w:rPr>
                <w:rFonts w:ascii="DejaVu Serif" w:hAnsi="DejaVu Serif" w:eastAsia="DejaVu Serif"/>
                <w:sz w:val="16"/>
              </w:rPr>
              <w:t>UNSIGNED AUTHORIAL RECEIPT</w:t>
            </w:r>
          </w:p>
        </w:tc>
        <w:tc>
          <w:tcPr>
            <w:tcW w:type="dxa" w:w="3515"/>
            <w:vAlign w:val="center"/>
            <w:tcMar>
              <w:top w:w="90" w:type="dxa"/>
              <w:start w:w="100" w:type="dxa"/>
              <w:bottom w:w="90" w:type="dxa"/>
              <w:end w:w="100" w:type="dxa"/>
            </w:tcMar>
          </w:tcPr>
          <w:p>
            <w:pPr>
              <w:spacing w:before="0" w:after="0" w:line="252" w:lineRule="auto"/>
            </w:pPr>
            <w:r>
              <w:rPr>
                <w:rFonts w:ascii="DejaVu Serif" w:hAnsi="DejaVu Serif" w:eastAsia="DejaVu Serif"/>
                <w:sz w:val="16"/>
              </w:rPr>
              <w:t>external signature not implied</w:t>
            </w:r>
          </w:p>
        </w:tc>
      </w:tr>
    </w:tbl>
    <w:p>
      <w:pPr>
        <w:pStyle w:val="Heading2"/>
      </w:pPr>
      <w:r>
        <w:t>I.5. Freeze Gate Matrix</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tblHeader w:val="true"/>
          <w:cantSplit/>
        </w:trPr>
        <w:tc>
          <w:tcPr>
            <w:tcW w:type="dxa" w:w="1701"/>
            <w:vAlign w:val="center"/>
            <w:tcMar>
              <w:top w:w="90" w:type="dxa"/>
              <w:start w:w="100" w:type="dxa"/>
              <w:bottom w:w="90" w:type="dxa"/>
              <w:end w:w="100" w:type="dxa"/>
            </w:tcMar>
            <w:shd w:fill="E8EEF7"/>
          </w:tcPr>
          <w:p>
            <w:pPr>
              <w:spacing w:before="0" w:after="0" w:line="252" w:lineRule="auto"/>
              <w:jc w:val="center"/>
            </w:pPr>
            <w:r>
              <w:rPr>
                <w:rFonts w:ascii="DejaVu Serif" w:hAnsi="DejaVu Serif" w:eastAsia="DejaVu Serif"/>
                <w:b/>
                <w:color w:val="17345F"/>
                <w:sz w:val="15"/>
              </w:rPr>
              <w:t>Gate</w:t>
            </w:r>
          </w:p>
        </w:tc>
        <w:tc>
          <w:tcPr>
            <w:tcW w:type="dxa" w:w="3402"/>
            <w:vAlign w:val="center"/>
            <w:tcMar>
              <w:top w:w="90" w:type="dxa"/>
              <w:start w:w="100" w:type="dxa"/>
              <w:bottom w:w="90" w:type="dxa"/>
              <w:end w:w="100" w:type="dxa"/>
            </w:tcMar>
            <w:shd w:fill="E8EEF7"/>
          </w:tcPr>
          <w:p>
            <w:pPr>
              <w:spacing w:before="0" w:after="0" w:line="252" w:lineRule="auto"/>
            </w:pPr>
            <w:r>
              <w:rPr>
                <w:rFonts w:ascii="DejaVu Serif" w:hAnsi="DejaVu Serif" w:eastAsia="DejaVu Serif"/>
                <w:b/>
                <w:color w:val="17345F"/>
                <w:sz w:val="15"/>
              </w:rPr>
              <w:t>Acceptance criterion</w:t>
            </w:r>
          </w:p>
        </w:tc>
        <w:tc>
          <w:tcPr>
            <w:tcW w:type="dxa" w:w="2268"/>
            <w:vAlign w:val="center"/>
            <w:tcMar>
              <w:top w:w="90" w:type="dxa"/>
              <w:start w:w="100" w:type="dxa"/>
              <w:bottom w:w="90" w:type="dxa"/>
              <w:end w:w="100" w:type="dxa"/>
            </w:tcMar>
            <w:shd w:fill="E8EEF7"/>
          </w:tcPr>
          <w:p>
            <w:pPr>
              <w:spacing w:before="0" w:after="0" w:line="252" w:lineRule="auto"/>
            </w:pPr>
            <w:r>
              <w:rPr>
                <w:rFonts w:ascii="DejaVu Serif" w:hAnsi="DejaVu Serif" w:eastAsia="DejaVu Serif"/>
                <w:b/>
                <w:color w:val="17345F"/>
                <w:sz w:val="15"/>
              </w:rPr>
              <w:t>v0.12 decision</w:t>
            </w:r>
          </w:p>
        </w:tc>
        <w:tc>
          <w:tcPr>
            <w:tcW w:type="dxa" w:w="1701"/>
            <w:vAlign w:val="center"/>
            <w:tcMar>
              <w:top w:w="90" w:type="dxa"/>
              <w:start w:w="100" w:type="dxa"/>
              <w:bottom w:w="90" w:type="dxa"/>
              <w:end w:w="100" w:type="dxa"/>
            </w:tcMar>
            <w:shd w:fill="E8EEF7"/>
          </w:tcPr>
          <w:p>
            <w:pPr>
              <w:spacing w:before="0" w:after="0" w:line="252" w:lineRule="auto"/>
            </w:pPr>
            <w:r>
              <w:rPr>
                <w:rFonts w:ascii="DejaVu Serif" w:hAnsi="DejaVu Serif" w:eastAsia="DejaVu Serif"/>
                <w:b/>
                <w:color w:val="17345F"/>
                <w:sz w:val="15"/>
              </w:rPr>
              <w:t>Effect of failure</w:t>
            </w:r>
          </w:p>
        </w:tc>
      </w:tr>
      <w:tr>
        <w:trPr>
          <w:cantSplit/>
        </w:trPr>
        <w:tc>
          <w:tcPr>
            <w:tcW w:type="dxa" w:w="170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Authority</w:t>
            </w:r>
          </w:p>
        </w:tc>
        <w:tc>
          <w:tcPr>
            <w:tcW w:type="dxa" w:w="3402"/>
            <w:vAlign w:val="center"/>
            <w:tcMar>
              <w:top w:w="90" w:type="dxa"/>
              <w:start w:w="100" w:type="dxa"/>
              <w:bottom w:w="90" w:type="dxa"/>
              <w:end w:w="100" w:type="dxa"/>
            </w:tcMar>
          </w:tcPr>
          <w:p>
            <w:pPr>
              <w:spacing w:before="0" w:after="0" w:line="252" w:lineRule="auto"/>
            </w:pPr>
            <w:r>
              <w:rPr>
                <w:rFonts w:ascii="DejaVu Serif" w:hAnsi="DejaVu Serif" w:eastAsia="DejaVu Serif"/>
                <w:sz w:val="15"/>
              </w:rPr>
              <w:t>RU v197 remains canonical</w:t>
            </w:r>
          </w:p>
        </w:tc>
        <w:tc>
          <w:tcPr>
            <w:tcW w:type="dxa" w:w="2268"/>
            <w:vAlign w:val="center"/>
            <w:tcMar>
              <w:top w:w="90" w:type="dxa"/>
              <w:start w:w="100" w:type="dxa"/>
              <w:bottom w:w="90" w:type="dxa"/>
              <w:end w:w="100" w:type="dxa"/>
            </w:tcMar>
          </w:tcPr>
          <w:p>
            <w:pPr>
              <w:spacing w:before="0" w:after="0" w:line="252" w:lineRule="auto"/>
            </w:pPr>
            <w:r>
              <w:rPr>
                <w:rFonts w:ascii="DejaVu Serif" w:hAnsi="DejaVu Serif" w:eastAsia="DejaVu Serif"/>
                <w:sz w:val="15"/>
              </w:rPr>
              <w:t>PASS</w:t>
            </w:r>
          </w:p>
        </w:tc>
        <w:tc>
          <w:tcPr>
            <w:tcW w:type="dxa" w:w="170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BLOCK</w:t>
            </w:r>
          </w:p>
        </w:tc>
      </w:tr>
      <w:tr>
        <w:trPr>
          <w:cantSplit/>
        </w:trPr>
        <w:tc>
          <w:tcPr>
            <w:tcW w:type="dxa" w:w="170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Scientific no-change</w:t>
            </w:r>
          </w:p>
        </w:tc>
        <w:tc>
          <w:tcPr>
            <w:tcW w:type="dxa" w:w="3402"/>
            <w:vAlign w:val="center"/>
            <w:tcMar>
              <w:top w:w="90" w:type="dxa"/>
              <w:start w:w="100" w:type="dxa"/>
              <w:bottom w:w="90" w:type="dxa"/>
              <w:end w:w="100" w:type="dxa"/>
            </w:tcMar>
          </w:tcPr>
          <w:p>
            <w:pPr>
              <w:spacing w:before="0" w:after="0" w:line="252" w:lineRule="auto"/>
            </w:pPr>
            <w:r>
              <w:rPr>
                <w:rFonts w:ascii="DejaVu Serif" w:hAnsi="DejaVu Serif" w:eastAsia="DejaVu Serif"/>
                <w:sz w:val="15"/>
              </w:rPr>
              <w:t>science and audit-H digests exact match</w:t>
            </w:r>
          </w:p>
        </w:tc>
        <w:tc>
          <w:tcPr>
            <w:tcW w:type="dxa" w:w="2268"/>
            <w:vAlign w:val="center"/>
            <w:tcMar>
              <w:top w:w="90" w:type="dxa"/>
              <w:start w:w="100" w:type="dxa"/>
              <w:bottom w:w="90" w:type="dxa"/>
              <w:end w:w="100" w:type="dxa"/>
            </w:tcMar>
          </w:tcPr>
          <w:p>
            <w:pPr>
              <w:spacing w:before="0" w:after="0" w:line="252" w:lineRule="auto"/>
            </w:pPr>
            <w:r>
              <w:rPr>
                <w:rFonts w:ascii="DejaVu Serif" w:hAnsi="DejaVu Serif" w:eastAsia="DejaVu Serif"/>
                <w:sz w:val="15"/>
              </w:rPr>
              <w:t>PASS</w:t>
            </w:r>
          </w:p>
        </w:tc>
        <w:tc>
          <w:tcPr>
            <w:tcW w:type="dxa" w:w="170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BLOCK</w:t>
            </w:r>
          </w:p>
        </w:tc>
      </w:tr>
      <w:tr>
        <w:trPr>
          <w:cantSplit/>
        </w:trPr>
        <w:tc>
          <w:tcPr>
            <w:tcW w:type="dxa" w:w="170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Formula parity</w:t>
            </w:r>
          </w:p>
        </w:tc>
        <w:tc>
          <w:tcPr>
            <w:tcW w:type="dxa" w:w="3402"/>
            <w:vAlign w:val="center"/>
            <w:tcMar>
              <w:top w:w="90" w:type="dxa"/>
              <w:start w:w="100" w:type="dxa"/>
              <w:bottom w:w="90" w:type="dxa"/>
              <w:end w:w="100" w:type="dxa"/>
            </w:tcMar>
          </w:tcPr>
          <w:p>
            <w:pPr>
              <w:spacing w:before="0" w:after="0" w:line="252" w:lineRule="auto"/>
            </w:pPr>
            <w:r>
              <w:rPr>
                <w:rFonts w:ascii="DejaVu Serif" w:hAnsi="DejaVu Serif" w:eastAsia="DejaVu Serif"/>
                <w:sz w:val="15"/>
              </w:rPr>
              <w:t>F001-F086 exact manifest match</w:t>
            </w:r>
          </w:p>
        </w:tc>
        <w:tc>
          <w:tcPr>
            <w:tcW w:type="dxa" w:w="2268"/>
            <w:vAlign w:val="center"/>
            <w:tcMar>
              <w:top w:w="90" w:type="dxa"/>
              <w:start w:w="100" w:type="dxa"/>
              <w:bottom w:w="90" w:type="dxa"/>
              <w:end w:w="100" w:type="dxa"/>
            </w:tcMar>
          </w:tcPr>
          <w:p>
            <w:pPr>
              <w:spacing w:before="0" w:after="0" w:line="252" w:lineRule="auto"/>
            </w:pPr>
            <w:r>
              <w:rPr>
                <w:rFonts w:ascii="DejaVu Serif" w:hAnsi="DejaVu Serif" w:eastAsia="DejaVu Serif"/>
                <w:sz w:val="15"/>
              </w:rPr>
              <w:t>PASS</w:t>
            </w:r>
          </w:p>
        </w:tc>
        <w:tc>
          <w:tcPr>
            <w:tcW w:type="dxa" w:w="170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BLOCK</w:t>
            </w:r>
          </w:p>
        </w:tc>
      </w:tr>
      <w:tr>
        <w:trPr>
          <w:cantSplit/>
        </w:trPr>
        <w:tc>
          <w:tcPr>
            <w:tcW w:type="dxa" w:w="170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Media parity</w:t>
            </w:r>
          </w:p>
        </w:tc>
        <w:tc>
          <w:tcPr>
            <w:tcW w:type="dxa" w:w="3402"/>
            <w:vAlign w:val="center"/>
            <w:tcMar>
              <w:top w:w="90" w:type="dxa"/>
              <w:start w:w="100" w:type="dxa"/>
              <w:bottom w:w="90" w:type="dxa"/>
              <w:end w:w="100" w:type="dxa"/>
            </w:tcMar>
          </w:tcPr>
          <w:p>
            <w:pPr>
              <w:spacing w:before="0" w:after="0" w:line="252" w:lineRule="auto"/>
            </w:pPr>
            <w:r>
              <w:rPr>
                <w:rFonts w:ascii="DejaVu Serif" w:hAnsi="DejaVu Serif" w:eastAsia="DejaVu Serif"/>
                <w:sz w:val="15"/>
              </w:rPr>
              <w:t>embedded media manifest exact match</w:t>
            </w:r>
          </w:p>
        </w:tc>
        <w:tc>
          <w:tcPr>
            <w:tcW w:type="dxa" w:w="2268"/>
            <w:vAlign w:val="center"/>
            <w:tcMar>
              <w:top w:w="90" w:type="dxa"/>
              <w:start w:w="100" w:type="dxa"/>
              <w:bottom w:w="90" w:type="dxa"/>
              <w:end w:w="100" w:type="dxa"/>
            </w:tcMar>
          </w:tcPr>
          <w:p>
            <w:pPr>
              <w:spacing w:before="0" w:after="0" w:line="252" w:lineRule="auto"/>
            </w:pPr>
            <w:r>
              <w:rPr>
                <w:rFonts w:ascii="DejaVu Serif" w:hAnsi="DejaVu Serif" w:eastAsia="DejaVu Serif"/>
                <w:sz w:val="15"/>
              </w:rPr>
              <w:t>PASS</w:t>
            </w:r>
          </w:p>
        </w:tc>
        <w:tc>
          <w:tcPr>
            <w:tcW w:type="dxa" w:w="170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BLOCK</w:t>
            </w:r>
          </w:p>
        </w:tc>
      </w:tr>
      <w:tr>
        <w:trPr>
          <w:cantSplit/>
        </w:trPr>
        <w:tc>
          <w:tcPr>
            <w:tcW w:type="dxa" w:w="170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Status firewall</w:t>
            </w:r>
          </w:p>
        </w:tc>
        <w:tc>
          <w:tcPr>
            <w:tcW w:type="dxa" w:w="3402"/>
            <w:vAlign w:val="center"/>
            <w:tcMar>
              <w:top w:w="90" w:type="dxa"/>
              <w:start w:w="100" w:type="dxa"/>
              <w:bottom w:w="90" w:type="dxa"/>
              <w:end w:w="100" w:type="dxa"/>
            </w:tcMar>
          </w:tcPr>
          <w:p>
            <w:pPr>
              <w:spacing w:before="0" w:after="0" w:line="252" w:lineRule="auto"/>
            </w:pPr>
            <w:r>
              <w:rPr>
                <w:rFonts w:ascii="DejaVu Serif" w:hAnsi="DejaVu Serif" w:eastAsia="DejaVu Serif"/>
                <w:sz w:val="15"/>
              </w:rPr>
              <w:t>no theorem/model/physical promotion</w:t>
            </w:r>
          </w:p>
        </w:tc>
        <w:tc>
          <w:tcPr>
            <w:tcW w:type="dxa" w:w="2268"/>
            <w:vAlign w:val="center"/>
            <w:tcMar>
              <w:top w:w="90" w:type="dxa"/>
              <w:start w:w="100" w:type="dxa"/>
              <w:bottom w:w="90" w:type="dxa"/>
              <w:end w:w="100" w:type="dxa"/>
            </w:tcMar>
          </w:tcPr>
          <w:p>
            <w:pPr>
              <w:spacing w:before="0" w:after="0" w:line="252" w:lineRule="auto"/>
            </w:pPr>
            <w:r>
              <w:rPr>
                <w:rFonts w:ascii="DejaVu Serif" w:hAnsi="DejaVu Serif" w:eastAsia="DejaVu Serif"/>
                <w:sz w:val="15"/>
              </w:rPr>
              <w:t>PASS</w:t>
            </w:r>
          </w:p>
        </w:tc>
        <w:tc>
          <w:tcPr>
            <w:tcW w:type="dxa" w:w="170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BLOCK</w:t>
            </w:r>
          </w:p>
        </w:tc>
      </w:tr>
      <w:tr>
        <w:trPr>
          <w:cantSplit/>
        </w:trPr>
        <w:tc>
          <w:tcPr>
            <w:tcW w:type="dxa" w:w="170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Document integrity</w:t>
            </w:r>
          </w:p>
        </w:tc>
        <w:tc>
          <w:tcPr>
            <w:tcW w:type="dxa" w:w="3402"/>
            <w:vAlign w:val="center"/>
            <w:tcMar>
              <w:top w:w="90" w:type="dxa"/>
              <w:start w:w="100" w:type="dxa"/>
              <w:bottom w:w="90" w:type="dxa"/>
              <w:end w:w="100" w:type="dxa"/>
            </w:tcMar>
          </w:tcPr>
          <w:p>
            <w:pPr>
              <w:spacing w:before="0" w:after="0" w:line="252" w:lineRule="auto"/>
            </w:pPr>
            <w:r>
              <w:rPr>
                <w:rFonts w:ascii="DejaVu Serif" w:hAnsi="DejaVu Serif" w:eastAsia="DejaVu Serif"/>
                <w:sz w:val="15"/>
              </w:rPr>
              <w:t>DOCX ZIP integrity and searchable PDF</w:t>
            </w:r>
          </w:p>
        </w:tc>
        <w:tc>
          <w:tcPr>
            <w:tcW w:type="dxa" w:w="2268"/>
            <w:vAlign w:val="center"/>
            <w:tcMar>
              <w:top w:w="90" w:type="dxa"/>
              <w:start w:w="100" w:type="dxa"/>
              <w:bottom w:w="90" w:type="dxa"/>
              <w:end w:w="100" w:type="dxa"/>
            </w:tcMar>
          </w:tcPr>
          <w:p>
            <w:pPr>
              <w:spacing w:before="0" w:after="0" w:line="252" w:lineRule="auto"/>
            </w:pPr>
            <w:r>
              <w:rPr>
                <w:rFonts w:ascii="DejaVu Serif" w:hAnsi="DejaVu Serif" w:eastAsia="DejaVu Serif"/>
                <w:sz w:val="15"/>
              </w:rPr>
              <w:t>PASS</w:t>
            </w:r>
          </w:p>
        </w:tc>
        <w:tc>
          <w:tcPr>
            <w:tcW w:type="dxa" w:w="170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BLOCK</w:t>
            </w:r>
          </w:p>
        </w:tc>
      </w:tr>
      <w:tr>
        <w:trPr>
          <w:cantSplit/>
        </w:trPr>
        <w:tc>
          <w:tcPr>
            <w:tcW w:type="dxa" w:w="170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Visual QA</w:t>
            </w:r>
          </w:p>
        </w:tc>
        <w:tc>
          <w:tcPr>
            <w:tcW w:type="dxa" w:w="3402"/>
            <w:vAlign w:val="center"/>
            <w:tcMar>
              <w:top w:w="90" w:type="dxa"/>
              <w:start w:w="100" w:type="dxa"/>
              <w:bottom w:w="90" w:type="dxa"/>
              <w:end w:w="100" w:type="dxa"/>
            </w:tcMar>
          </w:tcPr>
          <w:p>
            <w:pPr>
              <w:spacing w:before="0" w:after="0" w:line="252" w:lineRule="auto"/>
            </w:pPr>
            <w:r>
              <w:rPr>
                <w:rFonts w:ascii="DejaVu Serif" w:hAnsi="DejaVu Serif" w:eastAsia="DejaVu Serif"/>
                <w:sz w:val="15"/>
              </w:rPr>
              <w:t>all pages render without clipping/overlap</w:t>
            </w:r>
          </w:p>
        </w:tc>
        <w:tc>
          <w:tcPr>
            <w:tcW w:type="dxa" w:w="2268"/>
            <w:vAlign w:val="center"/>
            <w:tcMar>
              <w:top w:w="90" w:type="dxa"/>
              <w:start w:w="100" w:type="dxa"/>
              <w:bottom w:w="90" w:type="dxa"/>
              <w:end w:w="100" w:type="dxa"/>
            </w:tcMar>
          </w:tcPr>
          <w:p>
            <w:pPr>
              <w:spacing w:before="0" w:after="0" w:line="252" w:lineRule="auto"/>
            </w:pPr>
            <w:r>
              <w:rPr>
                <w:rFonts w:ascii="DejaVu Serif" w:hAnsi="DejaVu Serif" w:eastAsia="DejaVu Serif"/>
                <w:sz w:val="15"/>
              </w:rPr>
              <w:t>PASS</w:t>
            </w:r>
          </w:p>
        </w:tc>
        <w:tc>
          <w:tcPr>
            <w:tcW w:type="dxa" w:w="170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BLOCK</w:t>
            </w:r>
          </w:p>
        </w:tc>
      </w:tr>
      <w:tr>
        <w:trPr>
          <w:cantSplit/>
        </w:trPr>
        <w:tc>
          <w:tcPr>
            <w:tcW w:type="dxa" w:w="170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External signed review</w:t>
            </w:r>
          </w:p>
        </w:tc>
        <w:tc>
          <w:tcPr>
            <w:tcW w:type="dxa" w:w="3402"/>
            <w:vAlign w:val="center"/>
            <w:tcMar>
              <w:top w:w="90" w:type="dxa"/>
              <w:start w:w="100" w:type="dxa"/>
              <w:bottom w:w="90" w:type="dxa"/>
              <w:end w:w="100" w:type="dxa"/>
            </w:tcMar>
          </w:tcPr>
          <w:p>
            <w:pPr>
              <w:spacing w:before="0" w:after="0" w:line="252" w:lineRule="auto"/>
            </w:pPr>
            <w:r>
              <w:rPr>
                <w:rFonts w:ascii="DejaVu Serif" w:hAnsi="DejaVu Serif" w:eastAsia="DejaVu Serif"/>
                <w:sz w:val="15"/>
              </w:rPr>
              <w:t>not required for authorial freeze</w:t>
            </w:r>
          </w:p>
        </w:tc>
        <w:tc>
          <w:tcPr>
            <w:tcW w:type="dxa" w:w="2268"/>
            <w:vAlign w:val="center"/>
            <w:tcMar>
              <w:top w:w="90" w:type="dxa"/>
              <w:start w:w="100" w:type="dxa"/>
              <w:bottom w:w="90" w:type="dxa"/>
              <w:end w:w="100" w:type="dxa"/>
            </w:tcMar>
          </w:tcPr>
          <w:p>
            <w:pPr>
              <w:spacing w:before="0" w:after="0" w:line="252" w:lineRule="auto"/>
            </w:pPr>
            <w:r>
              <w:rPr>
                <w:rFonts w:ascii="DejaVu Serif" w:hAnsi="DejaVu Serif" w:eastAsia="DejaVu Serif"/>
                <w:sz w:val="15"/>
              </w:rPr>
              <w:t>OPEN NON-VETO</w:t>
            </w:r>
          </w:p>
        </w:tc>
        <w:tc>
          <w:tcPr>
            <w:tcW w:type="dxa" w:w="170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NO PROMOTION</w:t>
            </w:r>
          </w:p>
        </w:tc>
      </w:tr>
      <w:tr>
        <w:trPr>
          <w:cantSplit/>
        </w:trPr>
        <w:tc>
          <w:tcPr>
            <w:tcW w:type="dxa" w:w="1701"/>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EXT-RUN / EMP-OBS</w:t>
            </w:r>
          </w:p>
        </w:tc>
        <w:tc>
          <w:tcPr>
            <w:tcW w:type="dxa" w:w="3402"/>
            <w:vAlign w:val="center"/>
            <w:tcMar>
              <w:top w:w="90" w:type="dxa"/>
              <w:start w:w="100" w:type="dxa"/>
              <w:bottom w:w="90" w:type="dxa"/>
              <w:end w:w="100" w:type="dxa"/>
            </w:tcMar>
          </w:tcPr>
          <w:p>
            <w:pPr>
              <w:spacing w:before="0" w:after="0" w:line="252" w:lineRule="auto"/>
            </w:pPr>
            <w:r>
              <w:rPr>
                <w:rFonts w:ascii="DejaVu Serif" w:hAnsi="DejaVu Serif" w:eastAsia="DejaVu Serif"/>
                <w:sz w:val="15"/>
              </w:rPr>
              <w:t>not required for documentary freeze</w:t>
            </w:r>
          </w:p>
        </w:tc>
        <w:tc>
          <w:tcPr>
            <w:tcW w:type="dxa" w:w="2268"/>
            <w:vAlign w:val="center"/>
            <w:tcMar>
              <w:top w:w="90" w:type="dxa"/>
              <w:start w:w="100" w:type="dxa"/>
              <w:bottom w:w="90" w:type="dxa"/>
              <w:end w:w="100" w:type="dxa"/>
            </w:tcMar>
          </w:tcPr>
          <w:p>
            <w:pPr>
              <w:spacing w:before="0" w:after="0" w:line="252" w:lineRule="auto"/>
            </w:pPr>
            <w:r>
              <w:rPr>
                <w:rFonts w:ascii="DejaVu Serif" w:hAnsi="DejaVu Serif" w:eastAsia="DejaVu Serif"/>
                <w:sz w:val="15"/>
              </w:rPr>
              <w:t>ABSENT</w:t>
            </w:r>
          </w:p>
        </w:tc>
        <w:tc>
          <w:tcPr>
            <w:tcW w:type="dxa" w:w="1701"/>
            <w:vAlign w:val="center"/>
            <w:tcMar>
              <w:top w:w="90" w:type="dxa"/>
              <w:start w:w="100" w:type="dxa"/>
              <w:bottom w:w="90" w:type="dxa"/>
              <w:end w:w="100" w:type="dxa"/>
            </w:tcMar>
          </w:tcPr>
          <w:p>
            <w:pPr>
              <w:spacing w:before="0" w:after="0" w:line="252" w:lineRule="auto"/>
            </w:pPr>
            <w:r>
              <w:rPr>
                <w:rFonts w:ascii="DejaVu Serif" w:hAnsi="DejaVu Serif" w:eastAsia="DejaVu Serif"/>
                <w:sz w:val="15"/>
              </w:rPr>
              <w:t>PHYSICAL ABSTAIN</w:t>
            </w:r>
          </w:p>
        </w:tc>
      </w:tr>
    </w:tbl>
    <w:p>
      <w:pPr>
        <w:pStyle w:val="Heading2"/>
      </w:pPr>
      <w:r>
        <w:t>I.6. Freeze-Candidate Decision</w:t>
      </w:r>
    </w:p>
    <w:tbl>
      <w:tblPr>
        <w:tblStyle w:val="TableGrid"/>
        <w:tblW w:type="auto" w:w="0"/>
        <w:jc w:val="center"/>
        <w:tblLayout w:type="autofit"/>
        <w:tblLook w:firstColumn="1" w:firstRow="1" w:lastColumn="0" w:lastRow="0" w:noHBand="0" w:noVBand="1" w:val="04A0"/>
      </w:tblPr>
      <w:tblGrid>
        <w:gridCol w:w="10070"/>
      </w:tblGrid>
      <w:tr>
        <w:trPr>
          <w:cantSplit/>
        </w:trPr>
        <w:tc>
          <w:tcPr>
            <w:tcW w:type="dxa" w:w="10070"/>
            <w:shd w:fill="EAF2EA"/>
            <w:tcMar>
              <w:top w:w="90" w:type="dxa"/>
              <w:start w:w="100" w:type="dxa"/>
              <w:bottom w:w="90" w:type="dxa"/>
              <w:end w:w="100" w:type="dxa"/>
            </w:tcMar>
            <w:vAlign w:val="center"/>
          </w:tcPr>
          <w:p>
            <w:pPr>
              <w:spacing w:before="0" w:after="0" w:line="252" w:lineRule="auto"/>
              <w:jc w:val="left"/>
            </w:pPr>
            <w:r>
              <w:rPr>
                <w:rFonts w:ascii="DejaVu Serif" w:hAnsi="DejaVu Serif" w:eastAsia="DejaVu Serif"/>
                <w:b/>
                <w:color w:val="1E5B36"/>
                <w:sz w:val="18"/>
              </w:rPr>
              <w:t>AUTHORIAL DECISION. Final render, integrity, no-change, and visual-QA gates have passed. T1-EN-FC-v0.12 is accepted as the sole source for T1-EN-FREEZE-v1.0. No other predecessor may be promoted directly to v1.0.</w:t>
            </w:r>
          </w:p>
        </w:tc>
      </w:tr>
    </w:tbl>
    <w:p>
      <w:pPr>
        <w:spacing w:before="100" w:after="100"/>
        <w:jc w:val="center"/>
      </w:pPr>
      <w:r>
        <w:rPr>
          <w:rFonts w:ascii="DejaVu Serif" w:hAnsi="DejaVu Serif" w:eastAsia="DejaVu Serif"/>
          <w:i/>
          <w:sz w:val="20"/>
        </w:rPr>
        <w:t>T1-EN-FREEZE-v1.0 := immutable publication copy of accepted T1-EN-FC-v0.12</w:t>
      </w:r>
    </w:p>
    <w:p>
      <w:pPr>
        <w:spacing w:after="100" w:line="269" w:lineRule="auto"/>
      </w:pPr>
      <w:r>
        <w:rPr>
          <w:rFonts w:ascii="DejaVu Serif" w:hAnsi="DejaVu Serif" w:eastAsia="DejaVu Serif"/>
          <w:i w:val="0"/>
          <w:sz w:val="20"/>
        </w:rPr>
        <w:t>The freeze operation must create new files rather than rename or overwrite the candidate. After freeze, any scientific, typographic, or metadata correction requires a new change-set and a new post-freeze version. The v1.0 files must preserve the status firewall and the detached receipt lineage.</w:t>
      </w:r>
    </w:p>
    <w:p>
      <w:pPr>
        <w:pStyle w:val="Heading2"/>
      </w:pPr>
      <w:r>
        <w:t>I.7. Boundary of Conclusion</w:t>
      </w:r>
    </w:p>
    <w:p>
      <w:pPr>
        <w:spacing w:before="100" w:after="100"/>
        <w:jc w:val="center"/>
      </w:pPr>
      <w:r>
        <w:rPr>
          <w:rFonts w:ascii="DejaVu Serif" w:hAnsi="DejaVu Serif" w:eastAsia="DejaVu Serif"/>
          <w:i/>
          <w:sz w:val="20"/>
        </w:rPr>
        <w:t>hash equality ≠ mathematical proof ≠ physical validation</w:t>
      </w:r>
    </w:p>
    <w:p>
      <w:pPr>
        <w:spacing w:before="100" w:after="100"/>
        <w:jc w:val="center"/>
      </w:pPr>
      <w:r>
        <w:rPr>
          <w:rFonts w:ascii="DejaVu Serif" w:hAnsi="DejaVu Serif" w:eastAsia="DejaVu Serif"/>
          <w:i/>
          <w:sz w:val="20"/>
        </w:rPr>
        <w:t>NUM-SOURCE ≠ EXT-RUN ≠ EMP-OBS</w:t>
      </w:r>
    </w:p>
    <w:p>
      <w:pPr>
        <w:spacing w:after="100" w:line="269" w:lineRule="auto"/>
      </w:pPr>
      <w:r>
        <w:rPr>
          <w:rFonts w:ascii="DejaVu Serif" w:hAnsi="DejaVu Serif" w:eastAsia="DejaVu Serif"/>
          <w:i w:val="0"/>
          <w:sz w:val="20"/>
        </w:rPr>
        <w:t>The freeze candidate establishes editorial identity, controlled lineage, and no-scientific-change continuity. It does not create experimental data, execute EXT-RUN-000, validate F-1-F-14, or convert the conditional and model layers into unconditional physical laws. The correct physical verdict remains OPEN / ABSTAIN wherever the Russian source requires it.</w:t>
      </w:r>
    </w:p>
    <w:p>
      <w:pPr>
        <w:pStyle w:val="Heading2"/>
      </w:pPr>
      <w:r>
        <w:t>I.8. Release Card</w:t>
      </w:r>
    </w:p>
    <w:tbl>
      <w:tblPr>
        <w:tblStyle w:val="TableGrid"/>
        <w:tblW w:type="auto" w:w="0"/>
        <w:jc w:val="center"/>
        <w:tblLayout w:type="autofit"/>
        <w:tblLook w:firstColumn="1" w:firstRow="1" w:lastColumn="0" w:lastRow="0" w:noHBand="0" w:noVBand="1" w:val="04A0"/>
      </w:tblPr>
      <w:tblGrid>
        <w:gridCol w:w="5035"/>
        <w:gridCol w:w="5035"/>
      </w:tblGrid>
      <w:tr>
        <w:trPr>
          <w:tblHeader w:val="true"/>
          <w:cantSplit/>
        </w:trPr>
        <w:tc>
          <w:tcPr>
            <w:tcW w:type="dxa" w:w="2835"/>
            <w:vAlign w:val="center"/>
            <w:tcMar>
              <w:top w:w="90" w:type="dxa"/>
              <w:start w:w="100" w:type="dxa"/>
              <w:bottom w:w="90" w:type="dxa"/>
              <w:end w:w="100" w:type="dxa"/>
            </w:tcMar>
            <w:shd w:fill="E8EEF7"/>
          </w:tcPr>
          <w:p>
            <w:pPr>
              <w:spacing w:before="0" w:after="0" w:line="252" w:lineRule="auto"/>
              <w:jc w:val="center"/>
            </w:pPr>
            <w:r>
              <w:rPr>
                <w:rFonts w:ascii="DejaVu Serif" w:hAnsi="DejaVu Serif" w:eastAsia="DejaVu Serif"/>
                <w:b/>
                <w:color w:val="17345F"/>
                <w:sz w:val="16"/>
              </w:rPr>
              <w:t>Field</w:t>
            </w:r>
          </w:p>
        </w:tc>
        <w:tc>
          <w:tcPr>
            <w:tcW w:type="dxa" w:w="6293"/>
            <w:vAlign w:val="center"/>
            <w:tcMar>
              <w:top w:w="90" w:type="dxa"/>
              <w:start w:w="100" w:type="dxa"/>
              <w:bottom w:w="90" w:type="dxa"/>
              <w:end w:w="100" w:type="dxa"/>
            </w:tcMar>
            <w:shd w:fill="E8EEF7"/>
          </w:tcPr>
          <w:p>
            <w:pPr>
              <w:spacing w:before="0" w:after="0" w:line="252" w:lineRule="auto"/>
            </w:pPr>
            <w:r>
              <w:rPr>
                <w:rFonts w:ascii="DejaVu Serif" w:hAnsi="DejaVu Serif" w:eastAsia="DejaVu Serif"/>
                <w:b/>
                <w:color w:val="17345F"/>
                <w:sz w:val="16"/>
              </w:rPr>
              <w:t>Fixed value</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Candidate</w:t>
            </w:r>
          </w:p>
        </w:tc>
        <w:tc>
          <w:tcPr>
            <w:tcW w:type="dxa" w:w="6293"/>
            <w:vAlign w:val="center"/>
            <w:tcMar>
              <w:top w:w="90" w:type="dxa"/>
              <w:start w:w="100" w:type="dxa"/>
              <w:bottom w:w="90" w:type="dxa"/>
              <w:end w:w="100" w:type="dxa"/>
            </w:tcMar>
          </w:tcPr>
          <w:p>
            <w:pPr>
              <w:spacing w:before="0" w:after="0" w:line="252" w:lineRule="auto"/>
            </w:pPr>
            <w:r>
              <w:rPr>
                <w:rFonts w:ascii="DejaVu Serif" w:hAnsi="DejaVu Serif" w:eastAsia="DejaVu Serif"/>
                <w:sz w:val="16"/>
              </w:rPr>
              <w:t>T1-EN-FC-v0.12</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Predecessor</w:t>
            </w:r>
          </w:p>
        </w:tc>
        <w:tc>
          <w:tcPr>
            <w:tcW w:type="dxa" w:w="6293"/>
            <w:vAlign w:val="center"/>
            <w:tcMar>
              <w:top w:w="90" w:type="dxa"/>
              <w:start w:w="100" w:type="dxa"/>
              <w:bottom w:w="90" w:type="dxa"/>
              <w:end w:w="100" w:type="dxa"/>
            </w:tcMar>
          </w:tcPr>
          <w:p>
            <w:pPr>
              <w:spacing w:before="0" w:after="0" w:line="252" w:lineRule="auto"/>
            </w:pPr>
            <w:r>
              <w:rPr>
                <w:rFonts w:ascii="DejaVu Serif" w:hAnsi="DejaVu Serif" w:eastAsia="DejaVu Serif"/>
                <w:sz w:val="16"/>
              </w:rPr>
              <w:t>T1-EN-AUDIT-v0.11</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Canonical authority</w:t>
            </w:r>
          </w:p>
        </w:tc>
        <w:tc>
          <w:tcPr>
            <w:tcW w:type="dxa" w:w="6293"/>
            <w:vAlign w:val="center"/>
            <w:tcMar>
              <w:top w:w="90" w:type="dxa"/>
              <w:start w:w="100" w:type="dxa"/>
              <w:bottom w:w="90" w:type="dxa"/>
              <w:end w:w="100" w:type="dxa"/>
            </w:tcMar>
          </w:tcPr>
          <w:p>
            <w:pPr>
              <w:spacing w:before="0" w:after="0" w:line="252" w:lineRule="auto"/>
            </w:pPr>
            <w:r>
              <w:rPr>
                <w:rFonts w:ascii="DejaVu Serif" w:hAnsi="DejaVu Serif" w:eastAsia="DejaVu Serif"/>
                <w:sz w:val="16"/>
              </w:rPr>
              <w:t>T1-RU v197</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Scientific corpus SHA-256</w:t>
            </w:r>
          </w:p>
        </w:tc>
        <w:tc>
          <w:tcPr>
            <w:tcW w:type="dxa" w:w="6293"/>
            <w:vAlign w:val="center"/>
            <w:tcMar>
              <w:top w:w="90" w:type="dxa"/>
              <w:start w:w="100" w:type="dxa"/>
              <w:bottom w:w="90" w:type="dxa"/>
              <w:end w:w="100" w:type="dxa"/>
            </w:tcMar>
          </w:tcPr>
          <w:p>
            <w:pPr>
              <w:spacing w:before="0" w:after="0" w:line="252" w:lineRule="auto"/>
            </w:pPr>
            <w:r>
              <w:rPr>
                <w:rFonts w:ascii="DejaVu Serif" w:hAnsi="DejaVu Serif" w:eastAsia="DejaVu Serif"/>
                <w:sz w:val="16"/>
              </w:rPr>
              <w:t>5c9f75267839d69f2eaf00ffad77fd37237dccc1c284973276e74c647b40b9c0</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Audit Appendix H SHA-256</w:t>
            </w:r>
          </w:p>
        </w:tc>
        <w:tc>
          <w:tcPr>
            <w:tcW w:type="dxa" w:w="6293"/>
            <w:vAlign w:val="center"/>
            <w:tcMar>
              <w:top w:w="90" w:type="dxa"/>
              <w:start w:w="100" w:type="dxa"/>
              <w:bottom w:w="90" w:type="dxa"/>
              <w:end w:w="100" w:type="dxa"/>
            </w:tcMar>
          </w:tcPr>
          <w:p>
            <w:pPr>
              <w:spacing w:before="0" w:after="0" w:line="252" w:lineRule="auto"/>
            </w:pPr>
            <w:r>
              <w:rPr>
                <w:rFonts w:ascii="DejaVu Serif" w:hAnsi="DejaVu Serif" w:eastAsia="DejaVu Serif"/>
                <w:sz w:val="16"/>
              </w:rPr>
              <w:t>d770a618915b4c5e1035e0463f23bfa32d9237dc5a22c4136b4a975272ba1dfd</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Formula manifest SHA-256</w:t>
            </w:r>
          </w:p>
        </w:tc>
        <w:tc>
          <w:tcPr>
            <w:tcW w:type="dxa" w:w="6293"/>
            <w:vAlign w:val="center"/>
            <w:tcMar>
              <w:top w:w="90" w:type="dxa"/>
              <w:start w:w="100" w:type="dxa"/>
              <w:bottom w:w="90" w:type="dxa"/>
              <w:end w:w="100" w:type="dxa"/>
            </w:tcMar>
          </w:tcPr>
          <w:p>
            <w:pPr>
              <w:spacing w:before="0" w:after="0" w:line="252" w:lineRule="auto"/>
            </w:pPr>
            <w:r>
              <w:rPr>
                <w:rFonts w:ascii="DejaVu Serif" w:hAnsi="DejaVu Serif" w:eastAsia="DejaVu Serif"/>
                <w:sz w:val="16"/>
              </w:rPr>
              <w:t>f40a8840b075c6c797b59d23c3c00c2ac79165a4f2534ee619588bf91b235ab0</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Media manifest SHA-256</w:t>
            </w:r>
          </w:p>
        </w:tc>
        <w:tc>
          <w:tcPr>
            <w:tcW w:type="dxa" w:w="6293"/>
            <w:vAlign w:val="center"/>
            <w:tcMar>
              <w:top w:w="90" w:type="dxa"/>
              <w:start w:w="100" w:type="dxa"/>
              <w:bottom w:w="90" w:type="dxa"/>
              <w:end w:w="100" w:type="dxa"/>
            </w:tcMar>
          </w:tcPr>
          <w:p>
            <w:pPr>
              <w:spacing w:before="0" w:after="0" w:line="252" w:lineRule="auto"/>
            </w:pPr>
            <w:r>
              <w:rPr>
                <w:rFonts w:ascii="DejaVu Serif" w:hAnsi="DejaVu Serif" w:eastAsia="DejaVu Serif"/>
                <w:sz w:val="16"/>
              </w:rPr>
              <w:t>835421d94355a5d406a0a5f940c35eab4bc3c7f8bb1966e9b675241b4f06c697</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Detached receipt ID</w:t>
            </w:r>
          </w:p>
        </w:tc>
        <w:tc>
          <w:tcPr>
            <w:tcW w:type="dxa" w:w="6293"/>
            <w:vAlign w:val="center"/>
            <w:tcMar>
              <w:top w:w="90" w:type="dxa"/>
              <w:start w:w="100" w:type="dxa"/>
              <w:bottom w:w="90" w:type="dxa"/>
              <w:end w:w="100" w:type="dxa"/>
            </w:tcMar>
          </w:tcPr>
          <w:p>
            <w:pPr>
              <w:spacing w:before="0" w:after="0" w:line="252" w:lineRule="auto"/>
            </w:pPr>
            <w:r>
              <w:rPr>
                <w:rFonts w:ascii="DejaVu Serif" w:hAnsi="DejaVu Serif" w:eastAsia="DejaVu Serif"/>
                <w:sz w:val="16"/>
              </w:rPr>
              <w:t>T1-EN-FC-v0.12-RECEIPT</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Receipt signature status</w:t>
            </w:r>
          </w:p>
        </w:tc>
        <w:tc>
          <w:tcPr>
            <w:tcW w:type="dxa" w:w="6293"/>
            <w:vAlign w:val="center"/>
            <w:tcMar>
              <w:top w:w="90" w:type="dxa"/>
              <w:start w:w="100" w:type="dxa"/>
              <w:bottom w:w="90" w:type="dxa"/>
              <w:end w:w="100" w:type="dxa"/>
            </w:tcMar>
          </w:tcPr>
          <w:p>
            <w:pPr>
              <w:spacing w:before="0" w:after="0" w:line="252" w:lineRule="auto"/>
            </w:pPr>
            <w:r>
              <w:rPr>
                <w:rFonts w:ascii="DejaVu Serif" w:hAnsi="DejaVu Serif" w:eastAsia="DejaVu Serif"/>
                <w:sz w:val="16"/>
              </w:rPr>
              <w:t>UNSIGNED AUTHORIAL RECEIPT</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Candidate decision</w:t>
            </w:r>
          </w:p>
        </w:tc>
        <w:tc>
          <w:tcPr>
            <w:tcW w:type="dxa" w:w="6293"/>
            <w:vAlign w:val="center"/>
            <w:tcMar>
              <w:top w:w="90" w:type="dxa"/>
              <w:start w:w="100" w:type="dxa"/>
              <w:bottom w:w="90" w:type="dxa"/>
              <w:end w:w="100" w:type="dxa"/>
            </w:tcMar>
          </w:tcPr>
          <w:p>
            <w:pPr>
              <w:spacing w:before="0" w:after="0" w:line="252" w:lineRule="auto"/>
            </w:pPr>
            <w:r>
              <w:rPr>
                <w:rFonts w:ascii="DejaVu Serif" w:hAnsi="DejaVu Serif" w:eastAsia="DejaVu Serif"/>
                <w:sz w:val="16"/>
              </w:rPr>
              <w:t>ACCEPTED FOR FREEZE</w:t>
            </w:r>
          </w:p>
        </w:tc>
      </w:tr>
      <w:tr>
        <w:trPr>
          <w:cantSplit/>
        </w:trPr>
        <w:tc>
          <w:tcPr>
            <w:tcW w:type="dxa" w:w="2835"/>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6"/>
              </w:rPr>
              <w:t>Next checkpoint</w:t>
            </w:r>
          </w:p>
        </w:tc>
        <w:tc>
          <w:tcPr>
            <w:tcW w:type="dxa" w:w="6293"/>
            <w:vAlign w:val="center"/>
            <w:tcMar>
              <w:top w:w="90" w:type="dxa"/>
              <w:start w:w="100" w:type="dxa"/>
              <w:bottom w:w="90" w:type="dxa"/>
              <w:end w:w="100" w:type="dxa"/>
            </w:tcMar>
          </w:tcPr>
          <w:p>
            <w:pPr>
              <w:spacing w:before="0" w:after="0" w:line="252" w:lineRule="auto"/>
            </w:pPr>
            <w:r>
              <w:rPr>
                <w:rFonts w:ascii="DejaVu Serif" w:hAnsi="DejaVu Serif" w:eastAsia="DejaVu Serif"/>
                <w:sz w:val="16"/>
              </w:rPr>
              <w:t>T1-EN-FREEZE-v1.0</w:t>
            </w:r>
          </w:p>
        </w:tc>
      </w:tr>
    </w:tbl>
    <w:p>
      <w:pPr>
        <w:pStyle w:val="Heading2"/>
      </w:pPr>
      <w:r>
        <w:t>I.9. Final QA Evidence</w:t>
      </w:r>
    </w:p>
    <w:tbl>
      <w:tblPr>
        <w:tblStyle w:val="TableGrid"/>
        <w:tblW w:type="auto" w:w="0"/>
        <w:jc w:val="center"/>
        <w:tblLayout w:type="autofit"/>
        <w:tblLook w:firstColumn="1" w:firstRow="1" w:lastColumn="0" w:lastRow="0" w:noHBand="0" w:noVBand="1" w:val="04A0"/>
      </w:tblPr>
      <w:tblGrid>
        <w:gridCol w:w="3357"/>
        <w:gridCol w:w="3357"/>
        <w:gridCol w:w="3357"/>
      </w:tblGrid>
      <w:tr>
        <w:trPr>
          <w:tblHeader w:val="true"/>
          <w:cantSplit/>
        </w:trPr>
        <w:tc>
          <w:tcPr>
            <w:tcW w:type="dxa" w:w="2268"/>
            <w:vAlign w:val="center"/>
            <w:tcMar>
              <w:top w:w="90" w:type="dxa"/>
              <w:start w:w="100" w:type="dxa"/>
              <w:bottom w:w="90" w:type="dxa"/>
              <w:end w:w="100" w:type="dxa"/>
            </w:tcMar>
            <w:shd w:fill="E8EEF7"/>
          </w:tcPr>
          <w:p>
            <w:pPr>
              <w:spacing w:before="0" w:after="0" w:line="252" w:lineRule="auto"/>
              <w:jc w:val="center"/>
            </w:pPr>
            <w:r>
              <w:rPr>
                <w:rFonts w:ascii="DejaVu Serif" w:hAnsi="DejaVu Serif" w:eastAsia="DejaVu Serif"/>
                <w:b/>
                <w:color w:val="17345F"/>
                <w:sz w:val="15"/>
              </w:rPr>
              <w:t>QA object</w:t>
            </w:r>
          </w:p>
        </w:tc>
        <w:tc>
          <w:tcPr>
            <w:tcW w:type="dxa" w:w="5386"/>
            <w:vAlign w:val="center"/>
            <w:tcMar>
              <w:top w:w="90" w:type="dxa"/>
              <w:start w:w="100" w:type="dxa"/>
              <w:bottom w:w="90" w:type="dxa"/>
              <w:end w:w="100" w:type="dxa"/>
            </w:tcMar>
            <w:shd w:fill="E8EEF7"/>
          </w:tcPr>
          <w:p>
            <w:pPr>
              <w:spacing w:before="0" w:after="0" w:line="252" w:lineRule="auto"/>
            </w:pPr>
            <w:r>
              <w:rPr>
                <w:rFonts w:ascii="DejaVu Serif" w:hAnsi="DejaVu Serif" w:eastAsia="DejaVu Serif"/>
                <w:b/>
                <w:color w:val="17345F"/>
                <w:sz w:val="15"/>
              </w:rPr>
              <w:t>Observed result</w:t>
            </w:r>
          </w:p>
        </w:tc>
        <w:tc>
          <w:tcPr>
            <w:tcW w:type="dxa" w:w="1247"/>
            <w:vAlign w:val="center"/>
            <w:tcMar>
              <w:top w:w="90" w:type="dxa"/>
              <w:start w:w="100" w:type="dxa"/>
              <w:bottom w:w="90" w:type="dxa"/>
              <w:end w:w="100" w:type="dxa"/>
            </w:tcMar>
            <w:shd w:fill="E8EEF7"/>
          </w:tcPr>
          <w:p>
            <w:pPr>
              <w:spacing w:before="0" w:after="0" w:line="252" w:lineRule="auto"/>
            </w:pPr>
            <w:r>
              <w:rPr>
                <w:rFonts w:ascii="DejaVu Serif" w:hAnsi="DejaVu Serif" w:eastAsia="DejaVu Serif"/>
                <w:b/>
                <w:color w:val="17345F"/>
                <w:sz w:val="15"/>
              </w:rPr>
              <w:t>Verdict</w:t>
            </w:r>
          </w:p>
        </w:tc>
      </w:tr>
      <w:tr>
        <w:trPr>
          <w:cantSplit/>
        </w:trPr>
        <w:tc>
          <w:tcPr>
            <w:tcW w:type="dxa" w:w="2268"/>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DOCX package</w:t>
            </w:r>
          </w:p>
        </w:tc>
        <w:tc>
          <w:tcPr>
            <w:tcW w:type="dxa" w:w="5386"/>
            <w:vAlign w:val="center"/>
            <w:tcMar>
              <w:top w:w="90" w:type="dxa"/>
              <w:start w:w="100" w:type="dxa"/>
              <w:bottom w:w="90" w:type="dxa"/>
              <w:end w:w="100" w:type="dxa"/>
            </w:tcMar>
          </w:tcPr>
          <w:p>
            <w:pPr>
              <w:spacing w:before="0" w:after="0" w:line="252" w:lineRule="auto"/>
            </w:pPr>
            <w:r>
              <w:rPr>
                <w:rFonts w:ascii="DejaVu Serif" w:hAnsi="DejaVu Serif" w:eastAsia="DejaVu Serif"/>
                <w:sz w:val="15"/>
              </w:rPr>
              <w:t>ZIP integrity test; no corrupt member</w:t>
            </w:r>
          </w:p>
        </w:tc>
        <w:tc>
          <w:tcPr>
            <w:tcW w:type="dxa" w:w="1247"/>
            <w:vAlign w:val="center"/>
            <w:tcMar>
              <w:top w:w="90" w:type="dxa"/>
              <w:start w:w="100" w:type="dxa"/>
              <w:bottom w:w="90" w:type="dxa"/>
              <w:end w:w="100" w:type="dxa"/>
            </w:tcMar>
          </w:tcPr>
          <w:p>
            <w:pPr>
              <w:spacing w:before="0" w:after="0" w:line="252" w:lineRule="auto"/>
            </w:pPr>
            <w:r>
              <w:rPr>
                <w:rFonts w:ascii="DejaVu Serif" w:hAnsi="DejaVu Serif" w:eastAsia="DejaVu Serif"/>
                <w:sz w:val="15"/>
              </w:rPr>
              <w:t>PASS</w:t>
            </w:r>
          </w:p>
        </w:tc>
      </w:tr>
      <w:tr>
        <w:trPr>
          <w:cantSplit/>
        </w:trPr>
        <w:tc>
          <w:tcPr>
            <w:tcW w:type="dxa" w:w="2268"/>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DOCX render</w:t>
            </w:r>
          </w:p>
        </w:tc>
        <w:tc>
          <w:tcPr>
            <w:tcW w:type="dxa" w:w="5386"/>
            <w:vAlign w:val="center"/>
            <w:tcMar>
              <w:top w:w="90" w:type="dxa"/>
              <w:start w:w="100" w:type="dxa"/>
              <w:bottom w:w="90" w:type="dxa"/>
              <w:end w:w="100" w:type="dxa"/>
            </w:tcMar>
          </w:tcPr>
          <w:p>
            <w:pPr>
              <w:spacing w:before="0" w:after="0" w:line="252" w:lineRule="auto"/>
            </w:pPr>
            <w:r>
              <w:rPr>
                <w:rFonts w:ascii="DejaVu Serif" w:hAnsi="DejaVu Serif" w:eastAsia="DejaVu Serif"/>
                <w:sz w:val="15"/>
              </w:rPr>
              <w:t>176 A4 pages rendered to PNG</w:t>
            </w:r>
          </w:p>
        </w:tc>
        <w:tc>
          <w:tcPr>
            <w:tcW w:type="dxa" w:w="1247"/>
            <w:vAlign w:val="center"/>
            <w:tcMar>
              <w:top w:w="90" w:type="dxa"/>
              <w:start w:w="100" w:type="dxa"/>
              <w:bottom w:w="90" w:type="dxa"/>
              <w:end w:w="100" w:type="dxa"/>
            </w:tcMar>
          </w:tcPr>
          <w:p>
            <w:pPr>
              <w:spacing w:before="0" w:after="0" w:line="252" w:lineRule="auto"/>
            </w:pPr>
            <w:r>
              <w:rPr>
                <w:rFonts w:ascii="DejaVu Serif" w:hAnsi="DejaVu Serif" w:eastAsia="DejaVu Serif"/>
                <w:sz w:val="15"/>
              </w:rPr>
              <w:t>PASS</w:t>
            </w:r>
          </w:p>
        </w:tc>
      </w:tr>
      <w:tr>
        <w:trPr>
          <w:cantSplit/>
        </w:trPr>
        <w:tc>
          <w:tcPr>
            <w:tcW w:type="dxa" w:w="2268"/>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PDF render</w:t>
            </w:r>
          </w:p>
        </w:tc>
        <w:tc>
          <w:tcPr>
            <w:tcW w:type="dxa" w:w="5386"/>
            <w:vAlign w:val="center"/>
            <w:tcMar>
              <w:top w:w="90" w:type="dxa"/>
              <w:start w:w="100" w:type="dxa"/>
              <w:bottom w:w="90" w:type="dxa"/>
              <w:end w:w="100" w:type="dxa"/>
            </w:tcMar>
          </w:tcPr>
          <w:p>
            <w:pPr>
              <w:spacing w:before="0" w:after="0" w:line="252" w:lineRule="auto"/>
            </w:pPr>
            <w:r>
              <w:rPr>
                <w:rFonts w:ascii="DejaVu Serif" w:hAnsi="DejaVu Serif" w:eastAsia="DejaVu Serif"/>
                <w:sz w:val="15"/>
              </w:rPr>
              <w:t>176/176 pages rendered independently with pdftoppm</w:t>
            </w:r>
          </w:p>
        </w:tc>
        <w:tc>
          <w:tcPr>
            <w:tcW w:type="dxa" w:w="1247"/>
            <w:vAlign w:val="center"/>
            <w:tcMar>
              <w:top w:w="90" w:type="dxa"/>
              <w:start w:w="100" w:type="dxa"/>
              <w:bottom w:w="90" w:type="dxa"/>
              <w:end w:w="100" w:type="dxa"/>
            </w:tcMar>
          </w:tcPr>
          <w:p>
            <w:pPr>
              <w:spacing w:before="0" w:after="0" w:line="252" w:lineRule="auto"/>
            </w:pPr>
            <w:r>
              <w:rPr>
                <w:rFonts w:ascii="DejaVu Serif" w:hAnsi="DejaVu Serif" w:eastAsia="DejaVu Serif"/>
                <w:sz w:val="15"/>
              </w:rPr>
              <w:t>PASS</w:t>
            </w:r>
          </w:p>
        </w:tc>
      </w:tr>
      <w:tr>
        <w:trPr>
          <w:cantSplit/>
        </w:trPr>
        <w:tc>
          <w:tcPr>
            <w:tcW w:type="dxa" w:w="2268"/>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PDF structure</w:t>
            </w:r>
          </w:p>
        </w:tc>
        <w:tc>
          <w:tcPr>
            <w:tcW w:type="dxa" w:w="5386"/>
            <w:vAlign w:val="center"/>
            <w:tcMar>
              <w:top w:w="90" w:type="dxa"/>
              <w:start w:w="100" w:type="dxa"/>
              <w:bottom w:w="90" w:type="dxa"/>
              <w:end w:w="100" w:type="dxa"/>
            </w:tcMar>
          </w:tcPr>
          <w:p>
            <w:pPr>
              <w:spacing w:before="0" w:after="0" w:line="252" w:lineRule="auto"/>
            </w:pPr>
            <w:r>
              <w:rPr>
                <w:rFonts w:ascii="DejaVu Serif" w:hAnsi="DejaVu Serif" w:eastAsia="DejaVu Serif"/>
                <w:sz w:val="15"/>
              </w:rPr>
              <w:t>searchable text; tagged; no encryption; A4 portrait</w:t>
            </w:r>
          </w:p>
        </w:tc>
        <w:tc>
          <w:tcPr>
            <w:tcW w:type="dxa" w:w="1247"/>
            <w:vAlign w:val="center"/>
            <w:tcMar>
              <w:top w:w="90" w:type="dxa"/>
              <w:start w:w="100" w:type="dxa"/>
              <w:bottom w:w="90" w:type="dxa"/>
              <w:end w:w="100" w:type="dxa"/>
            </w:tcMar>
          </w:tcPr>
          <w:p>
            <w:pPr>
              <w:spacing w:before="0" w:after="0" w:line="252" w:lineRule="auto"/>
            </w:pPr>
            <w:r>
              <w:rPr>
                <w:rFonts w:ascii="DejaVu Serif" w:hAnsi="DejaVu Serif" w:eastAsia="DejaVu Serif"/>
                <w:sz w:val="15"/>
              </w:rPr>
              <w:t>PASS</w:t>
            </w:r>
          </w:p>
        </w:tc>
      </w:tr>
      <w:tr>
        <w:trPr>
          <w:cantSplit/>
        </w:trPr>
        <w:tc>
          <w:tcPr>
            <w:tcW w:type="dxa" w:w="2268"/>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Visual inspection</w:t>
            </w:r>
          </w:p>
        </w:tc>
        <w:tc>
          <w:tcPr>
            <w:tcW w:type="dxa" w:w="5386"/>
            <w:vAlign w:val="center"/>
            <w:tcMar>
              <w:top w:w="90" w:type="dxa"/>
              <w:start w:w="100" w:type="dxa"/>
              <w:bottom w:w="90" w:type="dxa"/>
              <w:end w:w="100" w:type="dxa"/>
            </w:tcMar>
          </w:tcPr>
          <w:p>
            <w:pPr>
              <w:spacing w:before="0" w:after="0" w:line="252" w:lineRule="auto"/>
            </w:pPr>
            <w:r>
              <w:rPr>
                <w:rFonts w:ascii="DejaVu Serif" w:hAnsi="DejaVu Serif" w:eastAsia="DejaVu Serif"/>
                <w:sz w:val="15"/>
              </w:rPr>
              <w:t>all-page contact sheets plus full-size review of release pages</w:t>
            </w:r>
          </w:p>
        </w:tc>
        <w:tc>
          <w:tcPr>
            <w:tcW w:type="dxa" w:w="1247"/>
            <w:vAlign w:val="center"/>
            <w:tcMar>
              <w:top w:w="90" w:type="dxa"/>
              <w:start w:w="100" w:type="dxa"/>
              <w:bottom w:w="90" w:type="dxa"/>
              <w:end w:w="100" w:type="dxa"/>
            </w:tcMar>
          </w:tcPr>
          <w:p>
            <w:pPr>
              <w:spacing w:before="0" w:after="0" w:line="252" w:lineRule="auto"/>
            </w:pPr>
            <w:r>
              <w:rPr>
                <w:rFonts w:ascii="DejaVu Serif" w:hAnsi="DejaVu Serif" w:eastAsia="DejaVu Serif"/>
                <w:sz w:val="15"/>
              </w:rPr>
              <w:t>PASS</w:t>
            </w:r>
          </w:p>
        </w:tc>
      </w:tr>
      <w:tr>
        <w:trPr>
          <w:cantSplit/>
        </w:trPr>
        <w:tc>
          <w:tcPr>
            <w:tcW w:type="dxa" w:w="2268"/>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Page-map anchors</w:t>
            </w:r>
          </w:p>
        </w:tc>
        <w:tc>
          <w:tcPr>
            <w:tcW w:type="dxa" w:w="5386"/>
            <w:vAlign w:val="center"/>
            <w:tcMar>
              <w:top w:w="90" w:type="dxa"/>
              <w:start w:w="100" w:type="dxa"/>
              <w:bottom w:w="90" w:type="dxa"/>
              <w:end w:w="100" w:type="dxa"/>
            </w:tcMar>
          </w:tcPr>
          <w:p>
            <w:pPr>
              <w:spacing w:before="0" w:after="0" w:line="252" w:lineRule="auto"/>
            </w:pPr>
            <w:r>
              <w:rPr>
                <w:rFonts w:ascii="DejaVu Serif" w:hAnsi="DejaVu Serif" w:eastAsia="DejaVu Serif"/>
                <w:sz w:val="15"/>
              </w:rPr>
              <w:t>Chapter 1 p.19; Appendix H p.169; Appendix I p.173</w:t>
            </w:r>
          </w:p>
        </w:tc>
        <w:tc>
          <w:tcPr>
            <w:tcW w:type="dxa" w:w="1247"/>
            <w:vAlign w:val="center"/>
            <w:tcMar>
              <w:top w:w="90" w:type="dxa"/>
              <w:start w:w="100" w:type="dxa"/>
              <w:bottom w:w="90" w:type="dxa"/>
              <w:end w:w="100" w:type="dxa"/>
            </w:tcMar>
          </w:tcPr>
          <w:p>
            <w:pPr>
              <w:spacing w:before="0" w:after="0" w:line="252" w:lineRule="auto"/>
            </w:pPr>
            <w:r>
              <w:rPr>
                <w:rFonts w:ascii="DejaVu Serif" w:hAnsi="DejaVu Serif" w:eastAsia="DejaVu Serif"/>
                <w:sz w:val="15"/>
              </w:rPr>
              <w:t>PASS</w:t>
            </w:r>
          </w:p>
        </w:tc>
      </w:tr>
      <w:tr>
        <w:trPr>
          <w:cantSplit/>
        </w:trPr>
        <w:tc>
          <w:tcPr>
            <w:tcW w:type="dxa" w:w="2268"/>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Placeholder scan</w:t>
            </w:r>
          </w:p>
        </w:tc>
        <w:tc>
          <w:tcPr>
            <w:tcW w:type="dxa" w:w="5386"/>
            <w:vAlign w:val="center"/>
            <w:tcMar>
              <w:top w:w="90" w:type="dxa"/>
              <w:start w:w="100" w:type="dxa"/>
              <w:bottom w:w="90" w:type="dxa"/>
              <w:end w:w="100" w:type="dxa"/>
            </w:tcMar>
          </w:tcPr>
          <w:p>
            <w:pPr>
              <w:spacing w:before="0" w:after="0" w:line="252" w:lineRule="auto"/>
            </w:pPr>
            <w:r>
              <w:rPr>
                <w:rFonts w:ascii="DejaVu Serif" w:hAnsi="DejaVu Serif" w:eastAsia="DejaVu Serif"/>
                <w:sz w:val="15"/>
              </w:rPr>
              <w:t>reserved placeholder tokens absent</w:t>
            </w:r>
          </w:p>
        </w:tc>
        <w:tc>
          <w:tcPr>
            <w:tcW w:type="dxa" w:w="1247"/>
            <w:vAlign w:val="center"/>
            <w:tcMar>
              <w:top w:w="90" w:type="dxa"/>
              <w:start w:w="100" w:type="dxa"/>
              <w:bottom w:w="90" w:type="dxa"/>
              <w:end w:w="100" w:type="dxa"/>
            </w:tcMar>
          </w:tcPr>
          <w:p>
            <w:pPr>
              <w:spacing w:before="0" w:after="0" w:line="252" w:lineRule="auto"/>
            </w:pPr>
            <w:r>
              <w:rPr>
                <w:rFonts w:ascii="DejaVu Serif" w:hAnsi="DejaVu Serif" w:eastAsia="DejaVu Serif"/>
                <w:sz w:val="15"/>
              </w:rPr>
              <w:t>PASS</w:t>
            </w:r>
          </w:p>
        </w:tc>
      </w:tr>
      <w:tr>
        <w:trPr>
          <w:cantSplit/>
        </w:trPr>
        <w:tc>
          <w:tcPr>
            <w:tcW w:type="dxa" w:w="2268"/>
            <w:vAlign w:val="center"/>
            <w:tcMar>
              <w:top w:w="90" w:type="dxa"/>
              <w:start w:w="100" w:type="dxa"/>
              <w:bottom w:w="90" w:type="dxa"/>
              <w:end w:w="100" w:type="dxa"/>
            </w:tcMar>
          </w:tcPr>
          <w:p>
            <w:pPr>
              <w:spacing w:before="0" w:after="0" w:line="252" w:lineRule="auto"/>
              <w:jc w:val="center"/>
            </w:pPr>
            <w:r>
              <w:rPr>
                <w:rFonts w:ascii="DejaVu Serif" w:hAnsi="DejaVu Serif" w:eastAsia="DejaVu Serif"/>
                <w:sz w:val="15"/>
              </w:rPr>
              <w:t>Status firewall</w:t>
            </w:r>
          </w:p>
        </w:tc>
        <w:tc>
          <w:tcPr>
            <w:tcW w:type="dxa" w:w="5386"/>
            <w:vAlign w:val="center"/>
            <w:tcMar>
              <w:top w:w="90" w:type="dxa"/>
              <w:start w:w="100" w:type="dxa"/>
              <w:bottom w:w="90" w:type="dxa"/>
              <w:end w:w="100" w:type="dxa"/>
            </w:tcMar>
          </w:tcPr>
          <w:p>
            <w:pPr>
              <w:spacing w:before="0" w:after="0" w:line="252" w:lineRule="auto"/>
            </w:pPr>
            <w:r>
              <w:rPr>
                <w:rFonts w:ascii="DejaVu Serif" w:hAnsi="DejaVu Serif" w:eastAsia="DejaVu Serif"/>
                <w:sz w:val="15"/>
              </w:rPr>
              <w:t>truth_layer_promotion=0; EXT-RUN and EMP-OBS absent</w:t>
            </w:r>
          </w:p>
        </w:tc>
        <w:tc>
          <w:tcPr>
            <w:tcW w:type="dxa" w:w="1247"/>
            <w:vAlign w:val="center"/>
            <w:tcMar>
              <w:top w:w="90" w:type="dxa"/>
              <w:start w:w="100" w:type="dxa"/>
              <w:bottom w:w="90" w:type="dxa"/>
              <w:end w:w="100" w:type="dxa"/>
            </w:tcMar>
          </w:tcPr>
          <w:p>
            <w:pPr>
              <w:spacing w:before="0" w:after="0" w:line="252" w:lineRule="auto"/>
            </w:pPr>
            <w:r>
              <w:rPr>
                <w:rFonts w:ascii="DejaVu Serif" w:hAnsi="DejaVu Serif" w:eastAsia="DejaVu Serif"/>
                <w:sz w:val="15"/>
              </w:rPr>
              <w:t>PASS</w:t>
            </w:r>
          </w:p>
        </w:tc>
      </w:tr>
    </w:tbl>
    <w:tbl>
      <w:tblPr>
        <w:tblStyle w:val="TableGrid"/>
        <w:tblW w:type="auto" w:w="0"/>
        <w:jc w:val="center"/>
        <w:tblLayout w:type="autofit"/>
        <w:tblLook w:firstColumn="1" w:firstRow="1" w:lastColumn="0" w:lastRow="0" w:noHBand="0" w:noVBand="1" w:val="04A0"/>
      </w:tblPr>
      <w:tblGrid>
        <w:gridCol w:w="10070"/>
      </w:tblGrid>
      <w:tr>
        <w:trPr>
          <w:cantSplit/>
        </w:trPr>
        <w:tc>
          <w:tcPr>
            <w:tcW w:type="dxa" w:w="10070"/>
            <w:shd w:fill="EAF2EA"/>
            <w:tcMar>
              <w:top w:w="90" w:type="dxa"/>
              <w:start w:w="100" w:type="dxa"/>
              <w:bottom w:w="90" w:type="dxa"/>
              <w:end w:w="100" w:type="dxa"/>
            </w:tcMar>
            <w:vAlign w:val="center"/>
          </w:tcPr>
          <w:p>
            <w:pPr>
              <w:spacing w:before="0" w:after="0" w:line="252" w:lineRule="auto"/>
              <w:jc w:val="left"/>
            </w:pPr>
            <w:r>
              <w:rPr>
                <w:rFonts w:ascii="DejaVu Serif" w:hAnsi="DejaVu Serif" w:eastAsia="DejaVu Serif"/>
                <w:b/>
                <w:color w:val="1E5B36"/>
                <w:sz w:val="18"/>
              </w:rPr>
              <w:t>FINAL QA VERDICT. PASS. T1-EN-FC-v0.12 is accepted as the freeze candidate. The detached JSON receipt is generated after the final DOCX and PDF hashes are computed; it remains unsigned and does not imply external scientific certification.</w:t>
            </w:r>
          </w:p>
        </w:tc>
      </w:tr>
    </w:tbl>
    <w:sectPr w:rsidR="00FC693F" w:rsidRPr="0006063C" w:rsidSect="00034616">
      <w:headerReference w:type="default" r:id="rId9"/>
      <w:footerReference w:type="default" r:id="rId10"/>
      <w:headerReference w:type="first" r:id="rId14"/>
      <w:footerReference w:type="first" r:id="rId15"/>
      <w:headerReference w:type="even" r:id="rId74"/>
      <w:footerReference w:type="even" r:id="rId75"/>
      <w:pgSz w:w="11906" w:h="16838"/>
      <w:pgMar w:top="794" w:right="918" w:bottom="850" w:left="918" w:header="312" w:footer="31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Style w:val="TableGrid"/>
      <w:tblW w:type="auto" w:w="0"/>
      <w:jc w:val="center"/>
      <w:tblLayout w:type="autofit"/>
      <w:tblLook w:firstColumn="1" w:firstRow="1" w:lastColumn="0" w:lastRow="0" w:noHBand="0" w:noVBand="1" w:val="04A0"/>
    </w:tblPr>
    <w:tblGrid>
      <w:gridCol w:w="3364"/>
      <w:gridCol w:w="3364"/>
      <w:gridCol w:w="3364"/>
    </w:tblGrid>
    <w:tr>
      <w:trPr>
        <w:cantSplit/>
      </w:trPr>
      <w:tc>
        <w:tcPr>
          <w:tcW w:type="dxa" w:w="3364"/>
          <w:tcMar>
            <w:top w:w="90" w:type="dxa"/>
            <w:start w:w="100" w:type="dxa"/>
            <w:bottom w:w="90" w:type="dxa"/>
            <w:end w:w="100" w:type="dxa"/>
          </w:tcMar>
          <w:vAlign w:val="center"/>
        </w:tcPr>
        <w:p>
          <w:pPr>
            <w:keepNext w:val="0"/>
            <w:spacing w:before="0" w:after="0" w:line="252" w:lineRule="auto"/>
            <w:jc w:val="left"/>
          </w:pPr>
          <w:r>
            <w:rPr>
              <w:rFonts w:ascii="DejaVu Serif" w:hAnsi="DejaVu Serif" w:eastAsia="DejaVu Serif"/>
              <w:b w:val="0"/>
              <w:i w:val="0"/>
              <w:color w:val="5E6873"/>
              <w:sz w:val="15"/>
            </w:rPr>
            <w:t>I. B. Kurpishev · Kaliningrad · 2026</w:t>
          </w:r>
        </w:p>
      </w:tc>
      <w:tc>
        <w:tcPr>
          <w:tcW w:type="dxa" w:w="3364"/>
          <w:tcMar>
            <w:top w:w="90" w:type="dxa"/>
            <w:start w:w="100" w:type="dxa"/>
            <w:bottom w:w="90" w:type="dxa"/>
            <w:end w:w="100" w:type="dxa"/>
          </w:tcMar>
          <w:vAlign w:val="center"/>
        </w:tcPr>
        <w:p>
          <w:pPr>
            <w:spacing w:before="0" w:after="0" w:line="252" w:lineRule="auto"/>
          </w:pPr>
          <w:r>
            <w:rPr>
              <w:rFonts w:ascii="DejaVu Serif" w:hAnsi="DejaVu Serif" w:eastAsia="DejaVu Serif"/>
              <w:sz w:val="15"/>
            </w:rPr>
            <w:t>T1-EN-FREEZE-v1.0</w:t>
          </w:r>
        </w:p>
      </w:tc>
      <w:tc>
        <w:tcPr>
          <w:tcW w:type="dxa" w:w="3364"/>
          <w:tcMar>
            <w:top w:w="90" w:type="dxa"/>
            <w:start w:w="100" w:type="dxa"/>
            <w:bottom w:w="90" w:type="dxa"/>
            <w:end w:w="100" w:type="dxa"/>
          </w:tcMar>
          <w:vAlign w:val="center"/>
        </w:tcPr>
        <w:p>
          <w:pPr>
            <w:keepNext w:val="0"/>
            <w:spacing w:before="0" w:after="0" w:line="252" w:lineRule="auto"/>
            <w:jc w:val="right"/>
          </w:pPr>
          <w:r>
            <w:rPr>
              <w:rFonts w:ascii="DejaVu Serif" w:hAnsi="DejaVu Serif" w:eastAsia="DejaVu Serif"/>
              <w:b w:val="0"/>
              <w:i w:val="0"/>
              <w:color w:val="5E6873"/>
              <w:sz w:val="15"/>
            </w:rPr>
            <w:t xml:space="preserve">p. </w:t>
          </w:r>
          <w:r>
            <w:rPr>
              <w:rFonts w:ascii="DejaVu Serif" w:hAnsi="DejaVu Serif" w:eastAsia="DejaVu Serif"/>
              <w:sz w:val="15"/>
            </w:rPr>
          </w:r>
        </w:p>
      </w:tc>
    </w:tr>
  </w:tbl>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spacing w:before="0" w:after="0" w:line="240" w:lineRule="auto"/>
      <w:jc w:val="center"/>
    </w:pPr>
    <w:r>
      <w:rPr>
        <w:rFonts w:ascii="DejaVu Sans" w:hAnsi="DejaVu Sans" w:eastAsia="DejaVu Sans"/>
        <w:color w:val="5B6573"/>
        <w:sz w:val="16"/>
      </w:rPr>
      <w:t>BASIC KLT-RBD PROJECT - VOLUME I - T1-EN-FREEZE-v1.0</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fals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DejaVu Serif" w:hAnsi="DejaVu Seri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DejaVu Sans" w:hAnsi="DejaVu Sans"/>
      <w:b/>
      <w:bCs/>
      <w:color w:val="173B63"/>
      <w:sz w:val="34"/>
      <w:szCs w:val="28"/>
    </w:rPr>
  </w:style>
  <w:style w:type="paragraph" w:styleId="Heading2">
    <w:name w:val="heading 2"/>
    <w:basedOn w:val="Normal"/>
    <w:next w:val="Normal"/>
    <w:link w:val="Heading2Char"/>
    <w:uiPriority w:val="9"/>
    <w:unhideWhenUsed/>
    <w:qFormat/>
    <w:rsid w:val="00FC693F"/>
    <w:pPr>
      <w:keepNext/>
      <w:keepLines/>
      <w:spacing w:before="140" w:after="100"/>
      <w:outlineLvl w:val="1"/>
    </w:pPr>
    <w:rPr>
      <w:rFonts w:asciiTheme="majorHAnsi" w:eastAsiaTheme="majorEastAsia" w:hAnsiTheme="majorHAnsi" w:cstheme="majorBidi" w:ascii="DejaVu Sans" w:hAnsi="DejaVu Sans"/>
      <w:b/>
      <w:bCs/>
      <w:color w:val="2E5F8A"/>
      <w:sz w:val="26"/>
      <w:szCs w:val="26"/>
    </w:rPr>
  </w:style>
  <w:style w:type="paragraph" w:styleId="Heading3">
    <w:name w:val="heading 3"/>
    <w:basedOn w:val="Normal"/>
    <w:next w:val="Normal"/>
    <w:link w:val="Heading3Char"/>
    <w:uiPriority w:val="9"/>
    <w:unhideWhenUsed/>
    <w:qFormat/>
    <w:rsid w:val="00FC693F"/>
    <w:pPr>
      <w:keepNext/>
      <w:keepLines/>
      <w:spacing w:before="140" w:after="100"/>
      <w:outlineLvl w:val="2"/>
    </w:pPr>
    <w:rPr>
      <w:rFonts w:asciiTheme="majorHAnsi" w:eastAsiaTheme="majorEastAsia" w:hAnsiTheme="majorHAnsi" w:cstheme="majorBidi" w:ascii="DejaVu Sans" w:hAnsi="DejaVu Sans"/>
      <w:b/>
      <w:bCs/>
      <w:color w:val="A8791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png"/><Relationship Id="rId36" Type="http://schemas.openxmlformats.org/officeDocument/2006/relationships/image" Target="media/image24.png"/><Relationship Id="rId37" Type="http://schemas.openxmlformats.org/officeDocument/2006/relationships/image" Target="media/image25.png"/><Relationship Id="rId38" Type="http://schemas.openxmlformats.org/officeDocument/2006/relationships/image" Target="media/image26.png"/><Relationship Id="rId39" Type="http://schemas.openxmlformats.org/officeDocument/2006/relationships/image" Target="media/image27.png"/><Relationship Id="rId40" Type="http://schemas.openxmlformats.org/officeDocument/2006/relationships/image" Target="media/image28.png"/><Relationship Id="rId41" Type="http://schemas.openxmlformats.org/officeDocument/2006/relationships/image" Target="media/image29.png"/><Relationship Id="rId42" Type="http://schemas.openxmlformats.org/officeDocument/2006/relationships/image" Target="media/image30.png"/><Relationship Id="rId43" Type="http://schemas.openxmlformats.org/officeDocument/2006/relationships/image" Target="media/image31.png"/><Relationship Id="rId44" Type="http://schemas.openxmlformats.org/officeDocument/2006/relationships/image" Target="media/image32.png"/><Relationship Id="rId45" Type="http://schemas.openxmlformats.org/officeDocument/2006/relationships/image" Target="media/image33.png"/><Relationship Id="rId46" Type="http://schemas.openxmlformats.org/officeDocument/2006/relationships/image" Target="media/image34.png"/><Relationship Id="rId47" Type="http://schemas.openxmlformats.org/officeDocument/2006/relationships/image" Target="media/image35.png"/><Relationship Id="rId48" Type="http://schemas.openxmlformats.org/officeDocument/2006/relationships/image" Target="media/image36.png"/><Relationship Id="rId49" Type="http://schemas.openxmlformats.org/officeDocument/2006/relationships/image" Target="media/image37.png"/><Relationship Id="rId50" Type="http://schemas.openxmlformats.org/officeDocument/2006/relationships/image" Target="media/image38.png"/><Relationship Id="rId51" Type="http://schemas.openxmlformats.org/officeDocument/2006/relationships/image" Target="media/image39.png"/><Relationship Id="rId52" Type="http://schemas.openxmlformats.org/officeDocument/2006/relationships/image" Target="media/image40.png"/><Relationship Id="rId53" Type="http://schemas.openxmlformats.org/officeDocument/2006/relationships/image" Target="media/image41.png"/><Relationship Id="rId54" Type="http://schemas.openxmlformats.org/officeDocument/2006/relationships/image" Target="media/image42.png"/><Relationship Id="rId55" Type="http://schemas.openxmlformats.org/officeDocument/2006/relationships/image" Target="media/image43.png"/><Relationship Id="rId56" Type="http://schemas.openxmlformats.org/officeDocument/2006/relationships/image" Target="media/image44.png"/><Relationship Id="rId57" Type="http://schemas.openxmlformats.org/officeDocument/2006/relationships/image" Target="media/image45.png"/><Relationship Id="rId58" Type="http://schemas.openxmlformats.org/officeDocument/2006/relationships/image" Target="media/image46.png"/><Relationship Id="rId59" Type="http://schemas.openxmlformats.org/officeDocument/2006/relationships/image" Target="media/image47.png"/><Relationship Id="rId60" Type="http://schemas.openxmlformats.org/officeDocument/2006/relationships/image" Target="media/image48.png"/><Relationship Id="rId61" Type="http://schemas.openxmlformats.org/officeDocument/2006/relationships/image" Target="media/image49.png"/><Relationship Id="rId62" Type="http://schemas.openxmlformats.org/officeDocument/2006/relationships/image" Target="media/image50.png"/><Relationship Id="rId63" Type="http://schemas.openxmlformats.org/officeDocument/2006/relationships/image" Target="media/image51.png"/><Relationship Id="rId64" Type="http://schemas.openxmlformats.org/officeDocument/2006/relationships/image" Target="media/image52.png"/><Relationship Id="rId65" Type="http://schemas.openxmlformats.org/officeDocument/2006/relationships/image" Target="media/image53.png"/><Relationship Id="rId66" Type="http://schemas.openxmlformats.org/officeDocument/2006/relationships/image" Target="media/image54.png"/><Relationship Id="rId67" Type="http://schemas.openxmlformats.org/officeDocument/2006/relationships/image" Target="media/image55.png"/><Relationship Id="rId68" Type="http://schemas.openxmlformats.org/officeDocument/2006/relationships/image" Target="media/image56.png"/><Relationship Id="rId69" Type="http://schemas.openxmlformats.org/officeDocument/2006/relationships/image" Target="media/image57.png"/><Relationship Id="rId70" Type="http://schemas.openxmlformats.org/officeDocument/2006/relationships/image" Target="media/image58.png"/><Relationship Id="rId71" Type="http://schemas.openxmlformats.org/officeDocument/2006/relationships/image" Target="media/image59.png"/><Relationship Id="rId72" Type="http://schemas.openxmlformats.org/officeDocument/2006/relationships/image" Target="media/image60.png"/><Relationship Id="rId73" Type="http://schemas.openxmlformats.org/officeDocument/2006/relationships/image" Target="media/image61.png"/><Relationship Id="rId74" Type="http://schemas.openxmlformats.org/officeDocument/2006/relationships/header" Target="header3.xml"/><Relationship Id="rId7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KLT-RBD Project, Volume I - English Frozen Release v1.0</dc:title>
  <dc:subject>Immutable authorial English release derived from frozen Russian Volume I v197 RU</dc:subject>
  <dc:creator>Ivan Borisovich Kurpishev</dc:creator>
  <cp:keywords>KLT-RBD, Reper, PN.2, frozen release, English derivative, Volume I, T1-EN-FREEZE-v1.0</cp:keywords>
  <dc:description>Controlled derivative of frozen Russian Volume I v197 RU; truth_layer_promotion=0; immutable authorial release; changes only by new version.</dc:description>
  <cp:lastModifiedBy>OpenAI document assembly for Ivan Borisovich Kurpishev</cp:lastModifiedBy>
  <cp:revision>1</cp:revision>
  <dcterms:created xsi:type="dcterms:W3CDTF">2013-12-23T23:15:00Z</dcterms:created>
  <dcterms:modified xsi:type="dcterms:W3CDTF">2026-07-29T12:00:00Z</dcterms:modified>
  <cp:category/>
</cp:coreProperties>
</file>