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9"/>
        <w:gridCol w:w="4939"/>
      </w:tblGrid>
      <w:tr>
        <w:tc>
          <w:tcPr>
            <w:tcW w:type="dxa" w:w="7848"/>
            <w:tcMar>
              <w:top w:w="50" w:type="dxa"/>
              <w:start w:w="40" w:type="dxa"/>
              <w:bottom w:w="50" w:type="dxa"/>
              <w:end w:w="40" w:type="dxa"/>
            </w:tcMar>
            <w:vAlign w:val="top"/>
          </w:tcPr>
          <w:p>
            <w:pPr>
              <w:spacing w:before="0" w:after="100" w:line="240" w:lineRule="auto"/>
            </w:pPr>
            <w:r>
              <w:rPr>
                <w:rFonts w:ascii="Liberation Sans" w:hAnsi="Liberation Sans" w:eastAsia="Liberation Sans"/>
                <w:b/>
                <w:color w:val="1F2937"/>
                <w:sz w:val="36"/>
              </w:rPr>
              <w:t>A Measurement Model for the Kurpishev Uncertainty Principle PN.2</w:t>
            </w:r>
          </w:p>
          <w:p>
            <w:pPr>
              <w:spacing w:before="0" w:after="180" w:line="240" w:lineRule="auto"/>
            </w:pPr>
            <w:r>
              <w:rPr>
                <w:rFonts w:ascii="Liberation Sans" w:hAnsi="Liberation Sans" w:eastAsia="Liberation Sans"/>
                <w:b/>
                <w:color w:val="3A5A65"/>
                <w:sz w:val="23"/>
              </w:rPr>
              <w:t>Hidden Bracketing Alternatives, Information Distinguishability, and Total-Variation-Corrected Minimax Bounds</w:t>
            </w:r>
          </w:p>
          <w:p>
            <w:pPr>
              <w:spacing w:before="0" w:after="40" w:line="240" w:lineRule="auto"/>
            </w:pPr>
            <w:r>
              <w:rPr>
                <w:rFonts w:ascii="Liberation Serif" w:hAnsi="Liberation Serif" w:eastAsia="Liberation Serif"/>
                <w:b/>
                <w:sz w:val="22"/>
              </w:rPr>
              <w:t>Ivan Borisovich Kurpishev</w:t>
            </w:r>
          </w:p>
          <w:p>
            <w:pPr>
              <w:spacing w:before="0" w:after="20" w:line="240" w:lineRule="auto"/>
            </w:pPr>
            <w:r>
              <w:rPr>
                <w:rFonts w:ascii="Liberation Serif" w:hAnsi="Liberation Serif" w:eastAsia="Liberation Serif"/>
                <w:sz w:val="19"/>
              </w:rPr>
              <w:t>Independent Researcher, Kaliningrad, Russia</w:t>
            </w:r>
          </w:p>
          <w:p>
            <w:pPr>
              <w:spacing w:before="0" w:after="20" w:line="240" w:lineRule="auto"/>
            </w:pPr>
            <w:r>
              <w:rPr>
                <w:rFonts w:ascii="Liberation Serif" w:hAnsi="Liberation Serif" w:eastAsia="Liberation Serif"/>
                <w:color w:val="264653"/>
                <w:sz w:val="18"/>
              </w:rPr>
              <w:t>ivan-kurpishev@yandex.ru · https://kurpishev.com</w:t>
            </w:r>
          </w:p>
          <w:p>
            <w:pPr>
              <w:spacing w:before="0" w:after="0" w:line="240" w:lineRule="auto"/>
            </w:pPr>
            <w:r>
              <w:rPr>
                <w:rFonts w:ascii="Liberation Serif" w:hAnsi="Liberation Serif" w:eastAsia="Liberation Serif"/>
                <w:i/>
                <w:color w:val="5A646E"/>
                <w:sz w:val="18"/>
              </w:rPr>
              <w:t>Authorial journal manuscript v1.0 · 22 August 2026</w:t>
            </w:r>
          </w:p>
        </w:tc>
        <w:tc>
          <w:tcPr>
            <w:tcW w:type="dxa" w:w="1800"/>
            <w:tcMar>
              <w:top w:w="50" w:type="dxa"/>
              <w:start w:w="40" w:type="dxa"/>
              <w:bottom w:w="50" w:type="dxa"/>
              <w:end w:w="40" w:type="dxa"/>
            </w:tcMar>
            <w:vAlign w:val="top"/>
          </w:tcPr>
          <w:p>
            <w:pPr>
              <w:jc w:val="center"/>
            </w:pPr>
            <w:r>
              <w:drawing>
                <wp:inline xmlns:a="http://schemas.openxmlformats.org/drawingml/2006/main" xmlns:pic="http://schemas.openxmlformats.org/drawingml/2006/picture">
                  <wp:extent cx="1078992" cy="1078992"/>
                  <wp:docPr id="1" name="Picture 1"/>
                  <wp:cNvGraphicFramePr>
                    <a:graphicFrameLocks noChangeAspect="1"/>
                  </wp:cNvGraphicFramePr>
                  <a:graphic>
                    <a:graphicData uri="http://schemas.openxmlformats.org/drawingml/2006/picture">
                      <pic:pic>
                        <pic:nvPicPr>
                          <pic:cNvPr id="0" name="ivan_kurpishev_author.jpg"/>
                          <pic:cNvPicPr/>
                        </pic:nvPicPr>
                        <pic:blipFill>
                          <a:blip r:embed="rId10"/>
                          <a:stretch>
                            <a:fillRect/>
                          </a:stretch>
                        </pic:blipFill>
                        <pic:spPr>
                          <a:xfrm>
                            <a:off x="0" y="0"/>
                            <a:ext cx="1078992" cy="1078992"/>
                          </a:xfrm>
                          <a:prstGeom prst="rect"/>
                        </pic:spPr>
                      </pic:pic>
                    </a:graphicData>
                  </a:graphic>
                </wp:inline>
              </w:drawing>
            </w:r>
          </w:p>
          <w:p>
            <w:pPr>
              <w:spacing w:before="0" w:after="0" w:line="240" w:lineRule="auto"/>
              <w:jc w:val="center"/>
            </w:pPr>
            <w:r>
              <w:rPr>
                <w:rFonts w:ascii="Liberation Sans" w:hAnsi="Liberation Sans" w:eastAsia="Liberation Sans"/>
                <w:color w:val="5A646E"/>
                <w:sz w:val="15"/>
              </w:rPr>
              <w:t>I. B. Kurpishev</w:t>
            </w:r>
          </w:p>
        </w:tc>
      </w:tr>
    </w:tbl>
    <w:p>
      <w:pPr>
        <w:spacing w:after="20"/>
      </w:pPr>
    </w:p>
    <w:tbl>
      <w:tblPr>
        <w:tblW w:type="auto" w:w="0"/>
        <w:tblLook w:firstColumn="1" w:firstRow="1" w:lastColumn="0" w:lastRow="0" w:noHBand="0" w:noVBand="1" w:val="04A0"/>
        <w:jc w:val="center"/>
        <w:tblBorders>
          <w:top w:val="nil"/>
          <w:left w:val="nil"/>
          <w:bottom w:val="nil"/>
          <w:right w:val="nil"/>
          <w:insideH w:val="nil"/>
          <w:insideV w:val="nil"/>
        </w:tblBorders>
      </w:tblPr>
      <w:tblGrid>
        <w:gridCol w:w="9878"/>
      </w:tblGrid>
      <w:tr>
        <w:tc>
          <w:tcPr>
            <w:tcW w:type="dxa" w:w="9878"/>
            <w:shd w:fill="F4F6F8"/>
            <w:tcMar>
              <w:top w:w="150" w:type="dxa"/>
              <w:start w:w="170" w:type="dxa"/>
              <w:bottom w:w="150" w:type="dxa"/>
              <w:end w:w="170" w:type="dxa"/>
            </w:tcMar>
          </w:tcPr>
          <w:p>
            <w:pPr>
              <w:spacing w:before="0" w:after="80" w:line="240" w:lineRule="auto"/>
            </w:pPr>
            <w:r>
              <w:rPr>
                <w:rFonts w:ascii="Liberation Sans" w:hAnsi="Liberation Sans" w:eastAsia="Liberation Sans"/>
                <w:b/>
                <w:color w:val="264653"/>
                <w:sz w:val="21"/>
              </w:rPr>
              <w:t>Abstract</w:t>
            </w:r>
          </w:p>
          <w:p>
            <w:pPr>
              <w:spacing w:before="0" w:after="100" w:line="250" w:lineRule="auto"/>
            </w:pPr>
            <w:r>
              <w:rPr>
                <w:rFonts w:ascii="Liberation Serif" w:hAnsi="Liberation Serif" w:eastAsia="Liberation Serif"/>
                <w:sz w:val="19"/>
              </w:rPr>
              <w:t>A rigorous information-and-measurement model is developed for the mathematical Kurpishev Uncertainty Principle PN.2. The construction closes the mathematical part of proof obligation PO-6 while leaving physical operationalization explicitly open. For two admissible bracketings b_L and b_R in a normed nonassociative algebra, we introduce a measurable experimental record, the σ-algebra of data available to an estimator before the true branch is unblinded, and a distinguishability coefficient τ_u given by the total variation distance between the laws of the accessible data. A classical two-point minimax lemma then yields total-variation-corrected lower bounds for reconstruction risks of a scalar observable S, the structural coordinate 𝔇, and the full algebraic result. Under perfect hiding, τ_u=0, the bounds reduce exactly to the deterministic PN.2 coefficients; under perfect distinguishability, τ_u=1, the information-theoretic lower bound correctly vanishes. A separate metrological bridge is formalized: e_S, e_D, and e_R are reconstruction errors of mathematical targets, not physical measurement uncertainties. Conversion to measurable quantities requires explicit calibration maps, units, reference values, and an uncertainty budget. The resulting status firewall separates the proved mathematical theorem from any future physical realization of R⋆R and from Robertson–Schrödinger dispersion relations or Ozawa noise–disturbance relations.</w:t>
            </w:r>
          </w:p>
          <w:p>
            <w:pPr>
              <w:spacing w:before="0" w:after="40" w:line="240" w:lineRule="auto"/>
            </w:pPr>
            <w:r>
              <w:rPr>
                <w:rFonts w:ascii="Liberation Serif" w:hAnsi="Liberation Serif" w:eastAsia="Liberation Serif"/>
                <w:b/>
                <w:sz w:val="18"/>
              </w:rPr>
              <w:t xml:space="preserve">Keywords: </w:t>
            </w:r>
            <w:r>
              <w:rPr>
                <w:rFonts w:ascii="Liberation Serif" w:hAnsi="Liberation Serif" w:eastAsia="Liberation Serif"/>
                <w:sz w:val="18"/>
              </w:rPr>
              <w:t>nonassociative algebra; associator; Kurpishev PN.2; minimax risk; hidden alternative; total variation; statistical experiment; measurement model; metrology</w:t>
            </w:r>
          </w:p>
          <w:p>
            <w:pPr>
              <w:spacing w:before="0" w:after="0" w:line="240" w:lineRule="auto"/>
            </w:pPr>
            <w:r>
              <w:rPr>
                <w:rFonts w:ascii="Liberation Serif" w:hAnsi="Liberation Serif" w:eastAsia="Liberation Serif"/>
                <w:i/>
                <w:sz w:val="18"/>
              </w:rPr>
              <w:t>MSC 2020: 62C20; 17A01.</w:t>
            </w:r>
          </w:p>
        </w:tc>
      </w:tr>
    </w:tbl>
    <w:p>
      <w:pPr>
        <w:spacing w:after="20"/>
      </w:pPr>
    </w:p>
    <w:p>
      <w:pPr>
        <w:pStyle w:val="Heading1"/>
        <w:keepNext/>
        <w:spacing w:before="200" w:after="100" w:line="240" w:lineRule="auto"/>
      </w:pPr>
      <w:r>
        <w:rPr>
          <w:rFonts w:ascii="Liberation Sans" w:hAnsi="Liberation Sans" w:eastAsia="Liberation Sans"/>
          <w:b/>
          <w:color w:val="264653"/>
          <w:sz w:val="26"/>
        </w:rPr>
        <w:t>Scientific novelty and the boundary of the novelty claim</w:t>
      </w:r>
    </w:p>
    <w:p>
      <w:pPr>
        <w:spacing w:before="0" w:after="120" w:line="259" w:lineRule="auto"/>
        <w:ind w:firstLine="317"/>
      </w:pPr>
      <w:r>
        <w:rPr>
          <w:rFonts w:ascii="Liberation Serif" w:hAnsi="Liberation Serif" w:eastAsia="Liberation Serif"/>
          <w:i w:val="0"/>
          <w:sz w:val="22"/>
        </w:rPr>
        <w:t>The novelty claimed in this paper is strictly internal to the formal PN.2 program. It does not concern the classical Le Cam two-point method, total variation distance, or VIM/GUM metrological terminology. The contribution is their type-consistent integration into PN.2 as a solution of the mathematical part of proof obligation PO-6.</w:t>
      </w:r>
    </w:p>
    <w:p>
      <w:pPr>
        <w:pStyle w:val="ListBullet"/>
        <w:spacing w:before="0" w:after="60" w:line="252" w:lineRule="auto"/>
      </w:pPr>
      <w:r>
        <w:rPr>
          <w:rFonts w:ascii="Liberation Serif" w:hAnsi="Liberation Serif" w:eastAsia="Liberation Serif"/>
          <w:sz w:val="21"/>
        </w:rPr>
        <w:t>The hidden bracketing index b is replaced by a verifiable information condition: a pre-unblinding accessible σ-algebra and a distinguishability coefficient τ_u are specified.</w:t>
      </w:r>
    </w:p>
    <w:p>
      <w:pPr>
        <w:pStyle w:val="ListBullet"/>
        <w:spacing w:before="0" w:after="60" w:line="252" w:lineRule="auto"/>
      </w:pPr>
      <w:r>
        <w:rPr>
          <w:rFonts w:ascii="Liberation Serif" w:hAnsi="Liberation Serif" w:eastAsia="Liberation Serif"/>
          <w:sz w:val="21"/>
        </w:rPr>
        <w:t>The deterministic errors e_S, e_D, e_R are embedded in a statistical experiment with minimax-type risks R_S, R_D, R_R.</w:t>
      </w:r>
    </w:p>
    <w:p>
      <w:pPr>
        <w:pStyle w:val="ListBullet"/>
        <w:spacing w:before="0" w:after="60" w:line="252" w:lineRule="auto"/>
      </w:pPr>
      <w:r>
        <w:rPr>
          <w:rFonts w:ascii="Liberation Serif" w:hAnsi="Liberation Serif" w:eastAsia="Liberation Serif"/>
          <w:sz w:val="21"/>
        </w:rPr>
        <w:t>Total-variation-corrected forms PN.2-M-S and PN.2-M-R are proved with the factor (1-τ_u)^2, explicitly accounting for information leakage about the branch.</w:t>
      </w:r>
    </w:p>
    <w:p>
      <w:pPr>
        <w:pStyle w:val="ListBullet"/>
        <w:spacing w:before="0" w:after="60" w:line="252" w:lineRule="auto"/>
      </w:pPr>
      <w:r>
        <w:rPr>
          <w:rFonts w:ascii="Liberation Serif" w:hAnsi="Liberation Serif" w:eastAsia="Liberation Serif"/>
          <w:sz w:val="21"/>
        </w:rPr>
        <w:t>The deterministic PN.2 is recovered as the perfect-hiding limit τ_u=0, whereas τ_u=1 correctly forces the information-theoretic lower bound to vanish.</w:t>
      </w:r>
    </w:p>
    <w:p>
      <w:pPr>
        <w:pStyle w:val="ListBullet"/>
        <w:spacing w:before="0" w:after="60" w:line="252" w:lineRule="auto"/>
      </w:pPr>
      <w:r>
        <w:rPr>
          <w:rFonts w:ascii="Liberation Serif" w:hAnsi="Liberation Serif" w:eastAsia="Liberation Serif"/>
          <w:sz w:val="21"/>
        </w:rPr>
        <w:t>A metrological firewall separates abstract reconstruction error from physical measurement error and measurement uncertainty; translation requires explicit calibration and reference models.</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9878"/>
      </w:tblGrid>
      <w:tr>
        <w:trPr>
          <w:cantSplit/>
        </w:trPr>
        <w:tc>
          <w:tcPr>
            <w:tcW w:type="dxa" w:w="9878"/>
            <w:shd w:fill="EEF3F7"/>
            <w:tcMar>
              <w:top w:w="140" w:type="dxa"/>
              <w:start w:w="170" w:type="dxa"/>
              <w:bottom w:w="140" w:type="dxa"/>
              <w:end w:w="170" w:type="dxa"/>
            </w:tcMar>
          </w:tcPr>
          <w:p>
            <w:pPr>
              <w:spacing w:before="0" w:after="40" w:line="259" w:lineRule="auto"/>
            </w:pPr>
            <w:r>
              <w:rPr>
                <w:rFonts w:ascii="Liberation Serif" w:hAnsi="Liberation Serif" w:eastAsia="Liberation Serif"/>
                <w:b/>
                <w:color w:val="1F2937"/>
                <w:sz w:val="21"/>
              </w:rPr>
              <w:t>Priority boundary</w:t>
            </w:r>
          </w:p>
          <w:p>
            <w:pPr>
              <w:spacing w:before="0" w:after="0" w:line="252" w:lineRule="auto"/>
            </w:pPr>
            <w:r>
              <w:rPr>
                <w:rFonts w:ascii="Liberation Serif" w:hAnsi="Liberation Serif" w:eastAsia="Liberation Serif"/>
                <w:sz w:val="20"/>
              </w:rPr>
              <w:t>No priority is claimed for classical statistical decision methods, total variation, or JCGM terminology. The authorial novelty claim is limited to the PN.2 architecture, the formulation of PO-6, and the resulting total-variation-corrected PN.2 within that architecture.</w:t>
            </w:r>
          </w:p>
        </w:tc>
      </w:tr>
    </w:tbl>
    <w:p>
      <w:pPr>
        <w:spacing w:after="20"/>
      </w:pPr>
    </w:p>
    <w:p>
      <w:pPr>
        <w:pStyle w:val="Heading1"/>
        <w:keepNext/>
        <w:spacing w:before="200" w:after="100" w:line="240" w:lineRule="auto"/>
      </w:pPr>
      <w:r>
        <w:rPr>
          <w:rFonts w:ascii="Liberation Sans" w:hAnsi="Liberation Sans" w:eastAsia="Liberation Sans"/>
          <w:b/>
          <w:color w:val="264653"/>
          <w:sz w:val="26"/>
        </w:rPr>
        <w:t>1. Introduction</w:t>
      </w:r>
    </w:p>
    <w:p>
      <w:pPr>
        <w:spacing w:before="0" w:after="120" w:line="259" w:lineRule="auto"/>
        <w:ind w:firstLine="317"/>
      </w:pPr>
      <w:r>
        <w:rPr>
          <w:rFonts w:ascii="Liberation Serif" w:hAnsi="Liberation Serif" w:eastAsia="Liberation Serif"/>
          <w:i w:val="0"/>
          <w:sz w:val="22"/>
        </w:rPr>
        <w:t>The canonical PN.2 theorem package considers two admissible bracketings in a normed, generally nonassociative algebra. If the same input u=(x,y,z) admits two outcomes r_L and r_R and a single estimator cannot use the true bracketing index b, two-point geometry yields a positive minimax reconstruction error whenever the targets are separated. This is already a rigorous mathematical theorem, but it is not yet a measurement model.</w:t>
      </w:r>
    </w:p>
    <w:p>
      <w:pPr>
        <w:spacing w:before="0" w:after="120" w:line="259" w:lineRule="auto"/>
        <w:ind w:firstLine="317"/>
      </w:pPr>
      <w:r>
        <w:rPr>
          <w:rFonts w:ascii="Liberation Serif" w:hAnsi="Liberation Serif" w:eastAsia="Liberation Serif"/>
          <w:i w:val="0"/>
          <w:sz w:val="22"/>
        </w:rPr>
        <w:t>Proof obligation PO-6 appears precisely at the transition from the abstract rule “do not use b” to an experiment. Merely omitting the label b is not sufficient: instrument data may reveal the branch. A measurement model must therefore specify what the estimator observes, when its output is frozen, how distinguishable the accessible branch-dependent laws are, and how mathematical reconstruction errors relate to metrological quantities.</w:t>
      </w:r>
    </w:p>
    <w:p>
      <w:pPr>
        <w:spacing w:before="0" w:after="120" w:line="259" w:lineRule="auto"/>
        <w:ind w:firstLine="317"/>
      </w:pPr>
      <w:r>
        <w:rPr>
          <w:rFonts w:ascii="Liberation Serif" w:hAnsi="Liberation Serif" w:eastAsia="Liberation Serif"/>
          <w:i w:val="0"/>
          <w:sz w:val="22"/>
        </w:rPr>
        <w:t>The purpose of this paper is to build that bridge without promoting the physical status of PN.2. The principal result is a theorem of statistical decision theory for a two-alternative experiment. A physical realization of R⋆R, calibration of 𝔇, a relation to ħ, and a connection to quantum theory remain separate testable hypotheses.</w:t>
      </w:r>
    </w:p>
    <w:p>
      <w:pPr>
        <w:pStyle w:val="Heading1"/>
        <w:keepNext/>
        <w:spacing w:before="200" w:after="100" w:line="240" w:lineRule="auto"/>
      </w:pPr>
      <w:r>
        <w:rPr>
          <w:rFonts w:ascii="Liberation Sans" w:hAnsi="Liberation Sans" w:eastAsia="Liberation Sans"/>
          <w:b/>
          <w:color w:val="264653"/>
          <w:sz w:val="26"/>
        </w:rPr>
        <w:t>2. Algebraic core of PN.2</w:t>
      </w:r>
    </w:p>
    <w:p>
      <w:pPr>
        <w:pStyle w:val="Heading2"/>
        <w:keepNext/>
        <w:spacing w:before="140" w:after="100" w:line="240" w:lineRule="auto"/>
      </w:pPr>
      <w:r>
        <w:rPr>
          <w:rFonts w:ascii="Liberation Sans" w:hAnsi="Liberation Sans" w:eastAsia="Liberation Sans"/>
          <w:b/>
          <w:color w:val="264653"/>
          <w:sz w:val="23"/>
        </w:rPr>
        <w:t>2.1. Two bracketing alternatives</w:t>
      </w:r>
    </w:p>
    <w:p>
      <w:pPr>
        <w:spacing w:before="0" w:after="120" w:line="259" w:lineRule="auto"/>
        <w:ind w:firstLine="317"/>
      </w:pPr>
      <w:r>
        <w:rPr>
          <w:rFonts w:ascii="Liberation Serif" w:hAnsi="Liberation Serif" w:eastAsia="Liberation Serif"/>
          <w:i w:val="0"/>
          <w:sz w:val="22"/>
        </w:rPr>
        <w:t>Let 𝒜 be a normed real or complex linear space with a bilinear product ⊙. For u=(x,y,z)∈Ω⊂𝒜³ define the two admissible protocols</w:t>
      </w:r>
    </w:p>
    <w:p>
      <w:pPr>
        <w:spacing w:before="40" w:after="100" w:line="240" w:lineRule="auto"/>
        <w:jc w:val="center"/>
      </w:pPr>
      <w:r>
        <w:rPr>
          <w:rFonts w:ascii="Noto Sans Math" w:hAnsi="Noto Sans Math" w:eastAsia="Noto Sans Math"/>
          <w:sz w:val="21"/>
        </w:rPr>
        <w:t>b_L(u)=(x⊙y)⊙z,        b_R(u)=x⊙(y⊙z).</w:t>
      </w:r>
    </w:p>
    <w:p>
      <w:pPr>
        <w:spacing w:before="0" w:after="120" w:line="259" w:lineRule="auto"/>
        <w:ind w:firstLine="317"/>
      </w:pPr>
      <w:r>
        <w:rPr>
          <w:rFonts w:ascii="Liberation Serif" w:hAnsi="Liberation Serif" w:eastAsia="Liberation Serif"/>
          <w:i w:val="0"/>
          <w:sz w:val="22"/>
        </w:rPr>
        <w:t>Write r_L(u)=b_L(u) and r_R(u)=b_R(u). The associator is</w:t>
      </w:r>
    </w:p>
    <w:p>
      <w:pPr>
        <w:spacing w:before="40" w:after="100" w:line="240" w:lineRule="auto"/>
        <w:jc w:val="center"/>
      </w:pPr>
      <w:r>
        <w:rPr>
          <w:rFonts w:ascii="Noto Sans Math" w:hAnsi="Noto Sans Math" w:eastAsia="Noto Sans Math"/>
          <w:sz w:val="21"/>
        </w:rPr>
        <w:t>K(u)=r_L(u)-r_R(u)=(x⊙y)⊙z-x⊙(y⊙z).</w:t>
      </w:r>
    </w:p>
    <w:p>
      <w:pPr>
        <w:spacing w:before="0" w:after="120" w:line="259" w:lineRule="auto"/>
        <w:ind w:firstLine="317"/>
      </w:pPr>
      <w:r>
        <w:rPr>
          <w:rFonts w:ascii="Liberation Serif" w:hAnsi="Liberation Serif" w:eastAsia="Liberation Serif"/>
          <w:i w:val="0"/>
          <w:sz w:val="22"/>
        </w:rPr>
        <w:t>Let S:𝒜→ℝ be a scalar observable and 𝔇:{b_L,b_R}→ℝ a structural coordinate of the protocol. Define</w:t>
      </w:r>
    </w:p>
    <w:p>
      <w:pPr>
        <w:spacing w:before="40" w:after="100" w:line="240" w:lineRule="auto"/>
        <w:jc w:val="center"/>
      </w:pPr>
      <w:r>
        <w:rPr>
          <w:rFonts w:ascii="Noto Sans Math" w:hAnsi="Noto Sans Math" w:eastAsia="Noto Sans Math"/>
          <w:sz w:val="21"/>
        </w:rPr>
        <w:t>Δ_S(u)=|S(r_L(u))-S(r_R(u))|,    Δ_D=|𝔇(b_L)-𝔇(b_R)|,</w:t>
      </w:r>
    </w:p>
    <w:p>
      <w:pPr>
        <w:spacing w:before="40" w:after="100" w:line="240" w:lineRule="auto"/>
        <w:jc w:val="center"/>
      </w:pPr>
      <w:r>
        <w:rPr>
          <w:rFonts w:ascii="Noto Sans Math" w:hAnsi="Noto Sans Math" w:eastAsia="Noto Sans Math"/>
          <w:sz w:val="21"/>
        </w:rPr>
        <w:t>Δ_R(u)=||r_L(u)-r_R(u)||=||K(u)||.</w:t>
      </w:r>
    </w:p>
    <w:p>
      <w:pPr>
        <w:spacing w:before="0" w:after="120" w:line="259" w:lineRule="auto"/>
        <w:ind w:firstLine="317"/>
      </w:pPr>
      <w:r>
        <w:rPr>
          <w:rFonts w:ascii="Liberation Serif" w:hAnsi="Liberation Serif" w:eastAsia="Liberation Serif"/>
          <w:i w:val="0"/>
          <w:sz w:val="22"/>
        </w:rPr>
        <w:t>At this stage 𝔇 is a mathematical protocol coordinate. A physical interpretation does not follow from notation and requires separate closure of the relevant proof and calibration obligations.</w:t>
      </w:r>
    </w:p>
    <w:p>
      <w:pPr>
        <w:pStyle w:val="Heading2"/>
        <w:keepNext/>
        <w:spacing w:before="140" w:after="100" w:line="240" w:lineRule="auto"/>
      </w:pPr>
      <w:r>
        <w:rPr>
          <w:rFonts w:ascii="Liberation Sans" w:hAnsi="Liberation Sans" w:eastAsia="Liberation Sans"/>
          <w:b/>
          <w:color w:val="264653"/>
          <w:sz w:val="23"/>
        </w:rPr>
        <w:t>2.2. Deterministic baseline</w:t>
      </w:r>
    </w:p>
    <w:p>
      <w:pPr>
        <w:spacing w:before="0" w:after="120" w:line="259" w:lineRule="auto"/>
        <w:ind w:firstLine="317"/>
      </w:pPr>
      <w:r>
        <w:rPr>
          <w:rFonts w:ascii="Liberation Serif" w:hAnsi="Liberation Serif" w:eastAsia="Liberation Serif"/>
          <w:i w:val="0"/>
          <w:sz w:val="22"/>
        </w:rPr>
        <w:t>If the estimator must output one pair (ŝ,d̂) without using b, the canonical package defines</w:t>
      </w:r>
    </w:p>
    <w:p>
      <w:pPr>
        <w:spacing w:before="40" w:after="100" w:line="240" w:lineRule="auto"/>
        <w:jc w:val="center"/>
      </w:pPr>
      <w:r>
        <w:rPr>
          <w:rFonts w:ascii="Noto Sans Math" w:hAnsi="Noto Sans Math" w:eastAsia="Noto Sans Math"/>
          <w:sz w:val="21"/>
        </w:rPr>
        <w:t>e_S(u;ŝ)=max{|ŝ-S(r_L(u))|, |ŝ-S(r_R(u))|},</w:t>
      </w:r>
    </w:p>
    <w:p>
      <w:pPr>
        <w:spacing w:before="40" w:after="100" w:line="240" w:lineRule="auto"/>
        <w:jc w:val="center"/>
      </w:pPr>
      <w:r>
        <w:rPr>
          <w:rFonts w:ascii="Noto Sans Math" w:hAnsi="Noto Sans Math" w:eastAsia="Noto Sans Math"/>
          <w:sz w:val="21"/>
        </w:rPr>
        <w:t>e_D(u;d̂)=max{|d̂-𝔇(b_L)|, |d̂-𝔇(b_R)|}.</w:t>
      </w:r>
    </w:p>
    <w:p>
      <w:pPr>
        <w:spacing w:before="0" w:after="120" w:line="259" w:lineRule="auto"/>
        <w:ind w:firstLine="317"/>
      </w:pPr>
      <w:r>
        <w:rPr>
          <w:rFonts w:ascii="Liberation Serif" w:hAnsi="Liberation Serif" w:eastAsia="Liberation Serif"/>
          <w:i w:val="0"/>
          <w:sz w:val="22"/>
        </w:rPr>
        <w:t>For a full-state estimate r̂∈𝒜,</w:t>
      </w:r>
    </w:p>
    <w:p>
      <w:pPr>
        <w:spacing w:before="40" w:after="100" w:line="240" w:lineRule="auto"/>
        <w:jc w:val="center"/>
      </w:pPr>
      <w:r>
        <w:rPr>
          <w:rFonts w:ascii="Noto Sans Math" w:hAnsi="Noto Sans Math" w:eastAsia="Noto Sans Math"/>
          <w:sz w:val="21"/>
        </w:rPr>
        <w:t>e_R(u;r̂)=max{||r̂-r_L(u)||, ||r̂-r_R(u)||}.</w:t>
      </w:r>
    </w:p>
    <w:p>
      <w:pPr>
        <w:spacing w:before="0" w:after="120" w:line="259" w:lineRule="auto"/>
        <w:ind w:firstLine="317"/>
      </w:pPr>
      <w:r>
        <w:rPr>
          <w:rFonts w:ascii="Liberation Serif" w:hAnsi="Liberation Serif" w:eastAsia="Liberation Serif"/>
          <w:i w:val="0"/>
          <w:sz w:val="22"/>
        </w:rPr>
        <w:t>The two-point metric inequality gives e_S≥Δ_S/2, e_D≥Δ_D/2, and e_R≥||K||/2, hence the canonical product bounds with coefficient 1/4. This description represents a measurement experiment only when the pre-output data do not carry branch-dependent information usable by the estimator.</w:t>
      </w:r>
    </w:p>
    <w:p>
      <w:pPr>
        <w:pStyle w:val="Heading1"/>
        <w:keepNext/>
        <w:spacing w:before="200" w:after="100" w:line="240" w:lineRule="auto"/>
      </w:pPr>
      <w:r>
        <w:rPr>
          <w:rFonts w:ascii="Liberation Sans" w:hAnsi="Liberation Sans" w:eastAsia="Liberation Sans"/>
          <w:b/>
          <w:color w:val="264653"/>
          <w:sz w:val="26"/>
        </w:rPr>
        <w:t>3. Information-and-measurement experiment</w:t>
      </w:r>
    </w:p>
    <w:p>
      <w:pPr>
        <w:pStyle w:val="Heading2"/>
        <w:keepNext/>
        <w:spacing w:before="140" w:after="100" w:line="240" w:lineRule="auto"/>
      </w:pPr>
      <w:r>
        <w:rPr>
          <w:rFonts w:ascii="Liberation Sans" w:hAnsi="Liberation Sans" w:eastAsia="Liberation Sans"/>
          <w:b/>
          <w:color w:val="264653"/>
          <w:sz w:val="23"/>
        </w:rPr>
        <w:t>3.1. Accessible σ-algebra</w:t>
      </w:r>
    </w:p>
    <w:p>
      <w:pPr>
        <w:spacing w:before="0" w:after="120" w:line="259" w:lineRule="auto"/>
        <w:ind w:firstLine="317"/>
      </w:pPr>
      <w:r>
        <w:rPr>
          <w:rFonts w:ascii="Liberation Serif" w:hAnsi="Liberation Serif" w:eastAsia="Liberation Serif"/>
          <w:i w:val="0"/>
          <w:sz w:val="22"/>
        </w:rPr>
        <w:t>For fixed u let (𝒵,𝓕) be the measurable space of the full experimental record. Under branch b∈{L,R}, the record Z has law P_{u,b}. Before unblinding, the estimator is restricted to a σ-algebra 𝒢⊂𝓕. The choice of 𝒢 is part of the preregistered protocol.</w:t>
      </w:r>
    </w:p>
    <w:tbl>
      <w:tblPr>
        <w:tblW w:type="auto" w:w="0"/>
        <w:jc w:val="center"/>
        <w:tblLayout w:type="fixed"/>
        <w:tblLook w:firstColumn="1" w:firstRow="1" w:lastColumn="0" w:lastRow="0" w:noHBand="0" w:noVBand="1" w:val="04A0"/>
        <w:tblBorders>
          <w:top w:val="single" w:sz="4" w:space="0" w:color="AAB7C4"/>
          <w:left w:val="single" w:sz="4" w:space="0" w:color="AAB7C4"/>
          <w:bottom w:val="single" w:sz="4" w:space="0" w:color="AAB7C4"/>
          <w:right w:val="single" w:sz="4" w:space="0" w:color="AAB7C4"/>
          <w:insideH w:val="single" w:sz="4" w:space="0" w:color="AAB7C4"/>
          <w:insideV w:val="single" w:sz="4" w:space="0" w:color="AAB7C4"/>
        </w:tblBorders>
      </w:tblPr>
      <w:tblGrid>
        <w:gridCol w:w="4939"/>
        <w:gridCol w:w="4939"/>
      </w:tblGrid>
      <w:tr>
        <w:trPr>
          <w:tblHeader w:val="true"/>
        </w:trPr>
        <w:tc>
          <w:tcPr>
            <w:tcW w:type="dxa" w:w="4680"/>
            <w:shd w:fill="DDE6EE"/>
            <w:tcMar>
              <w:top w:w="100" w:type="dxa"/>
              <w:start w:w="120" w:type="dxa"/>
              <w:bottom w:w="100" w:type="dxa"/>
              <w:end w:w="120" w:type="dxa"/>
            </w:tcMar>
            <w:vAlign w:val="center"/>
          </w:tcPr>
          <w:p>
            <w:pPr>
              <w:spacing w:before="0" w:after="0" w:line="240" w:lineRule="auto"/>
              <w:jc w:val="center"/>
            </w:pPr>
            <w:r>
              <w:rPr>
                <w:rFonts w:ascii="Liberation Sans" w:hAnsi="Liberation Sans" w:eastAsia="Liberation Sans"/>
                <w:b/>
                <w:sz w:val="19"/>
              </w:rPr>
              <w:t>Allowed before output freeze</w:t>
            </w:r>
          </w:p>
        </w:tc>
        <w:tc>
          <w:tcPr>
            <w:tcW w:type="dxa" w:w="4680"/>
            <w:shd w:fill="DDE6EE"/>
            <w:tcMar>
              <w:top w:w="100" w:type="dxa"/>
              <w:start w:w="120" w:type="dxa"/>
              <w:bottom w:w="100" w:type="dxa"/>
              <w:end w:w="120" w:type="dxa"/>
            </w:tcMar>
            <w:vAlign w:val="center"/>
          </w:tcPr>
          <w:p>
            <w:pPr>
              <w:spacing w:before="0" w:after="0" w:line="240" w:lineRule="auto"/>
              <w:jc w:val="center"/>
            </w:pPr>
            <w:r>
              <w:rPr>
                <w:rFonts w:ascii="Liberation Sans" w:hAnsi="Liberation Sans" w:eastAsia="Liberation Sans"/>
                <w:b/>
                <w:sz w:val="19"/>
              </w:rPr>
              <w:t>Forbidden before output freeze</w:t>
            </w:r>
          </w:p>
        </w:tc>
      </w:tr>
      <w:tr>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input u and domain Ω</w:t>
            </w:r>
          </w:p>
        </w:tc>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true branch label b</w:t>
            </w:r>
          </w:p>
        </w:tc>
      </w:tr>
      <w:tr>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published ⊙, S, and 𝔇</w:t>
            </w:r>
          </w:p>
        </w:tc>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sealed branch-selection log</w:t>
            </w:r>
          </w:p>
        </w:tc>
      </w:tr>
      <w:tr>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instrument and calibration parameters</w:t>
            </w:r>
          </w:p>
        </w:tc>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reference values computed after unblinding</w:t>
            </w:r>
          </w:p>
        </w:tc>
      </w:tr>
      <w:tr>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authorized portion of raw record Z</w:t>
            </w:r>
          </w:p>
        </w:tc>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post-unblinding processing that uses b</w:t>
            </w:r>
          </w:p>
        </w:tc>
      </w:tr>
      <w:tr>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branch-independent random seed</w:t>
            </w:r>
          </w:p>
        </w:tc>
        <w:tc>
          <w:tcPr>
            <w:tcW w:type="dxa" w:w="468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model adaptation after viewing the true branch</w:t>
            </w:r>
          </w:p>
        </w:tc>
      </w:tr>
    </w:tbl>
    <w:p>
      <w:pPr>
        <w:spacing w:after="40"/>
      </w:pPr>
    </w:p>
    <w:p>
      <w:pPr>
        <w:spacing w:before="0" w:after="120" w:line="259" w:lineRule="auto"/>
        <w:ind w:firstLine="317"/>
      </w:pPr>
      <w:r>
        <w:rPr>
          <w:rFonts w:ascii="Liberation Serif" w:hAnsi="Liberation Serif" w:eastAsia="Liberation Serif"/>
          <w:i w:val="0"/>
          <w:sz w:val="22"/>
        </w:rPr>
        <w:t>Thus “b is hidden” is an information constraint on measurable data, not a psychological statement about the observer.</w:t>
      </w:r>
    </w:p>
    <w:p>
      <w:pPr>
        <w:pStyle w:val="Heading2"/>
        <w:keepNext/>
        <w:spacing w:before="140" w:after="100" w:line="240" w:lineRule="auto"/>
      </w:pPr>
      <w:r>
        <w:rPr>
          <w:rFonts w:ascii="Liberation Sans" w:hAnsi="Liberation Sans" w:eastAsia="Liberation Sans"/>
          <w:b/>
          <w:color w:val="264653"/>
          <w:sz w:val="23"/>
        </w:rPr>
        <w:t>3.2. Quantitative hiding</w:t>
      </w:r>
    </w:p>
    <w:p>
      <w:pPr>
        <w:spacing w:before="0" w:after="120" w:line="259" w:lineRule="auto"/>
        <w:ind w:firstLine="317"/>
      </w:pPr>
      <w:r>
        <w:rPr>
          <w:rFonts w:ascii="Liberation Serif" w:hAnsi="Liberation Serif" w:eastAsia="Liberation Serif"/>
          <w:i w:val="0"/>
          <w:sz w:val="22"/>
        </w:rPr>
        <w:t>The absence of an explicit label b does not imply identical observable distributions. Define the distinguishability coefficient</w:t>
      </w:r>
    </w:p>
    <w:p>
      <w:pPr>
        <w:spacing w:before="40" w:after="100" w:line="240" w:lineRule="auto"/>
        <w:jc w:val="center"/>
      </w:pPr>
      <w:r>
        <w:rPr>
          <w:rFonts w:ascii="Noto Sans Math" w:hAnsi="Noto Sans Math" w:eastAsia="Noto Sans Math"/>
          <w:sz w:val="21"/>
        </w:rPr>
        <w:t>τ_u := TV(P_{u,L}|_𝒢, P_{u,R}|_𝒢) ∈ [0,1].</w:t>
      </w:r>
    </w:p>
    <w:p>
      <w:pPr>
        <w:spacing w:before="0" w:after="120" w:line="259" w:lineRule="auto"/>
        <w:ind w:firstLine="317"/>
      </w:pPr>
      <w:r>
        <w:rPr>
          <w:rFonts w:ascii="Liberation Serif" w:hAnsi="Liberation Serif" w:eastAsia="Liberation Serif"/>
          <w:i w:val="0"/>
          <w:sz w:val="22"/>
        </w:rPr>
        <w:t>Equivalently define h_u=1-τ_u as a hiding coefficient. Then h_u=1 means perfect hiding, 0&lt;h_u&lt;1 partial hiding, and h_u=0 perfect distinguishability from the accessible record.</w:t>
      </w: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9878"/>
      </w:tblGrid>
      <w:tr>
        <w:trPr>
          <w:cantSplit/>
        </w:trPr>
        <w:tc>
          <w:tcPr>
            <w:tcW w:type="dxa" w:w="9878"/>
            <w:shd w:fill="EEF3F7"/>
            <w:tcMar>
              <w:top w:w="140" w:type="dxa"/>
              <w:start w:w="170" w:type="dxa"/>
              <w:bottom w:w="140" w:type="dxa"/>
              <w:end w:w="170" w:type="dxa"/>
            </w:tcMar>
          </w:tcPr>
          <w:p>
            <w:pPr>
              <w:spacing w:before="0" w:after="40" w:line="259" w:lineRule="auto"/>
            </w:pPr>
            <w:r>
              <w:rPr>
                <w:rFonts w:ascii="Liberation Serif" w:hAnsi="Liberation Serif" w:eastAsia="Liberation Serif"/>
                <w:b/>
                <w:color w:val="1F2937"/>
                <w:sz w:val="21"/>
              </w:rPr>
              <w:t>Critical refinement of PO-6</w:t>
            </w:r>
          </w:p>
          <w:p>
            <w:pPr>
              <w:spacing w:before="0" w:after="0" w:line="252" w:lineRule="auto"/>
            </w:pPr>
            <w:r>
              <w:rPr>
                <w:rFonts w:ascii="Liberation Serif" w:hAnsi="Liberation Serif" w:eastAsia="Liberation Serif"/>
                <w:sz w:val="20"/>
              </w:rPr>
              <w:t>It is not enough to withhold the symbol b. If the accessible signal Z uniquely encodes the branch, then τ_u=1 and any information-theoretic lower bound must vanish. The original verbal condition “b is hidden” did not distinguish this case.</w:t>
            </w:r>
          </w:p>
        </w:tc>
      </w:tr>
    </w:tbl>
    <w:p>
      <w:pPr>
        <w:spacing w:after="20"/>
      </w:pPr>
    </w:p>
    <w:p>
      <w:pPr>
        <w:pStyle w:val="Heading2"/>
        <w:keepNext/>
        <w:spacing w:before="140" w:after="100" w:line="240" w:lineRule="auto"/>
      </w:pPr>
      <w:r>
        <w:rPr>
          <w:rFonts w:ascii="Liberation Sans" w:hAnsi="Liberation Sans" w:eastAsia="Liberation Sans"/>
          <w:b/>
          <w:color w:val="264653"/>
          <w:sz w:val="23"/>
        </w:rPr>
        <w:t>3.3. Blinding and unblinding protocol</w:t>
      </w:r>
    </w:p>
    <w:p>
      <w:pPr>
        <w:pStyle w:val="ListNumber"/>
        <w:spacing w:before="0" w:after="60" w:line="252" w:lineRule="auto"/>
      </w:pPr>
      <w:r>
        <w:rPr>
          <w:rFonts w:ascii="Liberation Serif" w:hAnsi="Liberation Serif" w:eastAsia="Liberation Serif"/>
          <w:sz w:val="21"/>
        </w:rPr>
        <w:t>Before the run, fix Ω, both admissible protocols, S, 𝔇, the data channel, the accessible σ-algebra 𝒢, the estimator, and the risk criterion.</w:t>
      </w:r>
    </w:p>
    <w:p>
      <w:pPr>
        <w:pStyle w:val="ListNumber"/>
        <w:spacing w:before="0" w:after="60" w:line="252" w:lineRule="auto"/>
      </w:pPr>
      <w:r>
        <w:rPr>
          <w:rFonts w:ascii="Liberation Serif" w:hAnsi="Liberation Serif" w:eastAsia="Liberation Serif"/>
          <w:sz w:val="21"/>
        </w:rPr>
        <w:t>Generate or select the true branch b by a mechanism inaccessible to the estimator before unblinding.</w:t>
      </w:r>
    </w:p>
    <w:p>
      <w:pPr>
        <w:pStyle w:val="ListNumber"/>
        <w:spacing w:before="0" w:after="60" w:line="252" w:lineRule="auto"/>
      </w:pPr>
      <w:r>
        <w:rPr>
          <w:rFonts w:ascii="Liberation Serif" w:hAnsi="Liberation Serif" w:eastAsia="Liberation Serif"/>
          <w:sz w:val="21"/>
        </w:rPr>
        <w:t>Generate the full experimental record Z and expose only information in 𝒢 to the estimator.</w:t>
      </w:r>
    </w:p>
    <w:p>
      <w:pPr>
        <w:pStyle w:val="ListNumber"/>
        <w:spacing w:before="0" w:after="60" w:line="252" w:lineRule="auto"/>
      </w:pPr>
      <w:r>
        <w:rPr>
          <w:rFonts w:ascii="Liberation Serif" w:hAnsi="Liberation Serif" w:eastAsia="Liberation Serif"/>
          <w:sz w:val="21"/>
        </w:rPr>
        <w:t>Compute ŝ, d̂ and/or r̂ and freeze the output procedurally or cryptographically.</w:t>
      </w:r>
    </w:p>
    <w:p>
      <w:pPr>
        <w:pStyle w:val="ListNumber"/>
        <w:spacing w:before="0" w:after="60" w:line="252" w:lineRule="auto"/>
      </w:pPr>
      <w:r>
        <w:rPr>
          <w:rFonts w:ascii="Liberation Serif" w:hAnsi="Liberation Serif" w:eastAsia="Liberation Serif"/>
          <w:sz w:val="21"/>
        </w:rPr>
        <w:t>Unblind b only after the output is frozen, then compute branch-specific reference targets.</w:t>
      </w:r>
    </w:p>
    <w:p>
      <w:pPr>
        <w:pStyle w:val="ListNumber"/>
        <w:spacing w:before="0" w:after="60" w:line="252" w:lineRule="auto"/>
      </w:pPr>
      <w:r>
        <w:rPr>
          <w:rFonts w:ascii="Liberation Serif" w:hAnsi="Liberation Serif" w:eastAsia="Liberation Serif"/>
          <w:sz w:val="21"/>
        </w:rPr>
        <w:t>Score the errors/risks and report τ_u, or a statistically controlled upper bound on τ_u, as part of the experimental record.</w:t>
      </w:r>
    </w:p>
    <w:p>
      <w:pPr>
        <w:spacing w:before="0" w:after="40" w:line="259" w:lineRule="auto"/>
        <w:jc w:val="center"/>
      </w:pPr>
      <w:r>
        <w:drawing>
          <wp:inline xmlns:a="http://schemas.openxmlformats.org/drawingml/2006/main" xmlns:pic="http://schemas.openxmlformats.org/drawingml/2006/picture">
            <wp:extent cx="5989320" cy="1361209"/>
            <wp:docPr id="2" name="Picture 2"/>
            <wp:cNvGraphicFramePr>
              <a:graphicFrameLocks noChangeAspect="1"/>
            </wp:cNvGraphicFramePr>
            <a:graphic>
              <a:graphicData uri="http://schemas.openxmlformats.org/drawingml/2006/picture">
                <pic:pic>
                  <pic:nvPicPr>
                    <pic:cNvPr id="0" name="flow_en.png"/>
                    <pic:cNvPicPr/>
                  </pic:nvPicPr>
                  <pic:blipFill>
                    <a:blip r:embed="rId11"/>
                    <a:stretch>
                      <a:fillRect/>
                    </a:stretch>
                  </pic:blipFill>
                  <pic:spPr>
                    <a:xfrm>
                      <a:off x="0" y="0"/>
                      <a:ext cx="5989320" cy="1361209"/>
                    </a:xfrm>
                    <a:prstGeom prst="rect"/>
                  </pic:spPr>
                </pic:pic>
              </a:graphicData>
            </a:graphic>
          </wp:inline>
        </w:drawing>
      </w:r>
    </w:p>
    <w:p>
      <w:pPr>
        <w:spacing w:before="0" w:after="140" w:line="240" w:lineRule="auto"/>
        <w:jc w:val="center"/>
      </w:pPr>
      <w:r>
        <w:rPr>
          <w:rFonts w:ascii="Liberation Serif" w:hAnsi="Liberation Serif" w:eastAsia="Liberation Serif"/>
          <w:i/>
          <w:color w:val="5A646E"/>
          <w:sz w:val="17"/>
        </w:rPr>
        <w:t>Figure 1. PN.2 measurement protocol: the estimate is frozen before b is unblinded.</w:t>
      </w:r>
    </w:p>
    <w:p>
      <w:pPr>
        <w:pStyle w:val="Heading1"/>
        <w:keepNext/>
        <w:spacing w:before="200" w:after="100" w:line="240" w:lineRule="auto"/>
      </w:pPr>
      <w:r>
        <w:rPr>
          <w:rFonts w:ascii="Liberation Sans" w:hAnsi="Liberation Sans" w:eastAsia="Liberation Sans"/>
          <w:b/>
          <w:color w:val="264653"/>
          <w:sz w:val="26"/>
        </w:rPr>
        <w:t>4. Admissible estimators and risks</w:t>
      </w:r>
    </w:p>
    <w:p>
      <w:pPr>
        <w:spacing w:before="0" w:after="120" w:line="259" w:lineRule="auto"/>
        <w:ind w:firstLine="317"/>
      </w:pPr>
      <w:r>
        <w:rPr>
          <w:rFonts w:ascii="Liberation Serif" w:hAnsi="Liberation Serif" w:eastAsia="Liberation Serif"/>
          <w:i w:val="0"/>
          <w:sz w:val="22"/>
        </w:rPr>
        <w:t>An admissible estimator is a preregistered 𝒢-measurable rule. External randomization is allowed if its random seed is independent of b and included in the information model. Any use of the unblinded branch before the output freeze is excluded.</w:t>
      </w:r>
    </w:p>
    <w:p>
      <w:pPr>
        <w:spacing w:before="40" w:after="100" w:line="240" w:lineRule="auto"/>
        <w:jc w:val="center"/>
      </w:pPr>
      <w:r>
        <w:rPr>
          <w:rFonts w:ascii="Noto Sans Math" w:hAnsi="Noto Sans Math" w:eastAsia="Noto Sans Math"/>
          <w:sz w:val="21"/>
        </w:rPr>
        <w:t>ŝ=δ_S(Z),        d̂=δ_D(Z),        r̂=δ_R(Z).</w:t>
      </w:r>
    </w:p>
    <w:p>
      <w:pPr>
        <w:spacing w:before="0" w:after="120" w:line="259" w:lineRule="auto"/>
        <w:ind w:firstLine="317"/>
      </w:pPr>
      <w:r>
        <w:rPr>
          <w:rFonts w:ascii="Liberation Serif" w:hAnsi="Liberation Serif" w:eastAsia="Liberation Serif"/>
          <w:i w:val="0"/>
          <w:sz w:val="22"/>
        </w:rPr>
        <w:t>Define the worst-case expected absolute or metric reconstruction losses over the two branches:</w:t>
      </w:r>
    </w:p>
    <w:p>
      <w:pPr>
        <w:spacing w:before="40" w:after="100" w:line="240" w:lineRule="auto"/>
        <w:jc w:val="center"/>
      </w:pPr>
      <w:r>
        <w:rPr>
          <w:rFonts w:ascii="Noto Sans Math" w:hAnsi="Noto Sans Math" w:eastAsia="Noto Sans Math"/>
          <w:sz w:val="21"/>
        </w:rPr>
        <w:t>R_S(u;δ_S)=max_{b∈{L,R}} E_{u,b}|δ_S(Z)-S(r_b(u))|,</w:t>
      </w:r>
    </w:p>
    <w:p>
      <w:pPr>
        <w:spacing w:before="40" w:after="100" w:line="240" w:lineRule="auto"/>
        <w:jc w:val="center"/>
      </w:pPr>
      <w:r>
        <w:rPr>
          <w:rFonts w:ascii="Noto Sans Math" w:hAnsi="Noto Sans Math" w:eastAsia="Noto Sans Math"/>
          <w:sz w:val="21"/>
        </w:rPr>
        <w:t>R_D(u;δ_D)=max_{b∈{L,R}} E_{u,b}|δ_D(Z)-𝔇(b)|,</w:t>
      </w:r>
    </w:p>
    <w:p>
      <w:pPr>
        <w:spacing w:before="40" w:after="100" w:line="240" w:lineRule="auto"/>
        <w:jc w:val="center"/>
      </w:pPr>
      <w:r>
        <w:rPr>
          <w:rFonts w:ascii="Noto Sans Math" w:hAnsi="Noto Sans Math" w:eastAsia="Noto Sans Math"/>
          <w:sz w:val="21"/>
        </w:rPr>
        <w:t>R_R(u;δ_R)=max_{b∈{L,R}} E_{u,b}||δ_R(Z)-r_b(u)||.</w:t>
      </w:r>
    </w:p>
    <w:p>
      <w:pPr>
        <w:spacing w:before="0" w:after="120" w:line="259" w:lineRule="auto"/>
        <w:ind w:firstLine="317"/>
      </w:pPr>
      <w:r>
        <w:rPr>
          <w:rFonts w:ascii="Liberation Serif" w:hAnsi="Liberation Serif" w:eastAsia="Liberation Serif"/>
          <w:i w:val="0"/>
          <w:sz w:val="22"/>
        </w:rPr>
        <w:t>Taking an infimum over a specified estimator class yields the usual minimax risks, but the lower bounds below are stronger in formulation: they hold for every admissible estimator separately.</w:t>
      </w:r>
    </w:p>
    <w:p>
      <w:pPr>
        <w:pStyle w:val="Heading1"/>
        <w:keepNext/>
        <w:spacing w:before="200" w:after="100" w:line="240" w:lineRule="auto"/>
      </w:pPr>
      <w:r>
        <w:rPr>
          <w:rFonts w:ascii="Liberation Sans" w:hAnsi="Liberation Sans" w:eastAsia="Liberation Sans"/>
          <w:b/>
          <w:color w:val="264653"/>
          <w:sz w:val="26"/>
        </w:rPr>
        <w:t>5. Two-point total-variation lemma</w:t>
      </w:r>
    </w:p>
    <w:p>
      <w:pPr>
        <w:spacing w:before="0" w:after="120" w:line="259" w:lineRule="auto"/>
        <w:ind w:firstLine="317"/>
      </w:pPr>
      <w:r>
        <w:rPr>
          <w:rFonts w:ascii="Liberation Serif" w:hAnsi="Liberation Serif" w:eastAsia="Liberation Serif"/>
          <w:i w:val="0"/>
          <w:sz w:val="22"/>
        </w:rPr>
        <w:t>Lemma 1 (two-point minimax bound with total variation). Let P_0 and P_1 be probability laws on the same measurable space, θ_0 and θ_1 points of a metric space (Θ,d), and δ any measurable estimator. Then</w:t>
      </w:r>
    </w:p>
    <w:p>
      <w:pPr>
        <w:spacing w:before="40" w:after="100" w:line="240" w:lineRule="auto"/>
        <w:jc w:val="center"/>
      </w:pPr>
      <w:r>
        <w:rPr>
          <w:rFonts w:ascii="Noto Sans Math" w:hAnsi="Noto Sans Math" w:eastAsia="Noto Sans Math"/>
          <w:sz w:val="21"/>
        </w:rPr>
        <w:t>max{E_0 d(δ,θ_0), E_1 d(δ,θ_1)} ≥ ½ d(θ_0,θ_1)[1-TV(P_0,P_1)].</w:t>
      </w:r>
    </w:p>
    <w:p>
      <w:pPr>
        <w:spacing w:before="0" w:after="120" w:line="259" w:lineRule="auto"/>
        <w:ind w:firstLine="317"/>
      </w:pPr>
      <w:r>
        <w:rPr>
          <w:rFonts w:ascii="Liberation Serif" w:hAnsi="Liberation Serif" w:eastAsia="Liberation Serif"/>
          <w:i w:val="0"/>
          <w:sz w:val="22"/>
        </w:rPr>
        <w:t>Proof. Let μ=P_0+P_1 dominate both laws and let p_0,p_1 be the corresponding densities. For every observation z, the triangle inequality gives d(δ(z),θ_0)+d(δ(z),θ_1)≥d(θ_0,θ_1). Hence</w:t>
      </w:r>
    </w:p>
    <w:p>
      <w:pPr>
        <w:spacing w:before="40" w:after="100" w:line="240" w:lineRule="auto"/>
        <w:jc w:val="center"/>
      </w:pPr>
      <w:r>
        <w:rPr>
          <w:rFonts w:ascii="Noto Sans Math" w:hAnsi="Noto Sans Math" w:eastAsia="Noto Sans Math"/>
          <w:sz w:val="21"/>
        </w:rPr>
        <w:t>E_0 d(δ,θ_0)+E_1 d(δ,θ_1)</w:t>
      </w:r>
    </w:p>
    <w:p>
      <w:pPr>
        <w:spacing w:before="40" w:after="100" w:line="240" w:lineRule="auto"/>
        <w:jc w:val="center"/>
      </w:pPr>
      <w:r>
        <w:rPr>
          <w:rFonts w:ascii="Noto Sans Math" w:hAnsi="Noto Sans Math" w:eastAsia="Noto Sans Math"/>
          <w:sz w:val="21"/>
        </w:rPr>
        <w:t>≥ ∫ min(p_0,p_1)[d(δ,θ_0)+d(δ,θ_1)] dμ</w:t>
      </w:r>
    </w:p>
    <w:p>
      <w:pPr>
        <w:spacing w:before="40" w:after="100" w:line="240" w:lineRule="auto"/>
        <w:jc w:val="center"/>
      </w:pPr>
      <w:r>
        <w:rPr>
          <w:rFonts w:ascii="Noto Sans Math" w:hAnsi="Noto Sans Math" w:eastAsia="Noto Sans Math"/>
          <w:sz w:val="21"/>
        </w:rPr>
        <w:t>≥ d(θ_0,θ_1) ∫ min(p_0,p_1)dμ</w:t>
      </w:r>
    </w:p>
    <w:p>
      <w:pPr>
        <w:spacing w:before="40" w:after="100" w:line="240" w:lineRule="auto"/>
        <w:jc w:val="center"/>
      </w:pPr>
      <w:r>
        <w:rPr>
          <w:rFonts w:ascii="Noto Sans Math" w:hAnsi="Noto Sans Math" w:eastAsia="Noto Sans Math"/>
          <w:sz w:val="21"/>
        </w:rPr>
        <w:t>= d(θ_0,θ_1)[1-TV(P_0,P_1)].</w:t>
      </w:r>
    </w:p>
    <w:p>
      <w:pPr>
        <w:spacing w:before="0" w:after="120" w:line="259" w:lineRule="auto"/>
      </w:pPr>
      <w:r>
        <w:rPr>
          <w:rFonts w:ascii="Liberation Serif" w:hAnsi="Liberation Serif" w:eastAsia="Liberation Serif"/>
          <w:i w:val="0"/>
          <w:sz w:val="22"/>
        </w:rPr>
        <w:t>The maximum of two nonnegative numbers is at least half their sum. □</w:t>
      </w:r>
    </w:p>
    <w:p>
      <w:pPr>
        <w:spacing w:before="0" w:after="120" w:line="259" w:lineRule="auto"/>
        <w:ind w:firstLine="317"/>
      </w:pPr>
      <w:r>
        <w:rPr>
          <w:rFonts w:ascii="Liberation Serif" w:hAnsi="Liberation Serif" w:eastAsia="Liberation Serif"/>
          <w:i w:val="0"/>
          <w:sz w:val="22"/>
        </w:rPr>
        <w:t>This is a classical two-point device in statistical decision theory; the present paper does not claim novelty for the lemma itself.</w:t>
      </w:r>
    </w:p>
    <w:p>
      <w:pPr>
        <w:pStyle w:val="Heading1"/>
        <w:keepNext/>
        <w:spacing w:before="200" w:after="100" w:line="240" w:lineRule="auto"/>
      </w:pPr>
      <w:r>
        <w:rPr>
          <w:rFonts w:ascii="Liberation Sans" w:hAnsi="Liberation Sans" w:eastAsia="Liberation Sans"/>
          <w:b/>
          <w:color w:val="264653"/>
          <w:sz w:val="26"/>
        </w:rPr>
        <w:t>6. Measurement theorem for PN.2</w:t>
      </w:r>
    </w:p>
    <w:p>
      <w:pPr>
        <w:spacing w:before="0" w:after="120" w:line="259" w:lineRule="auto"/>
        <w:ind w:firstLine="317"/>
      </w:pPr>
      <w:r>
        <w:rPr>
          <w:rFonts w:ascii="Liberation Serif" w:hAnsi="Liberation Serif" w:eastAsia="Liberation Serif"/>
          <w:i w:val="0"/>
          <w:sz w:val="22"/>
        </w:rPr>
        <w:t>Theorem 2 (total-variation-corrected measurement PN.2). For fixed u∈Ω, let the experiment of Section 3 be given and let τ_u=TV(P_{u,L}|_𝒢,P_{u,R}|_𝒢). Then every admissible pair δ_S,δ_D satisfies</w:t>
      </w:r>
    </w:p>
    <w:p>
      <w:pPr>
        <w:spacing w:before="40" w:after="100" w:line="240" w:lineRule="auto"/>
        <w:jc w:val="center"/>
      </w:pPr>
      <w:r>
        <w:rPr>
          <w:rFonts w:ascii="Noto Sans Math" w:hAnsi="Noto Sans Math" w:eastAsia="Noto Sans Math"/>
          <w:sz w:val="21"/>
        </w:rPr>
        <w:t>R_S(u;δ_S) ≥ ½ Δ_S(u)(1-τ_u),</w:t>
      </w:r>
    </w:p>
    <w:p>
      <w:pPr>
        <w:spacing w:before="40" w:after="100" w:line="240" w:lineRule="auto"/>
        <w:jc w:val="center"/>
      </w:pPr>
      <w:r>
        <w:rPr>
          <w:rFonts w:ascii="Noto Sans Math" w:hAnsi="Noto Sans Math" w:eastAsia="Noto Sans Math"/>
          <w:sz w:val="21"/>
        </w:rPr>
        <w:t>R_D(u;δ_D) ≥ ½ Δ_D(1-τ_u),</w:t>
      </w:r>
    </w:p>
    <w:p>
      <w:pPr>
        <w:spacing w:before="40" w:after="100" w:line="240" w:lineRule="auto"/>
        <w:jc w:val="center"/>
      </w:pPr>
      <w:r>
        <w:rPr>
          <w:rFonts w:ascii="Noto Sans Math" w:hAnsi="Noto Sans Math" w:eastAsia="Noto Sans Math"/>
          <w:sz w:val="21"/>
        </w:rPr>
        <w:t>R_S(u;δ_S) R_D(u;δ_D) ≥ ¼ (1-τ_u)² Δ_S(u)Δ_D.</w:t>
      </w:r>
      <w:r>
        <w:rPr>
          <w:rFonts w:ascii="Liberation Serif" w:hAnsi="Liberation Serif" w:eastAsia="Liberation Serif"/>
          <w:sz w:val="20"/>
        </w:rPr>
        <w:t xml:space="preserve">    (PN.2-M-S)</w:t>
      </w:r>
    </w:p>
    <w:p>
      <w:pPr>
        <w:spacing w:before="0" w:after="120" w:line="259" w:lineRule="auto"/>
        <w:ind w:firstLine="317"/>
      </w:pPr>
      <w:r>
        <w:rPr>
          <w:rFonts w:ascii="Liberation Serif" w:hAnsi="Liberation Serif" w:eastAsia="Liberation Serif"/>
          <w:i w:val="0"/>
          <w:sz w:val="22"/>
        </w:rPr>
        <w:t>For a full-state estimate,</w:t>
      </w:r>
    </w:p>
    <w:p>
      <w:pPr>
        <w:spacing w:before="40" w:after="100" w:line="240" w:lineRule="auto"/>
        <w:jc w:val="center"/>
      </w:pPr>
      <w:r>
        <w:rPr>
          <w:rFonts w:ascii="Noto Sans Math" w:hAnsi="Noto Sans Math" w:eastAsia="Noto Sans Math"/>
          <w:sz w:val="21"/>
        </w:rPr>
        <w:t>R_R(u;δ_R) ≥ ½ ||K(u)||(1-τ_u),</w:t>
      </w:r>
    </w:p>
    <w:p>
      <w:pPr>
        <w:spacing w:before="40" w:after="100" w:line="240" w:lineRule="auto"/>
        <w:jc w:val="center"/>
      </w:pPr>
      <w:r>
        <w:rPr>
          <w:rFonts w:ascii="Noto Sans Math" w:hAnsi="Noto Sans Math" w:eastAsia="Noto Sans Math"/>
          <w:sz w:val="21"/>
        </w:rPr>
        <w:t>R_R(u;δ_R) R_D(u;δ_D) ≥ ¼ (1-τ_u)² ||K(u)||Δ_D.</w:t>
      </w:r>
      <w:r>
        <w:rPr>
          <w:rFonts w:ascii="Liberation Serif" w:hAnsi="Liberation Serif" w:eastAsia="Liberation Serif"/>
          <w:sz w:val="20"/>
        </w:rPr>
        <w:t xml:space="preserve">    (PN.2-M-R)</w:t>
      </w:r>
    </w:p>
    <w:p>
      <w:pPr>
        <w:spacing w:before="0" w:after="120" w:line="259" w:lineRule="auto"/>
      </w:pPr>
      <w:r>
        <w:rPr>
          <w:rFonts w:ascii="Liberation Serif" w:hAnsi="Liberation Serif" w:eastAsia="Liberation Serif"/>
          <w:i w:val="0"/>
          <w:sz w:val="22"/>
        </w:rPr>
        <w:t>Proof. Apply Lemma 1 to the targets S(r_L),S(r_R) in ℝ; to 𝔇(b_L),𝔇(b_R) in ℝ; and to r_L,r_R in the metric space (𝒜,||·||). In the last case the target separation is ||r_L-r_R||=||K(u)||. Multiplying the nonnegative individual bounds yields the product inequalities. □</w:t>
      </w:r>
    </w:p>
    <w:p>
      <w:pPr>
        <w:pStyle w:val="Heading2"/>
        <w:keepNext/>
        <w:spacing w:before="140" w:after="100" w:line="240" w:lineRule="auto"/>
      </w:pPr>
      <w:r>
        <w:rPr>
          <w:rFonts w:ascii="Liberation Sans" w:hAnsi="Liberation Sans" w:eastAsia="Liberation Sans"/>
          <w:b/>
          <w:color w:val="264653"/>
          <w:sz w:val="23"/>
        </w:rPr>
        <w:t>6.1. Separating observable and uniform form</w:t>
      </w:r>
    </w:p>
    <w:p>
      <w:pPr>
        <w:spacing w:before="0" w:after="120" w:line="259" w:lineRule="auto"/>
        <w:ind w:firstLine="317"/>
      </w:pPr>
      <w:r>
        <w:rPr>
          <w:rFonts w:ascii="Liberation Serif" w:hAnsi="Liberation Serif" w:eastAsia="Liberation Serif"/>
          <w:i w:val="0"/>
          <w:sz w:val="22"/>
        </w:rPr>
        <w:t>If S is c-separating on Ω, so that Δ_S(u)≥c||K(u)||, then</w:t>
      </w:r>
    </w:p>
    <w:p>
      <w:pPr>
        <w:spacing w:before="40" w:after="100" w:line="240" w:lineRule="auto"/>
        <w:jc w:val="center"/>
      </w:pPr>
      <w:r>
        <w:rPr>
          <w:rFonts w:ascii="Noto Sans Math" w:hAnsi="Noto Sans Math" w:eastAsia="Noto Sans Math"/>
          <w:sz w:val="21"/>
        </w:rPr>
        <w:t>R_S R_D ≥ (c/4)(1-τ_u)² ||K(u)||Δ_D.</w:t>
      </w:r>
      <w:r>
        <w:rPr>
          <w:rFonts w:ascii="Liberation Serif" w:hAnsi="Liberation Serif" w:eastAsia="Liberation Serif"/>
          <w:sz w:val="20"/>
        </w:rPr>
        <w:t xml:space="preserve">    (PN.2-M-K)</w:t>
      </w:r>
    </w:p>
    <w:p>
      <w:pPr>
        <w:spacing w:before="0" w:after="120" w:line="259" w:lineRule="auto"/>
        <w:ind w:firstLine="317"/>
      </w:pPr>
      <w:r>
        <w:rPr>
          <w:rFonts w:ascii="Liberation Serif" w:hAnsi="Liberation Serif" w:eastAsia="Liberation Serif"/>
          <w:i w:val="0"/>
          <w:sz w:val="22"/>
        </w:rPr>
        <w:t>If additionally τ_u≤τ̄&lt;1 throughout Ω and ||K(u)||≥ε_-m(u), then</w:t>
      </w:r>
    </w:p>
    <w:p>
      <w:pPr>
        <w:spacing w:before="40" w:after="100" w:line="240" w:lineRule="auto"/>
        <w:jc w:val="center"/>
      </w:pPr>
      <w:r>
        <w:rPr>
          <w:rFonts w:ascii="Noto Sans Math" w:hAnsi="Noto Sans Math" w:eastAsia="Noto Sans Math"/>
          <w:sz w:val="21"/>
        </w:rPr>
        <w:t>R_S R_D ≥ (c ε_- Δ_D /4)(1-τ̄)² m(u).</w:t>
      </w:r>
      <w:r>
        <w:rPr>
          <w:rFonts w:ascii="Liberation Serif" w:hAnsi="Liberation Serif" w:eastAsia="Liberation Serif"/>
          <w:sz w:val="20"/>
        </w:rPr>
        <w:t xml:space="preserve">    (PN.2-M-U)</w:t>
      </w:r>
    </w:p>
    <w:p>
      <w:pPr>
        <w:spacing w:before="0" w:after="120" w:line="259" w:lineRule="auto"/>
        <w:ind w:firstLine="317"/>
      </w:pPr>
      <w:r>
        <w:rPr>
          <w:rFonts w:ascii="Liberation Serif" w:hAnsi="Liberation Serif" w:eastAsia="Liberation Serif"/>
          <w:i w:val="0"/>
          <w:sz w:val="22"/>
        </w:rPr>
        <w:t>A uniform measurement constant therefore requires both algebraic nondegeneracy and information nondegeneracy. A large associator alone cannot create a measurement lower bound when the accessible data perfectly reveal the branch.</w:t>
      </w:r>
    </w:p>
    <w:p>
      <w:pPr>
        <w:pStyle w:val="Heading2"/>
        <w:keepNext/>
        <w:spacing w:before="140" w:after="100" w:line="240" w:lineRule="auto"/>
      </w:pPr>
      <w:r>
        <w:rPr>
          <w:rFonts w:ascii="Liberation Sans" w:hAnsi="Liberation Sans" w:eastAsia="Liberation Sans"/>
          <w:b/>
          <w:color w:val="264653"/>
          <w:sz w:val="23"/>
        </w:rPr>
        <w:t>6.2. Deterministic PN.2 as a special case</w:t>
      </w:r>
    </w:p>
    <w:p>
      <w:pPr>
        <w:spacing w:before="0" w:after="120" w:line="259" w:lineRule="auto"/>
        <w:ind w:firstLine="317"/>
      </w:pPr>
      <w:r>
        <w:rPr>
          <w:rFonts w:ascii="Liberation Serif" w:hAnsi="Liberation Serif" w:eastAsia="Liberation Serif"/>
          <w:i w:val="0"/>
          <w:sz w:val="22"/>
        </w:rPr>
        <w:t>If the accessible pre-output record has the same law under b_L and b_R, then τ_u=0. In particular, if the estimate is computed only from u and the published model, without any branch-dependent signal, Theorem 2 gives</w:t>
      </w:r>
    </w:p>
    <w:p>
      <w:pPr>
        <w:spacing w:before="40" w:after="100" w:line="240" w:lineRule="auto"/>
        <w:jc w:val="center"/>
      </w:pPr>
      <w:r>
        <w:rPr>
          <w:rFonts w:ascii="Noto Sans Math" w:hAnsi="Noto Sans Math" w:eastAsia="Noto Sans Math"/>
          <w:sz w:val="21"/>
        </w:rPr>
        <w:t>R_S≥Δ_S/2,   R_D≥Δ_D/2,   R_R≥||K||/2,</w:t>
      </w:r>
    </w:p>
    <w:p>
      <w:pPr>
        <w:spacing w:before="0" w:after="120" w:line="259" w:lineRule="auto"/>
        <w:ind w:firstLine="317"/>
      </w:pPr>
      <w:r>
        <w:rPr>
          <w:rFonts w:ascii="Liberation Serif" w:hAnsi="Liberation Serif" w:eastAsia="Liberation Serif"/>
          <w:i w:val="0"/>
          <w:sz w:val="22"/>
        </w:rPr>
        <w:t>exactly reproducing the canonical deterministic coefficients. If τ_u=1, the branches are perfectly distinguishable from the authorized data and the additional information-theoretic lower bound vanishes. This is not a contradiction of PN.2 but a different information regime.</w:t>
      </w:r>
    </w:p>
    <w:p>
      <w:pPr>
        <w:pStyle w:val="Heading1"/>
        <w:keepNext/>
        <w:spacing w:before="200" w:after="100" w:line="240" w:lineRule="auto"/>
      </w:pPr>
      <w:r>
        <w:rPr>
          <w:rFonts w:ascii="Liberation Sans" w:hAnsi="Liberation Sans" w:eastAsia="Liberation Sans"/>
          <w:b/>
          <w:color w:val="264653"/>
          <w:sz w:val="26"/>
        </w:rPr>
        <w:t>7. Illustrative partially hidden channel</w:t>
      </w:r>
    </w:p>
    <w:p>
      <w:pPr>
        <w:spacing w:before="0" w:after="120" w:line="259" w:lineRule="auto"/>
        <w:ind w:firstLine="317"/>
      </w:pPr>
      <w:r>
        <w:rPr>
          <w:rFonts w:ascii="Liberation Serif" w:hAnsi="Liberation Serif" w:eastAsia="Liberation Serif"/>
          <w:i w:val="0"/>
          <w:sz w:val="22"/>
        </w:rPr>
        <w:t>Consider a purely statistical example with no claim of being a physical realization of R⋆R. Encode the hidden branch as b∈{-1,+1}. The estimator observes a binary indicator Z that equals the true branch with probability 1-p and is flipped with probability p, where 0≤p≤1/2.</w:t>
      </w:r>
    </w:p>
    <w:p>
      <w:pPr>
        <w:spacing w:before="40" w:after="100" w:line="240" w:lineRule="auto"/>
        <w:jc w:val="center"/>
      </w:pPr>
      <w:r>
        <w:rPr>
          <w:rFonts w:ascii="Noto Sans Math" w:hAnsi="Noto Sans Math" w:eastAsia="Noto Sans Math"/>
          <w:sz w:val="21"/>
        </w:rPr>
        <w:t>P(Z=b|b)=1-p,        P(Z=-b|b)=p.</w:t>
      </w:r>
    </w:p>
    <w:p>
      <w:pPr>
        <w:spacing w:before="0" w:after="120" w:line="259" w:lineRule="auto"/>
        <w:ind w:firstLine="317"/>
      </w:pPr>
      <w:r>
        <w:rPr>
          <w:rFonts w:ascii="Liberation Serif" w:hAnsi="Liberation Serif" w:eastAsia="Liberation Serif"/>
          <w:i w:val="0"/>
          <w:sz w:val="22"/>
        </w:rPr>
        <w:t>For the two resulting Bernoulli laws on {−1,+1},</w:t>
      </w:r>
    </w:p>
    <w:p>
      <w:pPr>
        <w:spacing w:before="40" w:after="100" w:line="240" w:lineRule="auto"/>
        <w:jc w:val="center"/>
      </w:pPr>
      <w:r>
        <w:rPr>
          <w:rFonts w:ascii="Noto Sans Math" w:hAnsi="Noto Sans Math" w:eastAsia="Noto Sans Math"/>
          <w:sz w:val="21"/>
        </w:rPr>
        <w:t>τ = TV(P_L,P_R)=1-2p,        1-τ=2p.</w:t>
      </w:r>
    </w:p>
    <w:p>
      <w:pPr>
        <w:spacing w:before="0" w:after="120" w:line="259" w:lineRule="auto"/>
        <w:ind w:firstLine="317"/>
      </w:pPr>
      <w:r>
        <w:rPr>
          <w:rFonts w:ascii="Liberation Serif" w:hAnsi="Liberation Serif" w:eastAsia="Liberation Serif"/>
          <w:i w:val="0"/>
          <w:sz w:val="22"/>
        </w:rPr>
        <w:t>Therefore</w:t>
      </w:r>
    </w:p>
    <w:p>
      <w:pPr>
        <w:spacing w:before="40" w:after="100" w:line="240" w:lineRule="auto"/>
        <w:jc w:val="center"/>
      </w:pPr>
      <w:r>
        <w:rPr>
          <w:rFonts w:ascii="Noto Sans Math" w:hAnsi="Noto Sans Math" w:eastAsia="Noto Sans Math"/>
          <w:sz w:val="21"/>
        </w:rPr>
        <w:t>R_S R_D ≥ p² Δ_S Δ_D,</w:t>
      </w:r>
    </w:p>
    <w:p>
      <w:pPr>
        <w:spacing w:before="40" w:after="100" w:line="240" w:lineRule="auto"/>
        <w:jc w:val="center"/>
      </w:pPr>
      <w:r>
        <w:rPr>
          <w:rFonts w:ascii="Noto Sans Math" w:hAnsi="Noto Sans Math" w:eastAsia="Noto Sans Math"/>
          <w:sz w:val="21"/>
        </w:rPr>
        <w:t>R_R R_D ≥ p² ||K|| Δ_D.</w:t>
      </w:r>
    </w:p>
    <w:p>
      <w:pPr>
        <w:spacing w:before="0" w:after="120" w:line="259" w:lineRule="auto"/>
        <w:ind w:firstLine="317"/>
      </w:pPr>
      <w:r>
        <w:rPr>
          <w:rFonts w:ascii="Liberation Serif" w:hAnsi="Liberation Serif" w:eastAsia="Liberation Serif"/>
          <w:i w:val="0"/>
          <w:sz w:val="22"/>
        </w:rPr>
        <w:t>At p=1/2 the indicator is independent of b, τ=0, and the canonical coefficient 1/4 is recovered. At p=0 the indicator reveals the branch without error, τ=1, and the information bound vanishes. The example shows why the degree of hiding belongs in the experimental passport rather than remaining an implicit verbal assumption.</w:t>
      </w:r>
    </w:p>
    <w:p>
      <w:pPr>
        <w:pStyle w:val="Heading1"/>
        <w:keepNext/>
        <w:spacing w:before="200" w:after="100" w:line="240" w:lineRule="auto"/>
      </w:pPr>
      <w:r>
        <w:rPr>
          <w:rFonts w:ascii="Liberation Sans" w:hAnsi="Liberation Sans" w:eastAsia="Liberation Sans"/>
          <w:b/>
          <w:color w:val="264653"/>
          <w:sz w:val="26"/>
        </w:rPr>
        <w:t>8. Metrological bridge: what e_S and e_D measure</w:t>
      </w:r>
    </w:p>
    <w:p>
      <w:pPr>
        <w:pStyle w:val="Heading2"/>
        <w:keepNext/>
        <w:spacing w:before="140" w:after="100" w:line="240" w:lineRule="auto"/>
      </w:pPr>
      <w:r>
        <w:rPr>
          <w:rFonts w:ascii="Liberation Sans" w:hAnsi="Liberation Sans" w:eastAsia="Liberation Sans"/>
          <w:b/>
          <w:color w:val="264653"/>
          <w:sz w:val="23"/>
        </w:rPr>
        <w:t>8.1. Reconstruction error is not measurement uncertainty</w:t>
      </w:r>
    </w:p>
    <w:p>
      <w:pPr>
        <w:spacing w:before="0" w:after="120" w:line="259" w:lineRule="auto"/>
        <w:ind w:firstLine="317"/>
      </w:pPr>
      <w:r>
        <w:rPr>
          <w:rFonts w:ascii="Liberation Serif" w:hAnsi="Liberation Serif" w:eastAsia="Liberation Serif"/>
          <w:i w:val="0"/>
          <w:sz w:val="22"/>
        </w:rPr>
        <w:t>Under VIM terminology, measurement error and measurement uncertainty are distinct concepts. In the present model e_S,e_D,e_R and their statistical analogues R_S,R_D,R_R are first of all reconstruction errors of mathematical targets under a hidden structural alternative. They are not automatically standard uncertainties, instrument variances, or quantum measurement noises.</w:t>
      </w:r>
    </w:p>
    <w:p>
      <w:pPr>
        <w:spacing w:before="0" w:after="120" w:line="259" w:lineRule="auto"/>
        <w:ind w:firstLine="317"/>
      </w:pPr>
      <w:r>
        <w:rPr>
          <w:rFonts w:ascii="Liberation Serif" w:hAnsi="Liberation Serif" w:eastAsia="Liberation Serif"/>
          <w:i w:val="0"/>
          <w:sz w:val="22"/>
        </w:rPr>
        <w:t>A physical measurement requires a measurand Q, a measurement model, a unit, a calibration procedure, a reference value, and an uncertainty budget that accounts for all relevant sources in the GUM sense.</w:t>
      </w:r>
    </w:p>
    <w:p>
      <w:pPr>
        <w:pStyle w:val="Heading2"/>
        <w:keepNext/>
        <w:spacing w:before="140" w:after="100" w:line="240" w:lineRule="auto"/>
      </w:pPr>
      <w:r>
        <w:rPr>
          <w:rFonts w:ascii="Liberation Sans" w:hAnsi="Liberation Sans" w:eastAsia="Liberation Sans"/>
          <w:b/>
          <w:color w:val="264653"/>
          <w:sz w:val="23"/>
        </w:rPr>
        <w:t>8.2. Calibration map</w:t>
      </w:r>
    </w:p>
    <w:p>
      <w:pPr>
        <w:spacing w:before="0" w:after="120" w:line="259" w:lineRule="auto"/>
        <w:ind w:firstLine="317"/>
      </w:pPr>
      <w:r>
        <w:rPr>
          <w:rFonts w:ascii="Liberation Serif" w:hAnsi="Liberation Serif" w:eastAsia="Liberation Serif"/>
          <w:i w:val="0"/>
          <w:sz w:val="22"/>
        </w:rPr>
        <w:t>Let a mathematical target s be mapped to a physical quantity by C_S. Define the structural component of physical error by</w:t>
      </w:r>
    </w:p>
    <w:p>
      <w:pPr>
        <w:spacing w:before="40" w:after="100" w:line="240" w:lineRule="auto"/>
        <w:jc w:val="center"/>
      </w:pPr>
      <w:r>
        <w:rPr>
          <w:rFonts w:ascii="Noto Sans Math" w:hAnsi="Noto Sans Math" w:eastAsia="Noto Sans Math"/>
          <w:sz w:val="21"/>
        </w:rPr>
        <w:t>E_QS^str = C_S(ŝ)-C_S(s_b).</w:t>
      </w:r>
    </w:p>
    <w:p>
      <w:pPr>
        <w:spacing w:before="0" w:after="120" w:line="259" w:lineRule="auto"/>
        <w:ind w:firstLine="317"/>
      </w:pPr>
      <w:r>
        <w:rPr>
          <w:rFonts w:ascii="Liberation Serif" w:hAnsi="Liberation Serif" w:eastAsia="Liberation Serif"/>
          <w:i w:val="0"/>
          <w:sz w:val="22"/>
        </w:rPr>
        <w:t>For a linear calibration C_S(s)=a_S s+c_S,</w:t>
      </w:r>
    </w:p>
    <w:p>
      <w:pPr>
        <w:spacing w:before="40" w:after="100" w:line="240" w:lineRule="auto"/>
        <w:jc w:val="center"/>
      </w:pPr>
      <w:r>
        <w:rPr>
          <w:rFonts w:ascii="Noto Sans Math" w:hAnsi="Noto Sans Math" w:eastAsia="Noto Sans Math"/>
          <w:sz w:val="21"/>
        </w:rPr>
        <w:t>|E_QS^str|=|a_S|·|ŝ-s_b|.</w:t>
      </w:r>
    </w:p>
    <w:p>
      <w:pPr>
        <w:spacing w:before="0" w:after="120" w:line="259" w:lineRule="auto"/>
        <w:ind w:firstLine="317"/>
      </w:pPr>
      <w:r>
        <w:rPr>
          <w:rFonts w:ascii="Liberation Serif" w:hAnsi="Liberation Serif" w:eastAsia="Liberation Serif"/>
          <w:i w:val="0"/>
          <w:sz w:val="22"/>
        </w:rPr>
        <w:t>Thus the structural minimax component in physical units scales by |a_S|. For nonlinear calibration, transfer of a lower bound requires a verified lower Lipschitz condition |C_S(s)-C_S(s′)|≥α_S|s-s′| over the operating range. Nonlinearity alone does not justify carrying the mathematical bound into physical units.</w:t>
      </w:r>
    </w:p>
    <w:p>
      <w:pPr>
        <w:spacing w:before="0" w:after="120" w:line="259" w:lineRule="auto"/>
        <w:ind w:firstLine="317"/>
      </w:pPr>
      <w:r>
        <w:rPr>
          <w:rFonts w:ascii="Liberation Serif" w:hAnsi="Liberation Serif" w:eastAsia="Liberation Serif"/>
          <w:i w:val="0"/>
          <w:sz w:val="22"/>
        </w:rPr>
        <w:t>The total metrological error may contain additional instrument, calibration, and reference components. They cannot be mechanically added to e_S because correlations and cancellations may occur; their treatment belongs to the separate GUM measurement model.</w:t>
      </w:r>
    </w:p>
    <w:p>
      <w:pPr>
        <w:pStyle w:val="Heading2"/>
        <w:keepNext/>
        <w:spacing w:before="140" w:after="100" w:line="240" w:lineRule="auto"/>
      </w:pPr>
      <w:r>
        <w:rPr>
          <w:rFonts w:ascii="Liberation Sans" w:hAnsi="Liberation Sans" w:eastAsia="Liberation Sans"/>
          <w:b/>
          <w:color w:val="264653"/>
          <w:sz w:val="23"/>
        </w:rPr>
        <w:t>8.3. Special status of 𝔇</w:t>
      </w:r>
    </w:p>
    <w:p>
      <w:pPr>
        <w:spacing w:before="0" w:after="120" w:line="259" w:lineRule="auto"/>
        <w:ind w:firstLine="317"/>
      </w:pPr>
      <w:r>
        <w:rPr>
          <w:rFonts w:ascii="Liberation Serif" w:hAnsi="Liberation Serif" w:eastAsia="Liberation Serif"/>
          <w:i w:val="0"/>
          <w:sz w:val="22"/>
        </w:rPr>
        <w:t>The restriction is even stronger for 𝔇. While 𝔇 is merely a protocol coordinate, e_D has the unit of that coordinate and is not an error in a physical dimension of space, time, or any other physical quantity. A physical bridge requires an explicit measurand Q_D and a calibration C_D:𝔇→Q_D with justified units, traceability, and a reference procedure. Until then, “experimental e_D” means only reconstruction error of the structural coordinate.</w:t>
      </w:r>
    </w:p>
    <w:p>
      <w:pPr>
        <w:pStyle w:val="Heading1"/>
        <w:keepNext/>
        <w:spacing w:before="200" w:after="100" w:line="240" w:lineRule="auto"/>
      </w:pPr>
      <w:r>
        <w:rPr>
          <w:rFonts w:ascii="Liberation Sans" w:hAnsi="Liberation Sans" w:eastAsia="Liberation Sans"/>
          <w:b/>
          <w:color w:val="264653"/>
          <w:sz w:val="26"/>
        </w:rPr>
        <w:t>9. Three levels of status</w:t>
      </w:r>
    </w:p>
    <w:tbl>
      <w:tblPr>
        <w:tblW w:type="auto" w:w="0"/>
        <w:jc w:val="center"/>
        <w:tblLayout w:type="fixed"/>
        <w:tblLook w:firstColumn="1" w:firstRow="1" w:lastColumn="0" w:lastRow="0" w:noHBand="0" w:noVBand="1" w:val="04A0"/>
        <w:tblBorders>
          <w:top w:val="single" w:sz="4" w:space="0" w:color="AAB7C4"/>
          <w:left w:val="single" w:sz="4" w:space="0" w:color="AAB7C4"/>
          <w:bottom w:val="single" w:sz="4" w:space="0" w:color="AAB7C4"/>
          <w:right w:val="single" w:sz="4" w:space="0" w:color="AAB7C4"/>
          <w:insideH w:val="single" w:sz="4" w:space="0" w:color="AAB7C4"/>
          <w:insideV w:val="single" w:sz="4" w:space="0" w:color="AAB7C4"/>
        </w:tblBorders>
      </w:tblPr>
      <w:tblGrid>
        <w:gridCol w:w="2469"/>
        <w:gridCol w:w="2469"/>
        <w:gridCol w:w="2469"/>
        <w:gridCol w:w="2469"/>
      </w:tblGrid>
      <w:tr>
        <w:trPr>
          <w:tblHeader w:val="true"/>
        </w:trPr>
        <w:tc>
          <w:tcPr>
            <w:tcW w:type="dxa" w:w="1800"/>
            <w:shd w:fill="DDE6EE"/>
            <w:tcMar>
              <w:top w:w="100" w:type="dxa"/>
              <w:start w:w="120" w:type="dxa"/>
              <w:bottom w:w="100" w:type="dxa"/>
              <w:end w:w="120" w:type="dxa"/>
            </w:tcMar>
            <w:vAlign w:val="center"/>
          </w:tcPr>
          <w:p>
            <w:pPr>
              <w:spacing w:before="0" w:after="0" w:line="240" w:lineRule="auto"/>
              <w:jc w:val="center"/>
            </w:pPr>
            <w:r>
              <w:rPr>
                <w:rFonts w:ascii="Liberation Sans" w:hAnsi="Liberation Sans" w:eastAsia="Liberation Sans"/>
                <w:b/>
                <w:sz w:val="19"/>
              </w:rPr>
              <w:t>Level</w:t>
            </w:r>
          </w:p>
        </w:tc>
        <w:tc>
          <w:tcPr>
            <w:tcW w:type="dxa" w:w="2232"/>
            <w:shd w:fill="DDE6EE"/>
            <w:tcMar>
              <w:top w:w="100" w:type="dxa"/>
              <w:start w:w="120" w:type="dxa"/>
              <w:bottom w:w="100" w:type="dxa"/>
              <w:end w:w="120" w:type="dxa"/>
            </w:tcMar>
            <w:vAlign w:val="center"/>
          </w:tcPr>
          <w:p>
            <w:pPr>
              <w:spacing w:before="0" w:after="0" w:line="240" w:lineRule="auto"/>
              <w:jc w:val="center"/>
            </w:pPr>
            <w:r>
              <w:rPr>
                <w:rFonts w:ascii="Liberation Sans" w:hAnsi="Liberation Sans" w:eastAsia="Liberation Sans"/>
                <w:b/>
                <w:sz w:val="19"/>
              </w:rPr>
              <w:t>Error object</w:t>
            </w:r>
          </w:p>
        </w:tc>
        <w:tc>
          <w:tcPr>
            <w:tcW w:type="dxa" w:w="2952"/>
            <w:shd w:fill="DDE6EE"/>
            <w:tcMar>
              <w:top w:w="100" w:type="dxa"/>
              <w:start w:w="120" w:type="dxa"/>
              <w:bottom w:w="100" w:type="dxa"/>
              <w:end w:w="120" w:type="dxa"/>
            </w:tcMar>
            <w:vAlign w:val="center"/>
          </w:tcPr>
          <w:p>
            <w:pPr>
              <w:spacing w:before="0" w:after="0" w:line="240" w:lineRule="auto"/>
              <w:jc w:val="center"/>
            </w:pPr>
            <w:r>
              <w:rPr>
                <w:rFonts w:ascii="Liberation Sans" w:hAnsi="Liberation Sans" w:eastAsia="Liberation Sans"/>
                <w:b/>
                <w:sz w:val="19"/>
              </w:rPr>
              <w:t>Information</w:t>
            </w:r>
          </w:p>
        </w:tc>
        <w:tc>
          <w:tcPr>
            <w:tcW w:type="dxa" w:w="2520"/>
            <w:shd w:fill="DDE6EE"/>
            <w:tcMar>
              <w:top w:w="100" w:type="dxa"/>
              <w:start w:w="120" w:type="dxa"/>
              <w:bottom w:w="100" w:type="dxa"/>
              <w:end w:w="120" w:type="dxa"/>
            </w:tcMar>
            <w:vAlign w:val="center"/>
          </w:tcPr>
          <w:p>
            <w:pPr>
              <w:spacing w:before="0" w:after="0" w:line="240" w:lineRule="auto"/>
              <w:jc w:val="center"/>
            </w:pPr>
            <w:r>
              <w:rPr>
                <w:rFonts w:ascii="Liberation Sans" w:hAnsi="Liberation Sans" w:eastAsia="Liberation Sans"/>
                <w:b/>
                <w:sz w:val="19"/>
              </w:rPr>
              <w:t>Status</w:t>
            </w:r>
          </w:p>
        </w:tc>
      </w:tr>
      <w:tr>
        <w:tc>
          <w:tcPr>
            <w:tcW w:type="dxa" w:w="1800"/>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Abstract PN.2</w:t>
            </w:r>
          </w:p>
        </w:tc>
        <w:tc>
          <w:tcPr>
            <w:tcW w:type="dxa" w:w="2232"/>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e_S, e_D, e_R</w:t>
            </w:r>
          </w:p>
        </w:tc>
        <w:tc>
          <w:tcPr>
            <w:tcW w:type="dxa" w:w="295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one estimate without b</w:t>
            </w:r>
          </w:p>
        </w:tc>
        <w:tc>
          <w:tcPr>
            <w:tcW w:type="dxa" w:w="252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proved mathematical theorem</w:t>
            </w:r>
          </w:p>
        </w:tc>
      </w:tr>
      <w:tr>
        <w:tc>
          <w:tcPr>
            <w:tcW w:type="dxa" w:w="1800"/>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Measurement PN.2</w:t>
            </w:r>
          </w:p>
        </w:tc>
        <w:tc>
          <w:tcPr>
            <w:tcW w:type="dxa" w:w="2232"/>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R_S, R_D, R_R, τ_u</w:t>
            </w:r>
          </w:p>
        </w:tc>
        <w:tc>
          <w:tcPr>
            <w:tcW w:type="dxa" w:w="295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pre-unblinding σ-algebra 𝒢</w:t>
            </w:r>
          </w:p>
        </w:tc>
        <w:tc>
          <w:tcPr>
            <w:tcW w:type="dxa" w:w="252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proved theorem for a statistical experiment</w:t>
            </w:r>
          </w:p>
        </w:tc>
      </w:tr>
      <w:tr>
        <w:tc>
          <w:tcPr>
            <w:tcW w:type="dxa" w:w="180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Physical realization</w:t>
            </w:r>
          </w:p>
        </w:tc>
        <w:tc>
          <w:tcPr>
            <w:tcW w:type="dxa" w:w="223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error/uncertainty of a concrete measurand</w:t>
            </w:r>
          </w:p>
        </w:tc>
        <w:tc>
          <w:tcPr>
            <w:tcW w:type="dxa" w:w="295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real instrument, calibration, units</w:t>
            </w:r>
          </w:p>
        </w:tc>
        <w:tc>
          <w:tcPr>
            <w:tcW w:type="dxa" w:w="2520"/>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open operationalization and experiment</w:t>
            </w:r>
          </w:p>
        </w:tc>
      </w:tr>
    </w:tbl>
    <w:p>
      <w:pPr>
        <w:spacing w:after="40"/>
      </w:pPr>
    </w:p>
    <w:p>
      <w:pPr>
        <w:spacing w:before="0" w:after="120" w:line="259" w:lineRule="auto"/>
        <w:ind w:firstLine="317"/>
      </w:pPr>
      <w:r>
        <w:rPr>
          <w:rFonts w:ascii="Liberation Serif" w:hAnsi="Liberation Serif" w:eastAsia="Liberation Serif"/>
          <w:i w:val="0"/>
          <w:sz w:val="22"/>
        </w:rPr>
        <w:t>This separation prevents status inflation: mathematical closure of PO-6-MATH is not experimental confirmation of PN.2 as a physical law.</w:t>
      </w:r>
    </w:p>
    <w:p>
      <w:pPr>
        <w:pStyle w:val="Heading1"/>
        <w:keepNext/>
        <w:spacing w:before="200" w:after="100" w:line="240" w:lineRule="auto"/>
      </w:pPr>
      <w:r>
        <w:rPr>
          <w:rFonts w:ascii="Liberation Sans" w:hAnsi="Liberation Sans" w:eastAsia="Liberation Sans"/>
          <w:b/>
          <w:color w:val="264653"/>
          <w:sz w:val="26"/>
        </w:rPr>
        <w:t>10. Relation to quantum uncertainty relations</w:t>
      </w:r>
    </w:p>
    <w:p>
      <w:pPr>
        <w:spacing w:before="0" w:after="120" w:line="259" w:lineRule="auto"/>
        <w:ind w:firstLine="317"/>
      </w:pPr>
      <w:r>
        <w:rPr>
          <w:rFonts w:ascii="Liberation Serif" w:hAnsi="Liberation Serif" w:eastAsia="Liberation Serif"/>
          <w:i w:val="0"/>
          <w:sz w:val="22"/>
        </w:rPr>
        <w:t>The Robertson–Schrödinger relation constrains the product of dispersions of quantum observables in a state under operator and domain assumptions. Ozawa-type relations concern measurement noise and disturbance in a quantum measurement process. Theorem 2 concerns a different mathematical task: estimation under two hidden structural alternatives with restricted information.</w:t>
      </w:r>
    </w:p>
    <w:p>
      <w:pPr>
        <w:spacing w:before="0" w:after="120" w:line="259" w:lineRule="auto"/>
        <w:ind w:firstLine="317"/>
      </w:pPr>
      <w:r>
        <w:rPr>
          <w:rFonts w:ascii="Liberation Serif" w:hAnsi="Liberation Serif" w:eastAsia="Liberation Serif"/>
          <w:i w:val="0"/>
          <w:sz w:val="22"/>
        </w:rPr>
        <w:t>A shared lower-bound motif does not establish equivalence. Deriving PN.1 from PN.2 would require a separate Hilbert-space representation, self-adjoint operators, domain control, physical calibration, and an experimental protocol. None of these bridges is asserted by the present paper.</w:t>
      </w:r>
    </w:p>
    <w:p>
      <w:pPr>
        <w:pStyle w:val="Heading1"/>
        <w:keepNext/>
        <w:spacing w:before="200" w:after="100" w:line="240" w:lineRule="auto"/>
      </w:pPr>
      <w:r>
        <w:rPr>
          <w:rFonts w:ascii="Liberation Sans" w:hAnsi="Liberation Sans" w:eastAsia="Liberation Sans"/>
          <w:b/>
          <w:color w:val="264653"/>
          <w:sz w:val="26"/>
        </w:rPr>
        <w:t>11. Status of proof obligation PO-6</w:t>
      </w:r>
    </w:p>
    <w:tbl>
      <w:tblPr>
        <w:tblW w:type="auto" w:w="0"/>
        <w:jc w:val="center"/>
        <w:tblLayout w:type="fixed"/>
        <w:tblLook w:firstColumn="1" w:firstRow="1" w:lastColumn="0" w:lastRow="0" w:noHBand="0" w:noVBand="1" w:val="04A0"/>
        <w:tblBorders>
          <w:top w:val="single" w:sz="4" w:space="0" w:color="AAB7C4"/>
          <w:left w:val="single" w:sz="4" w:space="0" w:color="AAB7C4"/>
          <w:bottom w:val="single" w:sz="4" w:space="0" w:color="AAB7C4"/>
          <w:right w:val="single" w:sz="4" w:space="0" w:color="AAB7C4"/>
          <w:insideH w:val="single" w:sz="4" w:space="0" w:color="AAB7C4"/>
          <w:insideV w:val="single" w:sz="4" w:space="0" w:color="AAB7C4"/>
        </w:tblBorders>
      </w:tblPr>
      <w:tblGrid>
        <w:gridCol w:w="3293"/>
        <w:gridCol w:w="3293"/>
        <w:gridCol w:w="3293"/>
      </w:tblGrid>
      <w:tr>
        <w:trPr>
          <w:tblHeader w:val="true"/>
        </w:trPr>
        <w:tc>
          <w:tcPr>
            <w:tcW w:type="dxa" w:w="1656"/>
            <w:shd w:fill="DDE6EE"/>
            <w:tcMar>
              <w:top w:w="100" w:type="dxa"/>
              <w:start w:w="120" w:type="dxa"/>
              <w:bottom w:w="100" w:type="dxa"/>
              <w:end w:w="120" w:type="dxa"/>
            </w:tcMar>
            <w:vAlign w:val="center"/>
          </w:tcPr>
          <w:p>
            <w:pPr>
              <w:spacing w:before="0" w:after="0" w:line="240" w:lineRule="auto"/>
              <w:jc w:val="center"/>
            </w:pPr>
            <w:r>
              <w:rPr>
                <w:rFonts w:ascii="Liberation Sans" w:hAnsi="Liberation Sans" w:eastAsia="Liberation Sans"/>
                <w:b/>
                <w:sz w:val="19"/>
              </w:rPr>
              <w:t>Sub-obligation</w:t>
            </w:r>
          </w:p>
        </w:tc>
        <w:tc>
          <w:tcPr>
            <w:tcW w:type="dxa" w:w="5832"/>
            <w:shd w:fill="DDE6EE"/>
            <w:tcMar>
              <w:top w:w="100" w:type="dxa"/>
              <w:start w:w="120" w:type="dxa"/>
              <w:bottom w:w="100" w:type="dxa"/>
              <w:end w:w="120" w:type="dxa"/>
            </w:tcMar>
            <w:vAlign w:val="center"/>
          </w:tcPr>
          <w:p>
            <w:pPr>
              <w:spacing w:before="0" w:after="0" w:line="240" w:lineRule="auto"/>
              <w:jc w:val="center"/>
            </w:pPr>
            <w:r>
              <w:rPr>
                <w:rFonts w:ascii="Liberation Sans" w:hAnsi="Liberation Sans" w:eastAsia="Liberation Sans"/>
                <w:b/>
                <w:sz w:val="19"/>
              </w:rPr>
              <w:t>Result</w:t>
            </w:r>
          </w:p>
        </w:tc>
        <w:tc>
          <w:tcPr>
            <w:tcW w:type="dxa" w:w="2016"/>
            <w:shd w:fill="DDE6EE"/>
            <w:tcMar>
              <w:top w:w="100" w:type="dxa"/>
              <w:start w:w="120" w:type="dxa"/>
              <w:bottom w:w="100" w:type="dxa"/>
              <w:end w:w="120" w:type="dxa"/>
            </w:tcMar>
            <w:vAlign w:val="center"/>
          </w:tcPr>
          <w:p>
            <w:pPr>
              <w:spacing w:before="0" w:after="0" w:line="240" w:lineRule="auto"/>
              <w:jc w:val="center"/>
            </w:pPr>
            <w:r>
              <w:rPr>
                <w:rFonts w:ascii="Liberation Sans" w:hAnsi="Liberation Sans" w:eastAsia="Liberation Sans"/>
                <w:b/>
                <w:sz w:val="19"/>
              </w:rPr>
              <w:t>Status</w:t>
            </w:r>
          </w:p>
        </w:tc>
      </w:tr>
      <w:tr>
        <w:tc>
          <w:tcPr>
            <w:tcW w:type="dxa" w:w="165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PO-6.1</w:t>
            </w:r>
          </w:p>
        </w:tc>
        <w:tc>
          <w:tcPr>
            <w:tcW w:type="dxa" w:w="583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full record and accessible σ-algebra 𝒢 defined</w:t>
            </w:r>
          </w:p>
        </w:tc>
        <w:tc>
          <w:tcPr>
            <w:tcW w:type="dxa" w:w="201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CLOSED-MATH</w:t>
            </w:r>
          </w:p>
        </w:tc>
      </w:tr>
      <w:tr>
        <w:tc>
          <w:tcPr>
            <w:tcW w:type="dxa" w:w="165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PO-6.2</w:t>
            </w:r>
          </w:p>
        </w:tc>
        <w:tc>
          <w:tcPr>
            <w:tcW w:type="dxa" w:w="583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quantitative hiding τ_u formalized</w:t>
            </w:r>
          </w:p>
        </w:tc>
        <w:tc>
          <w:tcPr>
            <w:tcW w:type="dxa" w:w="201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CLOSED-MATH</w:t>
            </w:r>
          </w:p>
        </w:tc>
      </w:tr>
      <w:tr>
        <w:tc>
          <w:tcPr>
            <w:tcW w:type="dxa" w:w="165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PO-6.3</w:t>
            </w:r>
          </w:p>
        </w:tc>
        <w:tc>
          <w:tcPr>
            <w:tcW w:type="dxa" w:w="583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class of admissible pre-unblinding estimators defined</w:t>
            </w:r>
          </w:p>
        </w:tc>
        <w:tc>
          <w:tcPr>
            <w:tcW w:type="dxa" w:w="201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CLOSED-MATH</w:t>
            </w:r>
          </w:p>
        </w:tc>
      </w:tr>
      <w:tr>
        <w:tc>
          <w:tcPr>
            <w:tcW w:type="dxa" w:w="165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PO-6.4</w:t>
            </w:r>
          </w:p>
        </w:tc>
        <w:tc>
          <w:tcPr>
            <w:tcW w:type="dxa" w:w="583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PN.2-M-S, PN.2-M-R, PN.2-M-K proved</w:t>
            </w:r>
          </w:p>
        </w:tc>
        <w:tc>
          <w:tcPr>
            <w:tcW w:type="dxa" w:w="201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CLOSED-MATH</w:t>
            </w:r>
          </w:p>
        </w:tc>
      </w:tr>
      <w:tr>
        <w:tc>
          <w:tcPr>
            <w:tcW w:type="dxa" w:w="165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PO-6.5</w:t>
            </w:r>
          </w:p>
        </w:tc>
        <w:tc>
          <w:tcPr>
            <w:tcW w:type="dxa" w:w="583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type of a valid calibration bridge specified</w:t>
            </w:r>
          </w:p>
        </w:tc>
        <w:tc>
          <w:tcPr>
            <w:tcW w:type="dxa" w:w="201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FORMALIZED</w:t>
            </w:r>
          </w:p>
        </w:tc>
      </w:tr>
      <w:tr>
        <w:tc>
          <w:tcPr>
            <w:tcW w:type="dxa" w:w="165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PO-6.6</w:t>
            </w:r>
          </w:p>
        </w:tc>
        <w:tc>
          <w:tcPr>
            <w:tcW w:type="dxa" w:w="583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concrete C_S,C_D, units and references for R⋆R</w:t>
            </w:r>
          </w:p>
        </w:tc>
        <w:tc>
          <w:tcPr>
            <w:tcW w:type="dxa" w:w="201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OPEN-PHYS/METRO</w:t>
            </w:r>
          </w:p>
        </w:tc>
      </w:tr>
      <w:tr>
        <w:tc>
          <w:tcPr>
            <w:tcW w:type="dxa" w:w="165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PO-6.7</w:t>
            </w:r>
          </w:p>
        </w:tc>
        <w:tc>
          <w:tcPr>
            <w:tcW w:type="dxa" w:w="5832"/>
            <w:tcMar>
              <w:top w:w="100" w:type="dxa"/>
              <w:start w:w="120" w:type="dxa"/>
              <w:bottom w:w="100" w:type="dxa"/>
              <w:end w:w="120" w:type="dxa"/>
            </w:tcMar>
            <w:vAlign w:val="center"/>
          </w:tcPr>
          <w:p>
            <w:pPr>
              <w:spacing w:before="0" w:after="0" w:line="240" w:lineRule="auto"/>
              <w:jc w:val="left"/>
            </w:pPr>
            <w:r>
              <w:rPr>
                <w:rFonts w:ascii="Liberation Serif" w:hAnsi="Liberation Serif" w:eastAsia="Liberation Serif"/>
                <w:sz w:val="18"/>
              </w:rPr>
              <w:t>independent blinded experiment and estimate of τ_u</w:t>
            </w:r>
          </w:p>
        </w:tc>
        <w:tc>
          <w:tcPr>
            <w:tcW w:type="dxa" w:w="2016"/>
            <w:tcMar>
              <w:top w:w="100" w:type="dxa"/>
              <w:start w:w="120" w:type="dxa"/>
              <w:bottom w:w="100" w:type="dxa"/>
              <w:end w:w="120" w:type="dxa"/>
            </w:tcMar>
            <w:vAlign w:val="center"/>
          </w:tcPr>
          <w:p>
            <w:pPr>
              <w:spacing w:before="0" w:after="0" w:line="240" w:lineRule="auto"/>
              <w:jc w:val="center"/>
            </w:pPr>
            <w:r>
              <w:rPr>
                <w:rFonts w:ascii="Liberation Serif" w:hAnsi="Liberation Serif" w:eastAsia="Liberation Serif"/>
                <w:sz w:val="18"/>
              </w:rPr>
              <w:t>OPEN-EXT</w:t>
            </w:r>
          </w:p>
        </w:tc>
      </w:tr>
    </w:tbl>
    <w:p>
      <w:pPr>
        <w:spacing w:after="40"/>
      </w:pPr>
    </w:p>
    <w:tbl>
      <w:tblPr>
        <w:tblW w:type="auto" w:w="0"/>
        <w:jc w:val="center"/>
        <w:tblLook w:firstColumn="1" w:firstRow="1" w:lastColumn="0" w:lastRow="0" w:noHBand="0" w:noVBand="1" w:val="04A0"/>
        <w:tblBorders>
          <w:top w:val="nil"/>
          <w:left w:val="nil"/>
          <w:bottom w:val="nil"/>
          <w:right w:val="nil"/>
          <w:insideH w:val="nil"/>
          <w:insideV w:val="nil"/>
        </w:tblBorders>
      </w:tblPr>
      <w:tblGrid>
        <w:gridCol w:w="9878"/>
      </w:tblGrid>
      <w:tr>
        <w:trPr>
          <w:cantSplit/>
        </w:trPr>
        <w:tc>
          <w:tcPr>
            <w:tcW w:type="dxa" w:w="9878"/>
            <w:shd w:fill="EEF3F7"/>
            <w:tcMar>
              <w:top w:w="140" w:type="dxa"/>
              <w:start w:w="170" w:type="dxa"/>
              <w:bottom w:w="140" w:type="dxa"/>
              <w:end w:w="170" w:type="dxa"/>
            </w:tcMar>
          </w:tcPr>
          <w:p>
            <w:pPr>
              <w:spacing w:before="0" w:after="40" w:line="259" w:lineRule="auto"/>
            </w:pPr>
            <w:r>
              <w:rPr>
                <w:rFonts w:ascii="Liberation Serif" w:hAnsi="Liberation Serif" w:eastAsia="Liberation Serif"/>
                <w:b/>
                <w:color w:val="1F2937"/>
                <w:sz w:val="21"/>
              </w:rPr>
              <w:t>Recommended final status</w:t>
            </w:r>
          </w:p>
          <w:p>
            <w:pPr>
              <w:spacing w:before="0" w:after="0" w:line="252" w:lineRule="auto"/>
            </w:pPr>
            <w:r>
              <w:rPr>
                <w:rFonts w:ascii="Liberation Serif" w:hAnsi="Liberation Serif" w:eastAsia="Liberation Serif"/>
                <w:sz w:val="20"/>
              </w:rPr>
              <w:t>PO-6 = PARTIALLY CLOSED: the mathematical information-and-measurement layer is closed; metrological calibration and a physical experiment remain open. The previously achieved status of PO-11 and PO-12 is unchanged and is not used as evidence of physical realization.</w:t>
            </w:r>
          </w:p>
        </w:tc>
      </w:tr>
    </w:tbl>
    <w:p>
      <w:pPr>
        <w:spacing w:after="20"/>
      </w:pPr>
    </w:p>
    <w:p>
      <w:pPr>
        <w:pStyle w:val="Heading1"/>
        <w:keepNext/>
        <w:spacing w:before="200" w:after="100" w:line="240" w:lineRule="auto"/>
      </w:pPr>
      <w:r>
        <w:rPr>
          <w:rFonts w:ascii="Liberation Sans" w:hAnsi="Liberation Sans" w:eastAsia="Liberation Sans"/>
          <w:b/>
          <w:color w:val="264653"/>
          <w:sz w:val="26"/>
        </w:rPr>
        <w:t>12. Limitations and falsifiable conditions</w:t>
      </w:r>
    </w:p>
    <w:p>
      <w:pPr>
        <w:pStyle w:val="ListBullet"/>
        <w:spacing w:before="0" w:after="60" w:line="252" w:lineRule="auto"/>
      </w:pPr>
      <w:r>
        <w:rPr>
          <w:rFonts w:ascii="Liberation Serif" w:hAnsi="Liberation Serif" w:eastAsia="Liberation Serif"/>
          <w:sz w:val="21"/>
        </w:rPr>
        <w:t>If Δ_D=0, the structural factor vanishes.</w:t>
      </w:r>
    </w:p>
    <w:p>
      <w:pPr>
        <w:pStyle w:val="ListBullet"/>
        <w:spacing w:before="0" w:after="60" w:line="252" w:lineRule="auto"/>
      </w:pPr>
      <w:r>
        <w:rPr>
          <w:rFonts w:ascii="Liberation Serif" w:hAnsi="Liberation Serif" w:eastAsia="Liberation Serif"/>
          <w:sz w:val="21"/>
        </w:rPr>
        <w:t>If K(u)=0, the full-state lower bound vanishes.</w:t>
      </w:r>
    </w:p>
    <w:p>
      <w:pPr>
        <w:pStyle w:val="ListBullet"/>
        <w:spacing w:before="0" w:after="60" w:line="252" w:lineRule="auto"/>
      </w:pPr>
      <w:r>
        <w:rPr>
          <w:rFonts w:ascii="Liberation Serif" w:hAnsi="Liberation Serif" w:eastAsia="Liberation Serif"/>
          <w:sz w:val="21"/>
        </w:rPr>
        <w:t>If S does not separate r_L from r_R, the scalar bound may vanish even when K≠0.</w:t>
      </w:r>
    </w:p>
    <w:p>
      <w:pPr>
        <w:pStyle w:val="ListBullet"/>
        <w:spacing w:before="0" w:after="60" w:line="252" w:lineRule="auto"/>
      </w:pPr>
      <w:r>
        <w:rPr>
          <w:rFonts w:ascii="Liberation Serif" w:hAnsi="Liberation Serif" w:eastAsia="Liberation Serif"/>
          <w:sz w:val="21"/>
        </w:rPr>
        <w:t>If τ_u=1, the authorized data perfectly identify the branch and the information lower bound is zero.</w:t>
      </w:r>
    </w:p>
    <w:p>
      <w:pPr>
        <w:pStyle w:val="ListBullet"/>
        <w:spacing w:before="0" w:after="60" w:line="252" w:lineRule="auto"/>
      </w:pPr>
      <w:r>
        <w:rPr>
          <w:rFonts w:ascii="Liberation Serif" w:hAnsi="Liberation Serif" w:eastAsia="Liberation Serif"/>
          <w:sz w:val="21"/>
        </w:rPr>
        <w:t>A uniform constant requires verified lower bounds for both ||K|| and the hiding factor 1-τ_u.</w:t>
      </w:r>
    </w:p>
    <w:p>
      <w:pPr>
        <w:pStyle w:val="ListBullet"/>
        <w:spacing w:before="0" w:after="60" w:line="252" w:lineRule="auto"/>
      </w:pPr>
      <w:r>
        <w:rPr>
          <w:rFonts w:ascii="Liberation Serif" w:hAnsi="Liberation Serif" w:eastAsia="Liberation Serif"/>
          <w:sz w:val="21"/>
        </w:rPr>
        <w:t>None of these mathematical bounds by itself proves a physical ontology of R⋆R, a relation to ħ, time, gravitation, or cosmology.</w:t>
      </w:r>
    </w:p>
    <w:p>
      <w:pPr>
        <w:pStyle w:val="Heading1"/>
        <w:keepNext/>
        <w:spacing w:before="200" w:after="100" w:line="240" w:lineRule="auto"/>
      </w:pPr>
      <w:r>
        <w:rPr>
          <w:rFonts w:ascii="Liberation Sans" w:hAnsi="Liberation Sans" w:eastAsia="Liberation Sans"/>
          <w:b/>
          <w:color w:val="264653"/>
          <w:sz w:val="26"/>
        </w:rPr>
        <w:t>13. Conclusion</w:t>
      </w:r>
    </w:p>
    <w:p>
      <w:pPr>
        <w:spacing w:before="0" w:after="120" w:line="259" w:lineRule="auto"/>
        <w:ind w:firstLine="317"/>
      </w:pPr>
      <w:r>
        <w:rPr>
          <w:rFonts w:ascii="Liberation Serif" w:hAnsi="Liberation Serif" w:eastAsia="Liberation Serif"/>
          <w:i w:val="0"/>
          <w:sz w:val="22"/>
        </w:rPr>
        <w:t>A rigorous measurement layer has been constructed over the canonical two-point PN.2. The central new element within the project is the replacement of the informal statement “b is hidden” by an experiment whose accessible information is specified by a σ-algebra and whose branch leakage is quantified by total variation. This yields total-variation-corrected minimax bounds with the factor (1-τ_u)^2 and explains both limiting regimes: the canonical PN.2 under perfect hiding and the disappearance of the information bound under perfect distinguishability.</w:t>
      </w:r>
    </w:p>
    <w:p>
      <w:pPr>
        <w:spacing w:before="0" w:after="120" w:line="259" w:lineRule="auto"/>
        <w:ind w:firstLine="317"/>
      </w:pPr>
      <w:r>
        <w:rPr>
          <w:rFonts w:ascii="Liberation Serif" w:hAnsi="Liberation Serif" w:eastAsia="Liberation Serif"/>
          <w:i w:val="0"/>
          <w:sz w:val="22"/>
        </w:rPr>
        <w:t>At the same time, a strict metrological firewall is imposed. PN.2 errors remain reconstruction errors of mathematical targets until physical measurands, calibration maps, units, reference values, and uncertainty budgets are defined. The result therefore closes the mathematical part of PO-6 while deliberately leaving the physical hypotheses of PN.2 unchanged.</w:t>
      </w:r>
    </w:p>
    <w:p>
      <w:pPr>
        <w:pStyle w:val="Heading1"/>
        <w:keepNext/>
        <w:spacing w:before="200" w:after="100" w:line="240" w:lineRule="auto"/>
      </w:pPr>
      <w:r>
        <w:rPr>
          <w:rFonts w:ascii="Liberation Sans" w:hAnsi="Liberation Sans" w:eastAsia="Liberation Sans"/>
          <w:b/>
          <w:color w:val="264653"/>
          <w:sz w:val="26"/>
        </w:rPr>
        <w:t>Data availability and reproducibility</w:t>
      </w:r>
    </w:p>
    <w:p>
      <w:pPr>
        <w:spacing w:before="0" w:after="120" w:line="259" w:lineRule="auto"/>
        <w:ind w:firstLine="317"/>
      </w:pPr>
      <w:r>
        <w:rPr>
          <w:rFonts w:ascii="Liberation Serif" w:hAnsi="Liberation Serif" w:eastAsia="Liberation Serif"/>
          <w:i w:val="0"/>
          <w:sz w:val="22"/>
        </w:rPr>
        <w:t>No empirical data are used. All proofs are analytic and reproducible directly from the definitions given in the text. The existing PO-12 computational certificate concerns separate abstract examples of the canonical theorem package and is not treated here as a physical experiment.</w:t>
      </w:r>
    </w:p>
    <w:p>
      <w:pPr>
        <w:pStyle w:val="Heading1"/>
        <w:keepNext/>
        <w:spacing w:before="200" w:after="100" w:line="240" w:lineRule="auto"/>
      </w:pPr>
      <w:r>
        <w:rPr>
          <w:rFonts w:ascii="Liberation Sans" w:hAnsi="Liberation Sans" w:eastAsia="Liberation Sans"/>
          <w:b/>
          <w:color w:val="264653"/>
          <w:sz w:val="26"/>
        </w:rPr>
        <w:t>Recommended citation</w:t>
      </w:r>
    </w:p>
    <w:p>
      <w:pPr>
        <w:spacing w:before="0" w:after="120" w:line="259" w:lineRule="auto"/>
      </w:pPr>
      <w:r>
        <w:rPr>
          <w:rFonts w:ascii="Liberation Serif" w:hAnsi="Liberation Serif" w:eastAsia="Liberation Serif"/>
          <w:i w:val="0"/>
          <w:sz w:val="22"/>
        </w:rPr>
        <w:t>Kurpishev, I. B. A Measurement Model for the Kurpishev Uncertainty Principle PN.2: Hidden Bracketing Alternatives, Information Distinguishability, and Total-Variation-Corrected Minimax Bounds. Authorial journal manuscript v1.0. Kaliningrad, 2026.</w:t>
      </w:r>
    </w:p>
    <w:p>
      <w:pPr>
        <w:pStyle w:val="Heading1"/>
        <w:keepNext/>
        <w:spacing w:before="200" w:after="100" w:line="240" w:lineRule="auto"/>
      </w:pPr>
      <w:r>
        <w:rPr>
          <w:rFonts w:ascii="Liberation Sans" w:hAnsi="Liberation Sans" w:eastAsia="Liberation Sans"/>
          <w:b/>
          <w:color w:val="264653"/>
          <w:sz w:val="26"/>
        </w:rPr>
        <w:t>References</w:t>
      </w:r>
    </w:p>
    <w:p>
      <w:pPr>
        <w:spacing w:before="0" w:after="20" w:line="230" w:lineRule="auto"/>
        <w:ind w:left="259" w:hanging="259"/>
      </w:pPr>
      <w:r>
        <w:rPr>
          <w:rFonts w:ascii="Liberation Serif" w:hAnsi="Liberation Serif" w:eastAsia="Liberation Serif"/>
          <w:sz w:val="17"/>
        </w:rPr>
        <w:t>[1] Robertson, H. P. The Uncertainty Principle. Physical Review. 1929;34:163-164. doi:10.1103/PhysRev.34.163.</w:t>
      </w:r>
    </w:p>
    <w:p>
      <w:pPr>
        <w:spacing w:before="0" w:after="20" w:line="230" w:lineRule="auto"/>
        <w:ind w:left="259" w:hanging="259"/>
      </w:pPr>
      <w:r>
        <w:rPr>
          <w:rFonts w:ascii="Liberation Serif" w:hAnsi="Liberation Serif" w:eastAsia="Liberation Serif"/>
          <w:sz w:val="17"/>
        </w:rPr>
        <w:t>[2] Schrödinger, E. Zum Heisenbergschen Unschärfeprinzip. Sitzungsberichte der Preussischen Akademie der Wissenschaften, Physikalisch-mathematische Klasse. 1930:296-303.</w:t>
      </w:r>
    </w:p>
    <w:p>
      <w:pPr>
        <w:spacing w:before="0" w:after="20" w:line="230" w:lineRule="auto"/>
        <w:ind w:left="259" w:hanging="259"/>
      </w:pPr>
      <w:r>
        <w:rPr>
          <w:rFonts w:ascii="Liberation Serif" w:hAnsi="Liberation Serif" w:eastAsia="Liberation Serif"/>
          <w:sz w:val="17"/>
        </w:rPr>
        <w:t>[3] Ozawa, M. Universally valid reformulation of the Heisenberg uncertainty principle on noise and disturbance in measurement. Physical Review A. 2003;67:042105. doi:10.1103/PhysRevA.67.042105; arXiv:quant-ph/0207121.</w:t>
      </w:r>
    </w:p>
    <w:p>
      <w:pPr>
        <w:spacing w:before="0" w:after="20" w:line="230" w:lineRule="auto"/>
        <w:ind w:left="259" w:hanging="259"/>
      </w:pPr>
      <w:r>
        <w:rPr>
          <w:rFonts w:ascii="Liberation Serif" w:hAnsi="Liberation Serif" w:eastAsia="Liberation Serif"/>
          <w:sz w:val="17"/>
        </w:rPr>
        <w:t>[4] Schafer, R. D. An Introduction to Nonassociative Algebras. New York: Academic Press; 1966.</w:t>
      </w:r>
    </w:p>
    <w:p>
      <w:pPr>
        <w:spacing w:before="0" w:after="20" w:line="230" w:lineRule="auto"/>
        <w:ind w:left="259" w:hanging="259"/>
      </w:pPr>
      <w:r>
        <w:rPr>
          <w:rFonts w:ascii="Liberation Serif" w:hAnsi="Liberation Serif" w:eastAsia="Liberation Serif"/>
          <w:sz w:val="17"/>
        </w:rPr>
        <w:t>[5] Baez, J. C. The Octonions. Bulletin of the American Mathematical Society. 2002;39:145-205. doi:10.1090/S0273-0979-01-00934-X; arXiv:math/0105155.</w:t>
      </w:r>
    </w:p>
    <w:p>
      <w:pPr>
        <w:spacing w:before="0" w:after="20" w:line="230" w:lineRule="auto"/>
        <w:ind w:left="259" w:hanging="259"/>
      </w:pPr>
      <w:r>
        <w:rPr>
          <w:rFonts w:ascii="Liberation Serif" w:hAnsi="Liberation Serif" w:eastAsia="Liberation Serif"/>
          <w:sz w:val="17"/>
        </w:rPr>
        <w:t>[6] Le Cam, L. Asymptotic Methods in Statistical Decision Theory. New York: Springer; 1986. doi:10.1007/978-1-4612-4946-7.</w:t>
      </w:r>
    </w:p>
    <w:p>
      <w:pPr>
        <w:spacing w:before="0" w:after="20" w:line="230" w:lineRule="auto"/>
        <w:ind w:left="259" w:hanging="259"/>
      </w:pPr>
      <w:r>
        <w:rPr>
          <w:rFonts w:ascii="Liberation Serif" w:hAnsi="Liberation Serif" w:eastAsia="Liberation Serif"/>
          <w:sz w:val="17"/>
        </w:rPr>
        <w:t>[7] Tsybakov, A. B. Introduction to Nonparametric Estimation. New York: Springer; 2009. doi:10.1007/b13794.</w:t>
      </w:r>
    </w:p>
    <w:p>
      <w:pPr>
        <w:spacing w:before="0" w:after="20" w:line="230" w:lineRule="auto"/>
        <w:ind w:left="259" w:hanging="259"/>
      </w:pPr>
      <w:r>
        <w:rPr>
          <w:rFonts w:ascii="Liberation Serif" w:hAnsi="Liberation Serif" w:eastAsia="Liberation Serif"/>
          <w:sz w:val="17"/>
        </w:rPr>
        <w:t>[8] JCGM 200:2012. International Vocabulary of Metrology - Basic and General Concepts and Associated Terms (VIM), 3rd ed. doi:10.59161/JCGM200-2012.</w:t>
      </w:r>
    </w:p>
    <w:p>
      <w:pPr>
        <w:spacing w:before="0" w:after="20" w:line="230" w:lineRule="auto"/>
        <w:ind w:left="259" w:hanging="259"/>
      </w:pPr>
      <w:r>
        <w:rPr>
          <w:rFonts w:ascii="Liberation Serif" w:hAnsi="Liberation Serif" w:eastAsia="Liberation Serif"/>
          <w:sz w:val="17"/>
        </w:rPr>
        <w:t>[9] JCGM 100:2008(E). Evaluation of measurement data - Guide to the expression of uncertainty in measurement (GUM). doi:10.59161/JCGM100-2008E.</w:t>
      </w:r>
    </w:p>
    <w:p>
      <w:pPr>
        <w:spacing w:before="0" w:after="20" w:line="230" w:lineRule="auto"/>
        <w:ind w:left="259" w:hanging="259"/>
      </w:pPr>
      <w:r>
        <w:rPr>
          <w:rFonts w:ascii="Liberation Serif" w:hAnsi="Liberation Serif" w:eastAsia="Liberation Serif"/>
          <w:sz w:val="17"/>
        </w:rPr>
        <w:t>[10] JCGM 100:2008/Amd.1:2026. Evaluation of measurement data - GUM. Amendment 1: Nonlinearity in measurement models. doi:10.59161/PPDI3267.</w:t>
      </w:r>
    </w:p>
    <w:p>
      <w:pPr>
        <w:spacing w:before="0" w:after="20" w:line="230" w:lineRule="auto"/>
        <w:ind w:left="259" w:hanging="259"/>
      </w:pPr>
      <w:r>
        <w:rPr>
          <w:rFonts w:ascii="Liberation Serif" w:hAnsi="Liberation Serif" w:eastAsia="Liberation Serif"/>
          <w:sz w:val="17"/>
        </w:rPr>
        <w:t>[11] Kurpishev, I. B. Kurpishev Uncertainty Principle PN.2: canonical theorem package v1.0 and authorial journal edition v1.1. Kaliningrad; 2026. Author archive: https://kurpishev.com/tom1/pn2_ru_v1.0.pdf.</w:t>
      </w:r>
    </w:p>
    <w:sectPr w:rsidR="00FC693F" w:rsidRPr="0006063C" w:rsidSect="00034616">
      <w:footerReference w:type="default" r:id="rId9"/>
      <w:pgSz w:w="12240" w:h="15840"/>
      <w:pgMar w:top="1037" w:right="1181" w:bottom="1037" w:left="1181"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Liberation Sans" w:hAnsi="Liberation Sans" w:eastAsia="Liberation Sans"/>
        <w:color w:val="5A646E"/>
        <w:sz w:val="16"/>
      </w:rPr>
      <w:t xml:space="preserve">PN.2 measurement model for PO-6  |  Ivan Borisovich Kurpishev    </w:t>
    </w:r>
    <w:r>
      <w:rPr>
        <w:sz w:val="17"/>
      </w:rPr>
      <w:t xml:space="preserve">p. </w:t>
      <w:fldChar w:fldCharType="begin"/>
      <w:instrText xml:space="preserve"> PAGE </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erif" w:hAnsi="Liberation Serif"/>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Liberation Sans" w:hAnsi="Liberation Sans"/>
      <w:b/>
      <w:bCs/>
      <w:color w:val="26465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Liberation Sans" w:hAnsi="Liberation Sans"/>
      <w:b/>
      <w:bCs/>
      <w:color w:val="26465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Measurement Model for the Kurpishev Uncertainty Principle PN.2</dc:title>
  <dc:subject>Hidden Bracketing Alternatives, Information Distinguishability, and Total-Variation-Corrected Minimax Bounds</dc:subject>
  <dc:creator>Ivan Borisovich Kurpishev</dc:creator>
  <cp:keywords>nonassociative algebra; associator; Kurpishev PN.2; minimax risk; hidden alternative; total variation; statistical experiment; measurement model; metrology</cp:keywords>
  <dc:description>Publication-ready authorial manuscript; mathematical status separated from physical hypotheses.</dc:description>
  <cp:lastModifiedBy/>
  <cp:revision>1</cp:revision>
  <dcterms:created xsi:type="dcterms:W3CDTF">2013-12-23T23:15:00Z</dcterms:created>
  <dcterms:modified xsi:type="dcterms:W3CDTF">2013-12-23T23:15:00Z</dcterms:modified>
  <cp:category/>
</cp:coreProperties>
</file>