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4"/>
        </w:rPr>
        <w:t>Volume VI</w:t>
        <w:br/>
      </w:r>
      <w:r>
        <w:rPr>
          <w:b/>
          <w:sz w:val="30"/>
        </w:rPr>
        <w:t>KLT/RBD: Software Layer, Database, Site and Legal-Technical Contour</w:t>
        <w:br/>
      </w:r>
      <w:r>
        <w:rPr>
          <w:sz w:val="24"/>
        </w:rPr>
        <w:t>English Edition · v8.2</w:t>
      </w:r>
    </w:p>
    <w:p/>
    <w:p>
      <w:pPr>
        <w:jc w:val="center"/>
      </w:pPr>
      <w:r>
        <w:rPr>
          <w:b/>
        </w:rPr>
        <w:t>Ivan Borisovich Kurpishev / Иван Борисович Курпишев</w:t>
        <w:br/>
      </w:r>
      <w:r>
        <w:t>Independent Researcher · Kaliningrad · me@kurpishev.ru</w:t>
        <w:br/>
      </w:r>
      <w:r>
        <w:t>2026</w:t>
      </w:r>
    </w:p>
    <w:p/>
    <w:p>
      <w:pPr>
        <w:jc w:val="center"/>
      </w:pPr>
      <w:r>
        <w:rPr>
          <w:rFonts w:ascii="DejaVu Sans Mono" w:hAnsi="DejaVu Sans Mono" w:eastAsia="DejaVu Sans Mono"/>
          <w:sz w:val="17"/>
        </w:rPr>
        <w:t>KLT-DOCTRINE-FINAL-MONOGRAPH-VOLUME-VI-KLT-RBD-SOFTWARE-LEGAL-EN-v8.2</w:t>
      </w:r>
    </w:p>
    <w:p>
      <w:r>
        <w:br w:type="page"/>
      </w:r>
    </w:p>
    <w:p>
      <w:pPr>
        <w:pStyle w:val="Heading1"/>
      </w:pPr>
      <w:r>
        <w:t>Abstract</w:t>
      </w:r>
    </w:p>
    <w:p>
      <w:r>
        <w:t>Volume VI assembles the software and registration contour of the Kurpishev Doctrine: KLT 4.14, KLT 5.1, RBD/RPD, real-data import, site publication, public/private split, deposit materials, and a cautious software-database-invention boundary. It is a technical and editorial binder, not a substitute for live legal filing review.</w:t>
      </w:r>
    </w:p>
    <w:p>
      <w:pPr>
        <w:pStyle w:val="Heading1"/>
      </w:pPr>
      <w:r>
        <w:t>Annotation in Russian</w:t>
      </w:r>
    </w:p>
    <w:p>
      <w:r>
        <w:t>Английская редакция Тома VI фиксирует программно-регистрационный контур Доктрины Курпишева: KLT 4.14, KLT 5.1, RBD/RPD, импорт реальных данных, сайт, public/private split, депозитные материалы и границу программа - база данных - изобретательский кандидат.</w:t>
      </w:r>
    </w:p>
    <w:p>
      <w:pPr>
        <w:pStyle w:val="Heading1"/>
      </w:pPr>
      <w:r>
        <w:t>Notation dictionary</w:t>
      </w:r>
    </w:p>
    <w:p>
      <w:pPr>
        <w:pStyle w:val="ListBullet"/>
      </w:pPr>
      <w:r>
        <w:t>C@C - event@state.</w:t>
      </w:r>
    </w:p>
    <w:p>
      <w:pPr>
        <w:pStyle w:val="ListBullet"/>
      </w:pPr>
      <w:r>
        <w:t>Rep(R,I,U;D) - Reper quadruple.</w:t>
      </w:r>
    </w:p>
    <w:p>
      <w:pPr>
        <w:pStyle w:val="ListBullet"/>
      </w:pPr>
      <w:r>
        <w:t>lambda - harmonic consistency measure.</w:t>
      </w:r>
    </w:p>
    <w:p>
      <w:pPr>
        <w:pStyle w:val="ListBullet"/>
      </w:pPr>
      <w:r>
        <w:t>CGI - causal-graph gap index.</w:t>
      </w:r>
    </w:p>
    <w:p>
      <w:pPr>
        <w:pStyle w:val="ListBullet"/>
      </w:pPr>
      <w:r>
        <w:t>RBD/RPD - Reper Database / Reper-Projective Database.</w:t>
      </w:r>
    </w:p>
    <w:p>
      <w:pPr>
        <w:pStyle w:val="ListBullet"/>
      </w:pPr>
      <w:r>
        <w:t>Evidence-D - sufficient foundation suitable for audit.</w:t>
      </w:r>
    </w:p>
    <w:p>
      <w:pPr>
        <w:pStyle w:val="ListBullet"/>
      </w:pPr>
      <w:r>
        <w:t>public/private split - separation of publishable and controlled materials.</w:t>
      </w:r>
    </w:p>
    <w:p>
      <w:pPr>
        <w:pStyle w:val="Heading1"/>
      </w:pPr>
      <w:r>
        <w:t>0. Editorial status and v8.2 control point</w:t>
      </w:r>
    </w:p>
    <w:p>
      <w:r>
        <w:t>Volume VI EN is the English counterpart of the Russian v8.1 technical-registration binder. It assembles the applied software, database, publication and legal-technical contour of the Kurpishev Doctrine: KLT 4.14, KLT 5.1, RBD/RPD, real-data import, site publication, deposit-material mapping and the cautious boundary between software, database and invention analysis.</w:t>
      </w:r>
    </w:p>
    <w:p>
      <w:r>
        <w:t>Control point:</w:t>
      </w:r>
    </w:p>
    <w:p>
      <w:pPr>
        <w:pStyle w:val="CodeBlock"/>
      </w:pPr>
      <w:r>
        <w:rPr>
          <w:rFonts w:ascii="DejaVu Sans Mono" w:hAnsi="DejaVu Sans Mono" w:eastAsia="DejaVu Sans Mono"/>
          <w:sz w:val="16"/>
        </w:rPr>
        <w:t>KLT-DOCTRINE-FINAL-MONOGRAPH-VOLUME-VI-KLT-RBD-SOFTWARE-LEGAL-EN-v8.2</w:t>
      </w:r>
    </w:p>
    <w:p>
      <w:r>
        <w:t>This volume is not a final legal filing and does not replace live official-form verification. Its function is to create a reproducible technical corpus: source map, deposition map, boundary matrix, QA log, render verification and transport package.</w:t>
      </w:r>
    </w:p>
    <w:p>
      <w:pPr>
        <w:pStyle w:val="Heading1"/>
      </w:pPr>
      <w:r>
        <w:t>1. Cross-volume formula of the software-registration layer</w:t>
      </w:r>
    </w:p>
    <w:p>
      <w:r>
        <w:t>The governing chain of Volume VI is:</w:t>
      </w:r>
    </w:p>
    <w:p>
      <w:r>
        <w:t>`Object -&gt; C@C_x -&gt; Rep_x(R,I,U;D) -&gt; lambda_x -&gt; CGI_x -&gt; Status_x -&gt; RBD_x -&gt; publication/deposit route`.</w:t>
      </w:r>
    </w:p>
    <w:p>
      <w:r>
        <w:t>A file, source archive, page, database row, report, build, checklist or legal draft is first fixed as event@state. It then receives a Reper quadruple: R is the factual content and executable state; I is the construction idea; U is the field of permitted uses; D is the sufficient foundation: source code, specification, checksum, test log, rendered page or official review note.</w:t>
      </w:r>
    </w:p>
    <w:p>
      <w:r>
        <w:t>No software or legal-technical claim receives truth-status without Dom and D. Missing domain, missing verification environment, absent checksum, unclear version, private-data uncertainty or broken source binding produces a gap-status rather than an authorized result.</w:t>
      </w:r>
    </w:p>
    <w:p>
      <w:pPr>
        <w:pStyle w:val="Heading1"/>
      </w:pPr>
      <w:r>
        <w:t>2. KLT 4.14 as checked demonstration and audit layer</w:t>
      </w:r>
    </w:p>
    <w:p>
      <w:r>
        <w:t>KLT 4.14 is fixed as a checked transitional software build. It preserves the audit line of KLT 4.13 and expands it toward universal import, archive handling, web shell, mobile shell, report templates and self-test logistics.</w:t>
      </w:r>
    </w:p>
    <w:p>
      <w:r>
        <w:t>Technical Reper:</w:t>
      </w:r>
    </w:p>
    <w:p>
      <w:r>
        <w:t>`Rep_KLT414 = (R_build, I_lambda_check, U_import_export, D_verification)`.</w:t>
      </w:r>
    </w:p>
    <w:p>
      <w:r>
        <w:t>The construction is interpreted as follows:</w:t>
      </w:r>
    </w:p>
    <w:p>
      <w:pPr>
        <w:pStyle w:val="ListBullet"/>
      </w:pPr>
      <w:r>
        <w:t>R_build: Python package, CLI, web shell, DOCX templates, examples and self-test output;</w:t>
      </w:r>
    </w:p>
    <w:p>
      <w:pPr>
        <w:pStyle w:val="ListBullet"/>
      </w:pPr>
      <w:r>
        <w:t>I_lambda_check: lambda-checklist, comparison against an ideal answer and ведомость-style reporting;</w:t>
      </w:r>
    </w:p>
    <w:p>
      <w:pPr>
        <w:pStyle w:val="ListBullet"/>
      </w:pPr>
      <w:r>
        <w:t>U_import_export: TXT, DOC, DOCX, HTML, PDF, images, TEX, ODT, EPUB, ZIP and mass-output channels;</w:t>
      </w:r>
    </w:p>
    <w:p>
      <w:pPr>
        <w:pStyle w:val="ListBullet"/>
      </w:pPr>
      <w:r>
        <w:t>D_verification: selftest.log, CHECK_RESULT, templates, renders, demos and checksum-bound package files.</w:t>
      </w:r>
    </w:p>
    <w:p>
      <w:r>
        <w:t>KLT 4.14 is a concrete programmatic realization of applied Reper audit. It does not assert ownership over classical mathematical objects; it fixes the author's software architecture for applying KLT/RBD audit to documents, reports and mixed digital artifacts.</w:t>
      </w:r>
    </w:p>
    <w:p>
      <w:pPr>
        <w:pStyle w:val="Caption"/>
      </w:pPr>
      <w:r>
        <w:rPr>
          <w:b/>
        </w:rPr>
        <w:t>Table 1. KLT 4.14 - software layer</w:t>
      </w:r>
    </w:p>
    <w:tbl>
      <w:tblPr>
        <w:tblStyle w:val="TableGrid"/>
        <w:tblW w:type="auto" w:w="0"/>
        <w:jc w:val="center"/>
        <w:tblLook w:firstColumn="1" w:firstRow="1" w:lastColumn="0" w:lastRow="0" w:noHBand="0" w:noVBand="1" w:val="04A0"/>
      </w:tblPr>
      <w:tblGrid>
        <w:gridCol w:w="3331"/>
        <w:gridCol w:w="3331"/>
        <w:gridCol w:w="3331"/>
      </w:tblGrid>
      <w:tr>
        <w:tc>
          <w:tcPr>
            <w:tcW w:type="dxa" w:w="3331"/>
            <w:vAlign w:val="center"/>
            <w:shd w:fill="D9EAF7"/>
          </w:tcPr>
          <w:p>
            <w:r/>
            <w:r>
              <w:rPr>
                <w:rFonts w:ascii="DejaVu Serif" w:hAnsi="DejaVu Serif" w:eastAsia="DejaVu Serif"/>
                <w:b/>
                <w:sz w:val="17"/>
              </w:rPr>
              <w:t>Component</w:t>
            </w:r>
          </w:p>
        </w:tc>
        <w:tc>
          <w:tcPr>
            <w:tcW w:type="dxa" w:w="3331"/>
            <w:vAlign w:val="center"/>
            <w:shd w:fill="D9EAF7"/>
          </w:tcPr>
          <w:p>
            <w:r/>
            <w:r>
              <w:rPr>
                <w:rFonts w:ascii="DejaVu Serif" w:hAnsi="DejaVu Serif" w:eastAsia="DejaVu Serif"/>
                <w:b/>
                <w:sz w:val="17"/>
              </w:rPr>
              <w:t>Function</w:t>
            </w:r>
          </w:p>
        </w:tc>
        <w:tc>
          <w:tcPr>
            <w:tcW w:type="dxa" w:w="3331"/>
            <w:vAlign w:val="center"/>
            <w:shd w:fill="D9EAF7"/>
          </w:tcPr>
          <w:p>
            <w:r/>
            <w:r>
              <w:rPr>
                <w:rFonts w:ascii="DejaVu Serif" w:hAnsi="DejaVu Serif" w:eastAsia="DejaVu Serif"/>
                <w:b/>
                <w:sz w:val="17"/>
              </w:rPr>
              <w:t>D-foundation</w:t>
            </w:r>
          </w:p>
        </w:tc>
      </w:tr>
      <w:tr>
        <w:tc>
          <w:tcPr>
            <w:tcW w:type="dxa" w:w="3331"/>
            <w:vAlign w:val="center"/>
          </w:tcPr>
          <w:p>
            <w:r/>
            <w:r>
              <w:rPr>
                <w:rFonts w:ascii="DejaVu Serif" w:hAnsi="DejaVu Serif" w:eastAsia="DejaVu Serif"/>
                <w:b w:val="0"/>
                <w:sz w:val="17"/>
              </w:rPr>
              <w:t>CLI Python engine</w:t>
            </w:r>
          </w:p>
        </w:tc>
        <w:tc>
          <w:tcPr>
            <w:tcW w:type="dxa" w:w="3331"/>
            <w:vAlign w:val="center"/>
          </w:tcPr>
          <w:p>
            <w:r/>
            <w:r>
              <w:rPr>
                <w:rFonts w:ascii="DejaVu Serif" w:hAnsi="DejaVu Serif" w:eastAsia="DejaVu Serif"/>
                <w:b w:val="0"/>
                <w:sz w:val="17"/>
              </w:rPr>
              <w:t>local audit and comparison with ideal answer</w:t>
            </w:r>
          </w:p>
        </w:tc>
        <w:tc>
          <w:tcPr>
            <w:tcW w:type="dxa" w:w="3331"/>
            <w:vAlign w:val="center"/>
          </w:tcPr>
          <w:p>
            <w:r/>
            <w:r>
              <w:rPr>
                <w:rFonts w:ascii="DejaVu Serif" w:hAnsi="DejaVu Serif" w:eastAsia="DejaVu Serif"/>
                <w:b w:val="0"/>
                <w:sz w:val="17"/>
              </w:rPr>
              <w:t>README, app.py, tests, selftest</w:t>
            </w:r>
          </w:p>
        </w:tc>
      </w:tr>
      <w:tr>
        <w:tc>
          <w:tcPr>
            <w:tcW w:type="dxa" w:w="3331"/>
            <w:vAlign w:val="center"/>
          </w:tcPr>
          <w:p>
            <w:r/>
            <w:r>
              <w:rPr>
                <w:rFonts w:ascii="DejaVu Serif" w:hAnsi="DejaVu Serif" w:eastAsia="DejaVu Serif"/>
                <w:b w:val="0"/>
                <w:sz w:val="17"/>
              </w:rPr>
              <w:t>Universal import</w:t>
            </w:r>
          </w:p>
        </w:tc>
        <w:tc>
          <w:tcPr>
            <w:tcW w:type="dxa" w:w="3331"/>
            <w:vAlign w:val="center"/>
          </w:tcPr>
          <w:p>
            <w:r/>
            <w:r>
              <w:rPr>
                <w:rFonts w:ascii="DejaVu Serif" w:hAnsi="DejaVu Serif" w:eastAsia="DejaVu Serif"/>
                <w:b w:val="0"/>
                <w:sz w:val="17"/>
              </w:rPr>
              <w:t>TXT/DOCX/HTML/PDF/images/TEX/ODT/EPUB/archives</w:t>
            </w:r>
          </w:p>
        </w:tc>
        <w:tc>
          <w:tcPr>
            <w:tcW w:type="dxa" w:w="3331"/>
            <w:vAlign w:val="center"/>
          </w:tcPr>
          <w:p>
            <w:r/>
            <w:r>
              <w:rPr>
                <w:rFonts w:ascii="DejaVu Serif" w:hAnsi="DejaVu Serif" w:eastAsia="DejaVu Serif"/>
                <w:b w:val="0"/>
                <w:sz w:val="17"/>
              </w:rPr>
              <w:t>importers.py, archives.py</w:t>
            </w:r>
          </w:p>
        </w:tc>
      </w:tr>
      <w:tr>
        <w:tc>
          <w:tcPr>
            <w:tcW w:type="dxa" w:w="3331"/>
            <w:vAlign w:val="center"/>
          </w:tcPr>
          <w:p>
            <w:r/>
            <w:r>
              <w:rPr>
                <w:rFonts w:ascii="DejaVu Serif" w:hAnsi="DejaVu Serif" w:eastAsia="DejaVu Serif"/>
                <w:b w:val="0"/>
                <w:sz w:val="17"/>
              </w:rPr>
              <w:t>DOCX reports</w:t>
            </w:r>
          </w:p>
        </w:tc>
        <w:tc>
          <w:tcPr>
            <w:tcW w:type="dxa" w:w="3331"/>
            <w:vAlign w:val="center"/>
          </w:tcPr>
          <w:p>
            <w:r/>
            <w:r>
              <w:rPr>
                <w:rFonts w:ascii="DejaVu Serif" w:hAnsi="DejaVu Serif" w:eastAsia="DejaVu Serif"/>
                <w:b w:val="0"/>
                <w:sz w:val="17"/>
              </w:rPr>
              <w:t>lambda checklists, score sheets, plagiarism sheet</w:t>
            </w:r>
          </w:p>
        </w:tc>
        <w:tc>
          <w:tcPr>
            <w:tcW w:type="dxa" w:w="3331"/>
            <w:vAlign w:val="center"/>
          </w:tcPr>
          <w:p>
            <w:r/>
            <w:r>
              <w:rPr>
                <w:rFonts w:ascii="DejaVu Serif" w:hAnsi="DejaVu Serif" w:eastAsia="DejaVu Serif"/>
                <w:b w:val="0"/>
                <w:sz w:val="17"/>
              </w:rPr>
              <w:t>templates, reports.py</w:t>
            </w:r>
          </w:p>
        </w:tc>
      </w:tr>
      <w:tr>
        <w:tc>
          <w:tcPr>
            <w:tcW w:type="dxa" w:w="3331"/>
            <w:vAlign w:val="center"/>
          </w:tcPr>
          <w:p>
            <w:r/>
            <w:r>
              <w:rPr>
                <w:rFonts w:ascii="DejaVu Serif" w:hAnsi="DejaVu Serif" w:eastAsia="DejaVu Serif"/>
                <w:b w:val="0"/>
                <w:sz w:val="17"/>
              </w:rPr>
              <w:t>Web shell</w:t>
            </w:r>
          </w:p>
        </w:tc>
        <w:tc>
          <w:tcPr>
            <w:tcW w:type="dxa" w:w="3331"/>
            <w:vAlign w:val="center"/>
          </w:tcPr>
          <w:p>
            <w:r/>
            <w:r>
              <w:rPr>
                <w:rFonts w:ascii="DejaVu Serif" w:hAnsi="DejaVu Serif" w:eastAsia="DejaVu Serif"/>
                <w:b w:val="0"/>
                <w:sz w:val="17"/>
              </w:rPr>
              <w:t>drag-and-drop interface</w:t>
            </w:r>
          </w:p>
        </w:tc>
        <w:tc>
          <w:tcPr>
            <w:tcW w:type="dxa" w:w="3331"/>
            <w:vAlign w:val="center"/>
          </w:tcPr>
          <w:p>
            <w:r/>
            <w:r>
              <w:rPr>
                <w:rFonts w:ascii="DejaVu Serif" w:hAnsi="DejaVu Serif" w:eastAsia="DejaVu Serif"/>
                <w:b w:val="0"/>
                <w:sz w:val="17"/>
              </w:rPr>
              <w:t>web/index.html, server.py</w:t>
            </w:r>
          </w:p>
        </w:tc>
      </w:tr>
      <w:tr>
        <w:tc>
          <w:tcPr>
            <w:tcW w:type="dxa" w:w="3331"/>
            <w:vAlign w:val="center"/>
          </w:tcPr>
          <w:p>
            <w:r/>
            <w:r>
              <w:rPr>
                <w:rFonts w:ascii="DejaVu Serif" w:hAnsi="DejaVu Serif" w:eastAsia="DejaVu Serif"/>
                <w:b w:val="0"/>
                <w:sz w:val="17"/>
              </w:rPr>
              <w:t>Flutter shell</w:t>
            </w:r>
          </w:p>
        </w:tc>
        <w:tc>
          <w:tcPr>
            <w:tcW w:type="dxa" w:w="3331"/>
            <w:vAlign w:val="center"/>
          </w:tcPr>
          <w:p>
            <w:r/>
            <w:r>
              <w:rPr>
                <w:rFonts w:ascii="DejaVu Serif" w:hAnsi="DejaVu Serif" w:eastAsia="DejaVu Serif"/>
                <w:b w:val="0"/>
                <w:sz w:val="17"/>
              </w:rPr>
              <w:t>mobile Android/iOS shell</w:t>
            </w:r>
          </w:p>
        </w:tc>
        <w:tc>
          <w:tcPr>
            <w:tcW w:type="dxa" w:w="3331"/>
            <w:vAlign w:val="center"/>
          </w:tcPr>
          <w:p>
            <w:r/>
            <w:r>
              <w:rPr>
                <w:rFonts w:ascii="DejaVu Serif" w:hAnsi="DejaVu Serif" w:eastAsia="DejaVu Serif"/>
                <w:b w:val="0"/>
                <w:sz w:val="17"/>
              </w:rPr>
              <w:t>mobile_flutter_shell</w:t>
            </w:r>
          </w:p>
        </w:tc>
      </w:tr>
    </w:tbl>
    <w:p/>
    <w:p>
      <w:pPr>
        <w:pStyle w:val="Heading1"/>
      </w:pPr>
      <w:r>
        <w:t>3. KLT 5.1 as SDK and project-graph bridge</w:t>
      </w:r>
    </w:p>
    <w:p>
      <w:r>
        <w:t>KLT 5.1 is fixed as an SDK layer connecting the KLT 5.0 line, construction graph engine, PEAKS/PIX model, lambda defect, project finance indicators and visual outputs inside a cross-platform shell.</w:t>
      </w:r>
    </w:p>
    <w:p>
      <w:r>
        <w:t>SDK formula:</w:t>
      </w:r>
    </w:p>
    <w:p>
      <w:r>
        <w:t>`KLT5.1 = Flutter_UI + Python_reference_core + Project_JSON + lambda_engine + SVG/JSON/MD reports + verification`.</w:t>
      </w:r>
    </w:p>
    <w:p>
      <w:r>
        <w:t>Computational center:</w:t>
      </w:r>
    </w:p>
    <w:p>
      <w:r>
        <w:t>`lambda = ((U - R)(I - D)) / ((U - D)(I - R))`,</w:t>
        <w:br/>
        <w:t>`delta = |lambda + 1|`,</w:t>
        <w:br/>
        <w:t>`Auth = 1/(1 + delta)`.</w:t>
      </w:r>
    </w:p>
    <w:p>
      <w:r>
        <w:t>The audited object is not merely a text but a project configuration: work items, resources, deliveries, estimates, contractual parameters, financial deviations, technological overlays and risk graphs. KLT 5.1 therefore occupies the bridge between the mathematical Reper core and the applied digital product.</w:t>
      </w:r>
    </w:p>
    <w:p>
      <w:pPr>
        <w:pStyle w:val="Caption"/>
      </w:pPr>
      <w:r>
        <w:rPr>
          <w:b/>
        </w:rPr>
        <w:t>Table 2. KLT 5.1 - SDK architecture</w:t>
      </w:r>
    </w:p>
    <w:tbl>
      <w:tblPr>
        <w:tblStyle w:val="TableGrid"/>
        <w:tblW w:type="auto" w:w="0"/>
        <w:jc w:val="center"/>
        <w:tblLook w:firstColumn="1" w:firstRow="1" w:lastColumn="0" w:lastRow="0" w:noHBand="0" w:noVBand="1" w:val="04A0"/>
      </w:tblPr>
      <w:tblGrid>
        <w:gridCol w:w="3331"/>
        <w:gridCol w:w="3331"/>
        <w:gridCol w:w="3331"/>
      </w:tblGrid>
      <w:tr>
        <w:tc>
          <w:tcPr>
            <w:tcW w:type="dxa" w:w="3331"/>
            <w:vAlign w:val="center"/>
            <w:shd w:fill="D9EAF7"/>
          </w:tcPr>
          <w:p>
            <w:r/>
            <w:r>
              <w:rPr>
                <w:rFonts w:ascii="DejaVu Serif" w:hAnsi="DejaVu Serif" w:eastAsia="DejaVu Serif"/>
                <w:b/>
                <w:sz w:val="17"/>
              </w:rPr>
              <w:t>Component</w:t>
            </w:r>
          </w:p>
        </w:tc>
        <w:tc>
          <w:tcPr>
            <w:tcW w:type="dxa" w:w="3331"/>
            <w:vAlign w:val="center"/>
            <w:shd w:fill="D9EAF7"/>
          </w:tcPr>
          <w:p>
            <w:r/>
            <w:r>
              <w:rPr>
                <w:rFonts w:ascii="DejaVu Serif" w:hAnsi="DejaVu Serif" w:eastAsia="DejaVu Serif"/>
                <w:b/>
                <w:sz w:val="17"/>
              </w:rPr>
              <w:t>Function</w:t>
            </w:r>
          </w:p>
        </w:tc>
        <w:tc>
          <w:tcPr>
            <w:tcW w:type="dxa" w:w="3331"/>
            <w:vAlign w:val="center"/>
            <w:shd w:fill="D9EAF7"/>
          </w:tcPr>
          <w:p>
            <w:r/>
            <w:r>
              <w:rPr>
                <w:rFonts w:ascii="DejaVu Serif" w:hAnsi="DejaVu Serif" w:eastAsia="DejaVu Serif"/>
                <w:b/>
                <w:sz w:val="17"/>
              </w:rPr>
              <w:t>D-foundation</w:t>
            </w:r>
          </w:p>
        </w:tc>
      </w:tr>
      <w:tr>
        <w:tc>
          <w:tcPr>
            <w:tcW w:type="dxa" w:w="3331"/>
            <w:vAlign w:val="center"/>
          </w:tcPr>
          <w:p>
            <w:r/>
            <w:r>
              <w:rPr>
                <w:rFonts w:ascii="DejaVu Serif" w:hAnsi="DejaVu Serif" w:eastAsia="DejaVu Serif"/>
                <w:b w:val="0"/>
                <w:sz w:val="17"/>
              </w:rPr>
              <w:t>Flutter app</w:t>
            </w:r>
          </w:p>
        </w:tc>
        <w:tc>
          <w:tcPr>
            <w:tcW w:type="dxa" w:w="3331"/>
            <w:vAlign w:val="center"/>
          </w:tcPr>
          <w:p>
            <w:r/>
            <w:r>
              <w:rPr>
                <w:rFonts w:ascii="DejaVu Serif" w:hAnsi="DejaVu Serif" w:eastAsia="DejaVu Serif"/>
                <w:b w:val="0"/>
                <w:sz w:val="17"/>
              </w:rPr>
              <w:t>trilingual interface and visual tabs</w:t>
            </w:r>
          </w:p>
        </w:tc>
        <w:tc>
          <w:tcPr>
            <w:tcW w:type="dxa" w:w="3331"/>
            <w:vAlign w:val="center"/>
          </w:tcPr>
          <w:p>
            <w:r/>
            <w:r>
              <w:rPr>
                <w:rFonts w:ascii="DejaVu Serif" w:hAnsi="DejaVu Serif" w:eastAsia="DejaVu Serif"/>
                <w:b w:val="0"/>
                <w:sz w:val="17"/>
              </w:rPr>
              <w:t>app/lib, pubspec.yaml</w:t>
            </w:r>
          </w:p>
        </w:tc>
      </w:tr>
      <w:tr>
        <w:tc>
          <w:tcPr>
            <w:tcW w:type="dxa" w:w="3331"/>
            <w:vAlign w:val="center"/>
          </w:tcPr>
          <w:p>
            <w:r/>
            <w:r>
              <w:rPr>
                <w:rFonts w:ascii="DejaVu Serif" w:hAnsi="DejaVu Serif" w:eastAsia="DejaVu Serif"/>
                <w:b w:val="0"/>
                <w:sz w:val="17"/>
              </w:rPr>
              <w:t>Python reference core</w:t>
            </w:r>
          </w:p>
        </w:tc>
        <w:tc>
          <w:tcPr>
            <w:tcW w:type="dxa" w:w="3331"/>
            <w:vAlign w:val="center"/>
          </w:tcPr>
          <w:p>
            <w:r/>
            <w:r>
              <w:rPr>
                <w:rFonts w:ascii="DejaVu Serif" w:hAnsi="DejaVu Serif" w:eastAsia="DejaVu Serif"/>
                <w:b w:val="0"/>
                <w:sz w:val="17"/>
              </w:rPr>
              <w:t>verifiable calculation core</w:t>
            </w:r>
          </w:p>
        </w:tc>
        <w:tc>
          <w:tcPr>
            <w:tcW w:type="dxa" w:w="3331"/>
            <w:vAlign w:val="center"/>
          </w:tcPr>
          <w:p>
            <w:r/>
            <w:r>
              <w:rPr>
                <w:rFonts w:ascii="DejaVu Serif" w:hAnsi="DejaVu Serif" w:eastAsia="DejaVu Serif"/>
                <w:b w:val="0"/>
                <w:sz w:val="17"/>
              </w:rPr>
              <w:t>core_python/klt51_core.py, tests</w:t>
            </w:r>
          </w:p>
        </w:tc>
      </w:tr>
      <w:tr>
        <w:tc>
          <w:tcPr>
            <w:tcW w:type="dxa" w:w="3331"/>
            <w:vAlign w:val="center"/>
          </w:tcPr>
          <w:p>
            <w:r/>
            <w:r>
              <w:rPr>
                <w:rFonts w:ascii="DejaVu Serif" w:hAnsi="DejaVu Serif" w:eastAsia="DejaVu Serif"/>
                <w:b w:val="0"/>
                <w:sz w:val="17"/>
              </w:rPr>
              <w:t>Project JSON</w:t>
            </w:r>
          </w:p>
        </w:tc>
        <w:tc>
          <w:tcPr>
            <w:tcW w:type="dxa" w:w="3331"/>
            <w:vAlign w:val="center"/>
          </w:tcPr>
          <w:p>
            <w:r/>
            <w:r>
              <w:rPr>
                <w:rFonts w:ascii="DejaVu Serif" w:hAnsi="DejaVu Serif" w:eastAsia="DejaVu Serif"/>
                <w:b w:val="0"/>
                <w:sz w:val="17"/>
              </w:rPr>
              <w:t>works/resources/deliveries/costs/finance</w:t>
            </w:r>
          </w:p>
        </w:tc>
        <w:tc>
          <w:tcPr>
            <w:tcW w:type="dxa" w:w="3331"/>
            <w:vAlign w:val="center"/>
          </w:tcPr>
          <w:p>
            <w:r/>
            <w:r>
              <w:rPr>
                <w:rFonts w:ascii="DejaVu Serif" w:hAnsi="DejaVu Serif" w:eastAsia="DejaVu Serif"/>
                <w:b w:val="0"/>
                <w:sz w:val="17"/>
              </w:rPr>
              <w:t>examples/demo_project.json</w:t>
            </w:r>
          </w:p>
        </w:tc>
      </w:tr>
      <w:tr>
        <w:tc>
          <w:tcPr>
            <w:tcW w:type="dxa" w:w="3331"/>
            <w:vAlign w:val="center"/>
          </w:tcPr>
          <w:p>
            <w:r/>
            <w:r>
              <w:rPr>
                <w:rFonts w:ascii="DejaVu Serif" w:hAnsi="DejaVu Serif" w:eastAsia="DejaVu Serif"/>
                <w:b w:val="0"/>
                <w:sz w:val="17"/>
              </w:rPr>
              <w:t>Lambda engine</w:t>
            </w:r>
          </w:p>
        </w:tc>
        <w:tc>
          <w:tcPr>
            <w:tcW w:type="dxa" w:w="3331"/>
            <w:vAlign w:val="center"/>
          </w:tcPr>
          <w:p>
            <w:r/>
            <w:r>
              <w:rPr>
                <w:rFonts w:ascii="DejaVu Serif" w:hAnsi="DejaVu Serif" w:eastAsia="DejaVu Serif"/>
                <w:b w:val="0"/>
                <w:sz w:val="17"/>
              </w:rPr>
              <w:t>lambda, delta, Auth, D*, MSI, DI, CRI</w:t>
            </w:r>
          </w:p>
        </w:tc>
        <w:tc>
          <w:tcPr>
            <w:tcW w:type="dxa" w:w="3331"/>
            <w:vAlign w:val="center"/>
          </w:tcPr>
          <w:p>
            <w:r/>
            <w:r>
              <w:rPr>
                <w:rFonts w:ascii="DejaVu Serif" w:hAnsi="DejaVu Serif" w:eastAsia="DejaVu Serif"/>
                <w:b w:val="0"/>
                <w:sz w:val="17"/>
              </w:rPr>
              <w:t>docs/TZ, source code</w:t>
            </w:r>
          </w:p>
        </w:tc>
      </w:tr>
      <w:tr>
        <w:tc>
          <w:tcPr>
            <w:tcW w:type="dxa" w:w="3331"/>
            <w:vAlign w:val="center"/>
          </w:tcPr>
          <w:p>
            <w:r/>
            <w:r>
              <w:rPr>
                <w:rFonts w:ascii="DejaVu Serif" w:hAnsi="DejaVu Serif" w:eastAsia="DejaVu Serif"/>
                <w:b w:val="0"/>
                <w:sz w:val="17"/>
              </w:rPr>
              <w:t>SVG/MD/JSON outputs</w:t>
            </w:r>
          </w:p>
        </w:tc>
        <w:tc>
          <w:tcPr>
            <w:tcW w:type="dxa" w:w="3331"/>
            <w:vAlign w:val="center"/>
          </w:tcPr>
          <w:p>
            <w:r/>
            <w:r>
              <w:rPr>
                <w:rFonts w:ascii="DejaVu Serif" w:hAnsi="DejaVu Serif" w:eastAsia="DejaVu Serif"/>
                <w:b w:val="0"/>
                <w:sz w:val="17"/>
              </w:rPr>
              <w:t>schemes, charts, report, result</w:t>
            </w:r>
          </w:p>
        </w:tc>
        <w:tc>
          <w:tcPr>
            <w:tcW w:type="dxa" w:w="3331"/>
            <w:vAlign w:val="center"/>
          </w:tcPr>
          <w:p>
            <w:r/>
            <w:r>
              <w:rPr>
                <w:rFonts w:ascii="DejaVu Serif" w:hAnsi="DejaVu Serif" w:eastAsia="DejaVu Serif"/>
                <w:b w:val="0"/>
                <w:sz w:val="17"/>
              </w:rPr>
              <w:t>examples/out</w:t>
            </w:r>
          </w:p>
        </w:tc>
      </w:tr>
    </w:tbl>
    <w:p/>
    <w:p>
      <w:pPr>
        <w:pStyle w:val="Heading1"/>
      </w:pPr>
      <w:r>
        <w:t>4. RBD/RPD as database of Reper evidence and traceability graph</w:t>
      </w:r>
    </w:p>
    <w:p>
      <w:r>
        <w:t>RBD/RPD is defined as a database of Reper objects, sources, versions, site pages, software builds, deposit materials and proof-status queues. It is not a flat bibliography or a folder index; it is a computable map of sufficient foundations.</w:t>
      </w:r>
    </w:p>
    <w:p>
      <w:r>
        <w:t>Minimal schema:</w:t>
      </w:r>
    </w:p>
    <w:p>
      <w:r>
        <w:t>`source -&gt; artifact -&gt; C@C -&gt; Rep -&gt; lambda_audit_item -&gt; evidence_D -&gt; status -&gt; release/deposit/publication link`.</w:t>
      </w:r>
    </w:p>
    <w:p>
      <w:r>
        <w:t>After real-data import, artifacts are not stored only by file name. They receive roles: site_page, fips_package, publication_package, software_build, public_private_split, legal_review_event, lambda_audit_item and release_link. Publication and registration are therefore not performed directly from a directory; they pass through an RBD node, privacy status, legal-review queue and sufficient-foundation check.</w:t>
      </w:r>
    </w:p>
    <w:p>
      <w:pPr>
        <w:pStyle w:val="Caption"/>
      </w:pPr>
      <w:r>
        <w:rPr>
          <w:b/>
        </w:rPr>
        <w:t>Table 3. RBD/RPD - imported classes</w:t>
      </w:r>
    </w:p>
    <w:tbl>
      <w:tblPr>
        <w:tblStyle w:val="TableGrid"/>
        <w:tblW w:type="auto" w:w="0"/>
        <w:jc w:val="center"/>
        <w:tblLook w:firstColumn="1" w:firstRow="1" w:lastColumn="0" w:lastRow="0" w:noHBand="0" w:noVBand="1" w:val="04A0"/>
      </w:tblPr>
      <w:tblGrid>
        <w:gridCol w:w="3331"/>
        <w:gridCol w:w="3331"/>
        <w:gridCol w:w="3331"/>
      </w:tblGrid>
      <w:tr>
        <w:tc>
          <w:tcPr>
            <w:tcW w:type="dxa" w:w="3331"/>
            <w:vAlign w:val="center"/>
            <w:shd w:fill="D9EAF7"/>
          </w:tcPr>
          <w:p>
            <w:r/>
            <w:r>
              <w:rPr>
                <w:rFonts w:ascii="DejaVu Serif" w:hAnsi="DejaVu Serif" w:eastAsia="DejaVu Serif"/>
                <w:b/>
                <w:sz w:val="17"/>
              </w:rPr>
              <w:t>Class</w:t>
            </w:r>
          </w:p>
        </w:tc>
        <w:tc>
          <w:tcPr>
            <w:tcW w:type="dxa" w:w="3331"/>
            <w:vAlign w:val="center"/>
            <w:shd w:fill="D9EAF7"/>
          </w:tcPr>
          <w:p>
            <w:r/>
            <w:r>
              <w:rPr>
                <w:rFonts w:ascii="DejaVu Serif" w:hAnsi="DejaVu Serif" w:eastAsia="DejaVu Serif"/>
                <w:b/>
                <w:sz w:val="17"/>
              </w:rPr>
              <w:t>Meaning</w:t>
            </w:r>
          </w:p>
        </w:tc>
        <w:tc>
          <w:tcPr>
            <w:tcW w:type="dxa" w:w="3331"/>
            <w:vAlign w:val="center"/>
            <w:shd w:fill="D9EAF7"/>
          </w:tcPr>
          <w:p>
            <w:r/>
            <w:r>
              <w:rPr>
                <w:rFonts w:ascii="DejaVu Serif" w:hAnsi="DejaVu Serif" w:eastAsia="DejaVu Serif"/>
                <w:b/>
                <w:sz w:val="17"/>
              </w:rPr>
              <w:t>Status</w:t>
            </w:r>
          </w:p>
        </w:tc>
      </w:tr>
      <w:tr>
        <w:tc>
          <w:tcPr>
            <w:tcW w:type="dxa" w:w="3331"/>
            <w:vAlign w:val="center"/>
          </w:tcPr>
          <w:p>
            <w:r/>
            <w:r>
              <w:rPr>
                <w:rFonts w:ascii="DejaVu Serif" w:hAnsi="DejaVu Serif" w:eastAsia="DejaVu Serif"/>
                <w:b w:val="0"/>
                <w:sz w:val="17"/>
              </w:rPr>
              <w:t>import_artifacts</w:t>
            </w:r>
          </w:p>
        </w:tc>
        <w:tc>
          <w:tcPr>
            <w:tcW w:type="dxa" w:w="3331"/>
            <w:vAlign w:val="center"/>
          </w:tcPr>
          <w:p>
            <w:r/>
            <w:r>
              <w:rPr>
                <w:rFonts w:ascii="DejaVu Serif" w:hAnsi="DejaVu Serif" w:eastAsia="DejaVu Serif"/>
                <w:b w:val="0"/>
                <w:sz w:val="17"/>
              </w:rPr>
              <w:t>real discovered artifacts</w:t>
            </w:r>
          </w:p>
        </w:tc>
        <w:tc>
          <w:tcPr>
            <w:tcW w:type="dxa" w:w="3331"/>
            <w:vAlign w:val="center"/>
          </w:tcPr>
          <w:p>
            <w:r/>
            <w:r>
              <w:rPr>
                <w:rFonts w:ascii="DejaVu Serif" w:hAnsi="DejaVu Serif" w:eastAsia="DejaVu Serif"/>
                <w:b w:val="0"/>
                <w:sz w:val="17"/>
              </w:rPr>
              <w:t>controlled register</w:t>
            </w:r>
          </w:p>
        </w:tc>
      </w:tr>
      <w:tr>
        <w:tc>
          <w:tcPr>
            <w:tcW w:type="dxa" w:w="3331"/>
            <w:vAlign w:val="center"/>
          </w:tcPr>
          <w:p>
            <w:r/>
            <w:r>
              <w:rPr>
                <w:rFonts w:ascii="DejaVu Serif" w:hAnsi="DejaVu Serif" w:eastAsia="DejaVu Serif"/>
                <w:b w:val="0"/>
                <w:sz w:val="17"/>
              </w:rPr>
              <w:t>site_pages</w:t>
            </w:r>
          </w:p>
        </w:tc>
        <w:tc>
          <w:tcPr>
            <w:tcW w:type="dxa" w:w="3331"/>
            <w:vAlign w:val="center"/>
          </w:tcPr>
          <w:p>
            <w:r/>
            <w:r>
              <w:rPr>
                <w:rFonts w:ascii="DejaVu Serif" w:hAnsi="DejaVu Serif" w:eastAsia="DejaVu Serif"/>
                <w:b w:val="0"/>
                <w:sz w:val="17"/>
              </w:rPr>
              <w:t>site pages and mirrors</w:t>
            </w:r>
          </w:p>
        </w:tc>
        <w:tc>
          <w:tcPr>
            <w:tcW w:type="dxa" w:w="3331"/>
            <w:vAlign w:val="center"/>
          </w:tcPr>
          <w:p>
            <w:r/>
            <w:r>
              <w:rPr>
                <w:rFonts w:ascii="DejaVu Serif" w:hAnsi="DejaVu Serif" w:eastAsia="DejaVu Serif"/>
                <w:b w:val="0"/>
                <w:sz w:val="17"/>
              </w:rPr>
              <w:t>public/controlled split</w:t>
            </w:r>
          </w:p>
        </w:tc>
      </w:tr>
      <w:tr>
        <w:tc>
          <w:tcPr>
            <w:tcW w:type="dxa" w:w="3331"/>
            <w:vAlign w:val="center"/>
          </w:tcPr>
          <w:p>
            <w:r/>
            <w:r>
              <w:rPr>
                <w:rFonts w:ascii="DejaVu Serif" w:hAnsi="DejaVu Serif" w:eastAsia="DejaVu Serif"/>
                <w:b w:val="0"/>
                <w:sz w:val="17"/>
              </w:rPr>
              <w:t>fips_packages</w:t>
            </w:r>
          </w:p>
        </w:tc>
        <w:tc>
          <w:tcPr>
            <w:tcW w:type="dxa" w:w="3331"/>
            <w:vAlign w:val="center"/>
          </w:tcPr>
          <w:p>
            <w:r/>
            <w:r>
              <w:rPr>
                <w:rFonts w:ascii="DejaVu Serif" w:hAnsi="DejaVu Serif" w:eastAsia="DejaVu Serif"/>
                <w:b w:val="0"/>
                <w:sz w:val="17"/>
              </w:rPr>
              <w:t>pre-filing package materials</w:t>
            </w:r>
          </w:p>
        </w:tc>
        <w:tc>
          <w:tcPr>
            <w:tcW w:type="dxa" w:w="3331"/>
            <w:vAlign w:val="center"/>
          </w:tcPr>
          <w:p>
            <w:r/>
            <w:r>
              <w:rPr>
                <w:rFonts w:ascii="DejaVu Serif" w:hAnsi="DejaVu Serif" w:eastAsia="DejaVu Serif"/>
                <w:b w:val="0"/>
                <w:sz w:val="17"/>
              </w:rPr>
              <w:t>live-check queue</w:t>
            </w:r>
          </w:p>
        </w:tc>
      </w:tr>
      <w:tr>
        <w:tc>
          <w:tcPr>
            <w:tcW w:type="dxa" w:w="3331"/>
            <w:vAlign w:val="center"/>
          </w:tcPr>
          <w:p>
            <w:r/>
            <w:r>
              <w:rPr>
                <w:rFonts w:ascii="DejaVu Serif" w:hAnsi="DejaVu Serif" w:eastAsia="DejaVu Serif"/>
                <w:b w:val="0"/>
                <w:sz w:val="17"/>
              </w:rPr>
              <w:t>software_builds</w:t>
            </w:r>
          </w:p>
        </w:tc>
        <w:tc>
          <w:tcPr>
            <w:tcW w:type="dxa" w:w="3331"/>
            <w:vAlign w:val="center"/>
          </w:tcPr>
          <w:p>
            <w:r/>
            <w:r>
              <w:rPr>
                <w:rFonts w:ascii="DejaVu Serif" w:hAnsi="DejaVu Serif" w:eastAsia="DejaVu Serif"/>
                <w:b w:val="0"/>
                <w:sz w:val="17"/>
              </w:rPr>
              <w:t>software packages and builds</w:t>
            </w:r>
          </w:p>
        </w:tc>
        <w:tc>
          <w:tcPr>
            <w:tcW w:type="dxa" w:w="3331"/>
            <w:vAlign w:val="center"/>
          </w:tcPr>
          <w:p>
            <w:r/>
            <w:r>
              <w:rPr>
                <w:rFonts w:ascii="DejaVu Serif" w:hAnsi="DejaVu Serif" w:eastAsia="DejaVu Serif"/>
                <w:b w:val="0"/>
                <w:sz w:val="17"/>
              </w:rPr>
              <w:t>sha/checksum binding</w:t>
            </w:r>
          </w:p>
        </w:tc>
      </w:tr>
      <w:tr>
        <w:tc>
          <w:tcPr>
            <w:tcW w:type="dxa" w:w="3331"/>
            <w:vAlign w:val="center"/>
          </w:tcPr>
          <w:p>
            <w:r/>
            <w:r>
              <w:rPr>
                <w:rFonts w:ascii="DejaVu Serif" w:hAnsi="DejaVu Serif" w:eastAsia="DejaVu Serif"/>
                <w:b w:val="0"/>
                <w:sz w:val="17"/>
              </w:rPr>
              <w:t>lambda_audit_items</w:t>
            </w:r>
          </w:p>
        </w:tc>
        <w:tc>
          <w:tcPr>
            <w:tcW w:type="dxa" w:w="3331"/>
            <w:vAlign w:val="center"/>
          </w:tcPr>
          <w:p>
            <w:r/>
            <w:r>
              <w:rPr>
                <w:rFonts w:ascii="DejaVu Serif" w:hAnsi="DejaVu Serif" w:eastAsia="DejaVu Serif"/>
                <w:b w:val="0"/>
                <w:sz w:val="17"/>
              </w:rPr>
              <w:t>lambda-audit nodes</w:t>
            </w:r>
          </w:p>
        </w:tc>
        <w:tc>
          <w:tcPr>
            <w:tcW w:type="dxa" w:w="3331"/>
            <w:vAlign w:val="center"/>
          </w:tcPr>
          <w:p>
            <w:r/>
            <w:r>
              <w:rPr>
                <w:rFonts w:ascii="DejaVu Serif" w:hAnsi="DejaVu Serif" w:eastAsia="DejaVu Serif"/>
                <w:b w:val="0"/>
                <w:sz w:val="17"/>
              </w:rPr>
              <w:t>gap/review mechanism</w:t>
            </w:r>
          </w:p>
        </w:tc>
      </w:tr>
      <w:tr>
        <w:tc>
          <w:tcPr>
            <w:tcW w:type="dxa" w:w="3331"/>
            <w:vAlign w:val="center"/>
          </w:tcPr>
          <w:p>
            <w:r/>
            <w:r>
              <w:rPr>
                <w:rFonts w:ascii="DejaVu Serif" w:hAnsi="DejaVu Serif" w:eastAsia="DejaVu Serif"/>
                <w:b w:val="0"/>
                <w:sz w:val="17"/>
              </w:rPr>
              <w:t>rbd_release_links</w:t>
            </w:r>
          </w:p>
        </w:tc>
        <w:tc>
          <w:tcPr>
            <w:tcW w:type="dxa" w:w="3331"/>
            <w:vAlign w:val="center"/>
          </w:tcPr>
          <w:p>
            <w:r/>
            <w:r>
              <w:rPr>
                <w:rFonts w:ascii="DejaVu Serif" w:hAnsi="DejaVu Serif" w:eastAsia="DejaVu Serif"/>
                <w:b w:val="0"/>
                <w:sz w:val="17"/>
              </w:rPr>
              <w:t>artifact-to-release mapping</w:t>
            </w:r>
          </w:p>
        </w:tc>
        <w:tc>
          <w:tcPr>
            <w:tcW w:type="dxa" w:w="3331"/>
            <w:vAlign w:val="center"/>
          </w:tcPr>
          <w:p>
            <w:r/>
            <w:r>
              <w:rPr>
                <w:rFonts w:ascii="DejaVu Serif" w:hAnsi="DejaVu Serif" w:eastAsia="DejaVu Serif"/>
                <w:b w:val="0"/>
                <w:sz w:val="17"/>
              </w:rPr>
              <w:t>rollback and release map</w:t>
            </w:r>
          </w:p>
        </w:tc>
      </w:tr>
    </w:tbl>
    <w:p/>
    <w:p>
      <w:pPr>
        <w:pStyle w:val="Heading1"/>
      </w:pPr>
      <w:r>
        <w:t>5. Real-data import and control queues</w:t>
      </w:r>
    </w:p>
    <w:p>
      <w:r>
        <w:t>The package `KLT-RBD-SCHEMA-EXTENSION-REAL-DATA-IMPORT-v1.0` imports real project artifacts into a SQLite-based RBD/RPD layer. Website assets, PDF/HTML/MD/CSV/JSON/SQL/ZIP/checksum files, FIPS packages, software builds and publication packages become queryable and auditable objects.</w:t>
      </w:r>
    </w:p>
    <w:p>
      <w:r>
        <w:t>The central discipline is negative: remaining queues are not treated as system failure. FIPS live-check queue, privacy review queue, lambda gaps and public/private split are part of the correct RBD architecture. They identify materials that must not be published, filed or represented as complete without additional foundation.</w:t>
      </w:r>
    </w:p>
    <w:p>
      <w:r>
        <w:t>Traceability theorem. If every publishable or depositable object has source-id, artifact-id, Reper-id, checksum, privacy-status, legal-review-status and release-link, then the publication package reconstructs its origin chain without relying on informal project memory.</w:t>
      </w:r>
    </w:p>
    <w:p>
      <w:r>
        <w:t>Figure 1. RBD/RPD real-data import flow.</w:t>
      </w:r>
    </w:p>
    <w:p>
      <w:r>
        <w:drawing>
          <wp:inline xmlns:a="http://schemas.openxmlformats.org/drawingml/2006/main" xmlns:pic="http://schemas.openxmlformats.org/drawingml/2006/picture">
            <wp:extent cx="5212080" cy="3042728"/>
            <wp:docPr id="1" name="Picture 1"/>
            <wp:cNvGraphicFramePr>
              <a:graphicFrameLocks noChangeAspect="1"/>
            </wp:cNvGraphicFramePr>
            <a:graphic>
              <a:graphicData uri="http://schemas.openxmlformats.org/drawingml/2006/picture">
                <pic:pic>
                  <pic:nvPicPr>
                    <pic:cNvPr id="0" name="rbd_rpd_real_data_import_flow.png"/>
                    <pic:cNvPicPr/>
                  </pic:nvPicPr>
                  <pic:blipFill>
                    <a:blip r:embed="rId11"/>
                    <a:stretch>
                      <a:fillRect/>
                    </a:stretch>
                  </pic:blipFill>
                  <pic:spPr>
                    <a:xfrm>
                      <a:off x="0" y="0"/>
                      <a:ext cx="5212080" cy="3042728"/>
                    </a:xfrm>
                    <a:prstGeom prst="rect"/>
                  </pic:spPr>
                </pic:pic>
              </a:graphicData>
            </a:graphic>
          </wp:inline>
        </w:drawing>
      </w:r>
    </w:p>
    <w:p>
      <w:r>
        <w:t>Figure 2. Imported artifacts by class.</w:t>
      </w:r>
    </w:p>
    <w:p>
      <w:r>
        <w:drawing>
          <wp:inline xmlns:a="http://schemas.openxmlformats.org/drawingml/2006/main" xmlns:pic="http://schemas.openxmlformats.org/drawingml/2006/picture">
            <wp:extent cx="5212080" cy="3127248"/>
            <wp:docPr id="2" name="Picture 2"/>
            <wp:cNvGraphicFramePr>
              <a:graphicFrameLocks noChangeAspect="1"/>
            </wp:cNvGraphicFramePr>
            <a:graphic>
              <a:graphicData uri="http://schemas.openxmlformats.org/drawingml/2006/picture">
                <pic:pic>
                  <pic:nvPicPr>
                    <pic:cNvPr id="0" name="imported_artifacts_by_class_fixed.png"/>
                    <pic:cNvPicPr/>
                  </pic:nvPicPr>
                  <pic:blipFill>
                    <a:blip r:embed="rId12"/>
                    <a:stretch>
                      <a:fillRect/>
                    </a:stretch>
                  </pic:blipFill>
                  <pic:spPr>
                    <a:xfrm>
                      <a:off x="0" y="0"/>
                      <a:ext cx="5212080" cy="3127248"/>
                    </a:xfrm>
                    <a:prstGeom prst="rect"/>
                  </pic:spPr>
                </pic:pic>
              </a:graphicData>
            </a:graphic>
          </wp:inline>
        </w:drawing>
      </w:r>
    </w:p>
    <w:p>
      <w:pPr>
        <w:pStyle w:val="Heading1"/>
      </w:pPr>
      <w:r>
        <w:t>6. The site as publication layer, not as truth source</w:t>
      </w:r>
    </w:p>
    <w:p>
      <w:r>
        <w:t>The kurpishev.com site is treated as a public route, not as the primary truth source. The primary source remains the bundle: source package, manifest, RBD node, checksum, proof-status and QA.</w:t>
      </w:r>
    </w:p>
    <w:p>
      <w:r>
        <w:t>Public route:</w:t>
      </w:r>
    </w:p>
    <w:p>
      <w:r>
        <w:t>`source package -&gt; site route -&gt; public annotation -&gt; download map -&gt; checksum -&gt; rollback point`.</w:t>
      </w:r>
    </w:p>
    <w:p>
      <w:r>
        <w:t>For KLT 4.14/5.1 the short-route discipline is preserved: `/ru/klt/k414.html`, `/ru/klt/k51.html`, folders `a/`, `d/`, `s/`, `v/`, and maps such as `manifest.txt`, `map.json`, `nav.json` and `sitemap.xml`. Short names are not cosmetic; they make publication routes reproducible and portable.</w:t>
      </w:r>
    </w:p>
    <w:p>
      <w:pPr>
        <w:pStyle w:val="Heading1"/>
      </w:pPr>
      <w:r>
        <w:t>7. Boundary between software, database and invention analysis</w:t>
      </w:r>
    </w:p>
    <w:p>
      <w:r>
        <w:t>The legal-technical contour is divided into three cautious routes.</w:t>
      </w:r>
    </w:p>
    <w:p>
      <w:pPr>
        <w:pStyle w:val="ListNumber"/>
      </w:pPr>
      <w:r>
        <w:t>1. Software contour: KLT 4.14 and KLT 5.1 as concrete source-code, interface, reference-core, test, documentation, example and visualization packages.</w:t>
      </w:r>
    </w:p>
    <w:p>
      <w:pPr>
        <w:pStyle w:val="ListNumber"/>
      </w:pPr>
      <w:r>
        <w:t>2. Database contour: RBD/RPD as a structured system of tables, graph edges, records, imports, evidence-binding, release links and audit views.</w:t>
      </w:r>
    </w:p>
    <w:p>
      <w:pPr>
        <w:pStyle w:val="ListNumber"/>
      </w:pPr>
      <w:r>
        <w:t>3. Invention-analysis contour: only a candidate line for a computer-implemented method/system of processing heterogeneous digital documents and project data. This line does not assert pure formulas, abstract mathematics or a mathematical method as such. The candidate object, if developed further, is the technical architecture: input adapters, audit graph, gap localization, report generator and controlled reassembly.</w:t>
      </w:r>
    </w:p>
    <w:p>
      <w:r>
        <w:t>The invention-analysis part of this volume is assigned the status `candidate / requires external patent review`, not the status of a completed patent filing.</w:t>
      </w:r>
    </w:p>
    <w:p>
      <w:pPr>
        <w:pStyle w:val="Caption"/>
      </w:pPr>
      <w:r>
        <w:rPr>
          <w:b/>
        </w:rPr>
        <w:t>Table 4. Legal-technical boundary</w:t>
      </w:r>
    </w:p>
    <w:tbl>
      <w:tblPr>
        <w:tblStyle w:val="TableGrid"/>
        <w:tblW w:type="auto" w:w="0"/>
        <w:jc w:val="center"/>
        <w:tblLook w:firstColumn="1" w:firstRow="1" w:lastColumn="0" w:lastRow="0" w:noHBand="0" w:noVBand="1" w:val="04A0"/>
      </w:tblPr>
      <w:tblGrid>
        <w:gridCol w:w="3331"/>
        <w:gridCol w:w="3331"/>
        <w:gridCol w:w="3331"/>
      </w:tblGrid>
      <w:tr>
        <w:tc>
          <w:tcPr>
            <w:tcW w:type="dxa" w:w="3331"/>
            <w:vAlign w:val="center"/>
            <w:shd w:fill="D9EAF7"/>
          </w:tcPr>
          <w:p>
            <w:r/>
            <w:r>
              <w:rPr>
                <w:rFonts w:ascii="DejaVu Serif" w:hAnsi="DejaVu Serif" w:eastAsia="DejaVu Serif"/>
                <w:b/>
                <w:sz w:val="17"/>
              </w:rPr>
              <w:t>Layer</w:t>
            </w:r>
          </w:p>
        </w:tc>
        <w:tc>
          <w:tcPr>
            <w:tcW w:type="dxa" w:w="3331"/>
            <w:vAlign w:val="center"/>
            <w:shd w:fill="D9EAF7"/>
          </w:tcPr>
          <w:p>
            <w:r/>
            <w:r>
              <w:rPr>
                <w:rFonts w:ascii="DejaVu Serif" w:hAnsi="DejaVu Serif" w:eastAsia="DejaVu Serif"/>
                <w:b/>
                <w:sz w:val="17"/>
              </w:rPr>
              <w:t>Route</w:t>
            </w:r>
          </w:p>
        </w:tc>
        <w:tc>
          <w:tcPr>
            <w:tcW w:type="dxa" w:w="3331"/>
            <w:vAlign w:val="center"/>
            <w:shd w:fill="D9EAF7"/>
          </w:tcPr>
          <w:p>
            <w:r/>
            <w:r>
              <w:rPr>
                <w:rFonts w:ascii="DejaVu Serif" w:hAnsi="DejaVu Serif" w:eastAsia="DejaVu Serif"/>
                <w:b/>
                <w:sz w:val="17"/>
              </w:rPr>
              <w:t>Restriction</w:t>
            </w:r>
          </w:p>
        </w:tc>
      </w:tr>
      <w:tr>
        <w:tc>
          <w:tcPr>
            <w:tcW w:type="dxa" w:w="3331"/>
            <w:vAlign w:val="center"/>
          </w:tcPr>
          <w:p>
            <w:r/>
            <w:r>
              <w:rPr>
                <w:rFonts w:ascii="DejaVu Serif" w:hAnsi="DejaVu Serif" w:eastAsia="DejaVu Serif"/>
                <w:b w:val="0"/>
                <w:sz w:val="17"/>
              </w:rPr>
              <w:t>KLT 4.14 / KLT 5.1</w:t>
            </w:r>
          </w:p>
        </w:tc>
        <w:tc>
          <w:tcPr>
            <w:tcW w:type="dxa" w:w="3331"/>
            <w:vAlign w:val="center"/>
          </w:tcPr>
          <w:p>
            <w:r/>
            <w:r>
              <w:rPr>
                <w:rFonts w:ascii="DejaVu Serif" w:hAnsi="DejaVu Serif" w:eastAsia="DejaVu Serif"/>
                <w:b w:val="0"/>
                <w:sz w:val="17"/>
              </w:rPr>
              <w:t>software dossier</w:t>
            </w:r>
          </w:p>
        </w:tc>
        <w:tc>
          <w:tcPr>
            <w:tcW w:type="dxa" w:w="3331"/>
            <w:vAlign w:val="center"/>
          </w:tcPr>
          <w:p>
            <w:r/>
            <w:r>
              <w:rPr>
                <w:rFonts w:ascii="DejaVu Serif" w:hAnsi="DejaVu Serif" w:eastAsia="DejaVu Serif"/>
                <w:b w:val="0"/>
                <w:sz w:val="17"/>
              </w:rPr>
              <w:t>does not claim classical mathematics as property</w:t>
            </w:r>
          </w:p>
        </w:tc>
      </w:tr>
      <w:tr>
        <w:tc>
          <w:tcPr>
            <w:tcW w:type="dxa" w:w="3331"/>
            <w:vAlign w:val="center"/>
          </w:tcPr>
          <w:p>
            <w:r/>
            <w:r>
              <w:rPr>
                <w:rFonts w:ascii="DejaVu Serif" w:hAnsi="DejaVu Serif" w:eastAsia="DejaVu Serif"/>
                <w:b w:val="0"/>
                <w:sz w:val="17"/>
              </w:rPr>
              <w:t>RBD/RPD</w:t>
            </w:r>
          </w:p>
        </w:tc>
        <w:tc>
          <w:tcPr>
            <w:tcW w:type="dxa" w:w="3331"/>
            <w:vAlign w:val="center"/>
          </w:tcPr>
          <w:p>
            <w:r/>
            <w:r>
              <w:rPr>
                <w:rFonts w:ascii="DejaVu Serif" w:hAnsi="DejaVu Serif" w:eastAsia="DejaVu Serif"/>
                <w:b w:val="0"/>
                <w:sz w:val="17"/>
              </w:rPr>
              <w:t>database registration contour</w:t>
            </w:r>
          </w:p>
        </w:tc>
        <w:tc>
          <w:tcPr>
            <w:tcW w:type="dxa" w:w="3331"/>
            <w:vAlign w:val="center"/>
          </w:tcPr>
          <w:p>
            <w:r/>
            <w:r>
              <w:rPr>
                <w:rFonts w:ascii="DejaVu Serif" w:hAnsi="DejaVu Serif" w:eastAsia="DejaVu Serif"/>
                <w:b w:val="0"/>
                <w:sz w:val="17"/>
              </w:rPr>
              <w:t>personal and mixed artifacts require privacy review</w:t>
            </w:r>
          </w:p>
        </w:tc>
      </w:tr>
      <w:tr>
        <w:tc>
          <w:tcPr>
            <w:tcW w:type="dxa" w:w="3331"/>
            <w:vAlign w:val="center"/>
          </w:tcPr>
          <w:p>
            <w:r/>
            <w:r>
              <w:rPr>
                <w:rFonts w:ascii="DejaVu Serif" w:hAnsi="DejaVu Serif" w:eastAsia="DejaVu Serif"/>
                <w:b w:val="0"/>
                <w:sz w:val="17"/>
              </w:rPr>
              <w:t>KLT algorithmic method</w:t>
            </w:r>
          </w:p>
        </w:tc>
        <w:tc>
          <w:tcPr>
            <w:tcW w:type="dxa" w:w="3331"/>
            <w:vAlign w:val="center"/>
          </w:tcPr>
          <w:p>
            <w:r/>
            <w:r>
              <w:rPr>
                <w:rFonts w:ascii="DejaVu Serif" w:hAnsi="DejaVu Serif" w:eastAsia="DejaVu Serif"/>
                <w:b w:val="0"/>
                <w:sz w:val="17"/>
              </w:rPr>
              <w:t>computer-implemented method candidate</w:t>
            </w:r>
          </w:p>
        </w:tc>
        <w:tc>
          <w:tcPr>
            <w:tcW w:type="dxa" w:w="3331"/>
            <w:vAlign w:val="center"/>
          </w:tcPr>
          <w:p>
            <w:r/>
            <w:r>
              <w:rPr>
                <w:rFonts w:ascii="DejaVu Serif" w:hAnsi="DejaVu Serif" w:eastAsia="DejaVu Serif"/>
                <w:b w:val="0"/>
                <w:sz w:val="17"/>
              </w:rPr>
              <w:t>requires external patent review</w:t>
            </w:r>
          </w:p>
        </w:tc>
      </w:tr>
      <w:tr>
        <w:tc>
          <w:tcPr>
            <w:tcW w:type="dxa" w:w="3331"/>
            <w:vAlign w:val="center"/>
          </w:tcPr>
          <w:p>
            <w:r/>
            <w:r>
              <w:rPr>
                <w:rFonts w:ascii="DejaVu Serif" w:hAnsi="DejaVu Serif" w:eastAsia="DejaVu Serif"/>
                <w:b w:val="0"/>
                <w:sz w:val="17"/>
              </w:rPr>
              <w:t>Site layer</w:t>
            </w:r>
          </w:p>
        </w:tc>
        <w:tc>
          <w:tcPr>
            <w:tcW w:type="dxa" w:w="3331"/>
            <w:vAlign w:val="center"/>
          </w:tcPr>
          <w:p>
            <w:r/>
            <w:r>
              <w:rPr>
                <w:rFonts w:ascii="DejaVu Serif" w:hAnsi="DejaVu Serif" w:eastAsia="DejaVu Serif"/>
                <w:b w:val="0"/>
                <w:sz w:val="17"/>
              </w:rPr>
              <w:t>publication and public annotation</w:t>
            </w:r>
          </w:p>
        </w:tc>
        <w:tc>
          <w:tcPr>
            <w:tcW w:type="dxa" w:w="3331"/>
            <w:vAlign w:val="center"/>
          </w:tcPr>
          <w:p>
            <w:r/>
            <w:r>
              <w:rPr>
                <w:rFonts w:ascii="DejaVu Serif" w:hAnsi="DejaVu Serif" w:eastAsia="DejaVu Serif"/>
                <w:b w:val="0"/>
                <w:sz w:val="17"/>
              </w:rPr>
              <w:t>does not replace source of truth or official deposit</w:t>
            </w:r>
          </w:p>
        </w:tc>
      </w:tr>
    </w:tbl>
    <w:p/>
    <w:p>
      <w:pPr>
        <w:pStyle w:val="Heading1"/>
      </w:pPr>
      <w:r>
        <w:t>8. Deposit package and public/private split</w:t>
      </w:r>
    </w:p>
    <w:p>
      <w:r>
        <w:t>Deposit material must be separated into public, controlled and restricted elements.</w:t>
      </w:r>
    </w:p>
    <w:p>
      <w:r>
        <w:t>Public elements: site-ready pages, public annotations, brief README files, demo JSON/SVG/MD, general schemes and download routes.</w:t>
      </w:r>
    </w:p>
    <w:p>
      <w:r>
        <w:t>Controlled elements: source ZIP packages, SQLite databases, CSV exports, SHA256 files, manifests, verification logs, technical descriptions, filing drafts and field maps.</w:t>
      </w:r>
    </w:p>
    <w:p>
      <w:r>
        <w:t>Restricted or review-required elements: personal data, mixed artifacts, private documents, uncleaned requisites, intermediate legal-review notes and any material that may disclose excessive information before filing.</w:t>
      </w:r>
    </w:p>
    <w:p>
      <w:r>
        <w:t>Rule: `public route` must not be created before `public/private split`. If the split is absent, the object is not published; it is moved to review.</w:t>
      </w:r>
    </w:p>
    <w:p>
      <w:pPr>
        <w:pStyle w:val="Heading1"/>
      </w:pPr>
      <w:r>
        <w:t>9. QA contour of Volume VI EN</w:t>
      </w:r>
    </w:p>
    <w:p>
      <w:r>
        <w:t>The QA contour contains five checks.</w:t>
      </w:r>
    </w:p>
    <w:p>
      <w:pPr>
        <w:pStyle w:val="ListBullet"/>
      </w:pPr>
      <w:r>
        <w:t>Source QA: source files, roles and SHA256 hashes are listed.</w:t>
      </w:r>
    </w:p>
    <w:p>
      <w:pPr>
        <w:pStyle w:val="ListBullet"/>
      </w:pPr>
      <w:r>
        <w:t>Document QA: DOCX, PDF, TEX and MD are created.</w:t>
      </w:r>
    </w:p>
    <w:p>
      <w:pPr>
        <w:pStyle w:val="ListBullet"/>
      </w:pPr>
      <w:r>
        <w:t>Render QA: DOCX and PDF are rendered to PNG pages and contact sheets.</w:t>
      </w:r>
    </w:p>
    <w:p>
      <w:pPr>
        <w:pStyle w:val="ListBullet"/>
      </w:pPr>
      <w:r>
        <w:t>Package QA: ZIP is created, SHA256 is generated and `unzip -t` is executed.</w:t>
      </w:r>
    </w:p>
    <w:p>
      <w:pPr>
        <w:pStyle w:val="ListBullet"/>
      </w:pPr>
      <w:r>
        <w:t>Legal-technical QA: legal boundary matrix and deposit materials map are included; final official filing is reserved for a live procedural check.</w:t>
      </w:r>
    </w:p>
    <w:p>
      <w:r>
        <w:t>Final v8.2 status: `ready as English monograph volume and technical-registration binder; not a final legal filing without live official-form verification`.</w:t>
      </w:r>
    </w:p>
    <w:p>
      <w:pPr>
        <w:pStyle w:val="Heading1"/>
      </w:pPr>
      <w:r>
        <w:t>10. Definitions and theorems</w:t>
      </w:r>
    </w:p>
    <w:p>
      <w:r>
        <w:t>Definition 10.1. A Software-Reper is a quadruple `Rep_SW = (R_code, I_method, U_runtime, D_verification)`, where D_verification includes source, checksum, test, documentation and runtime environment.</w:t>
      </w:r>
    </w:p>
    <w:p>
      <w:r>
        <w:t>Definition 10.2. A Database-Reper is a quadruple `Rep_DB = (R_records, I_schema, U_queries, D_integrity)`, where D_integrity includes schema, export, checksum, SQL queries and integrity-check log.</w:t>
      </w:r>
    </w:p>
    <w:p>
      <w:r>
        <w:t>Definition 10.3. A Deposit-Reper is a quadruple `Rep_DEP = (R_materials, I_claim_route, U_registration_routes, D_formal_basis)`, where D_formal_basis is not replaced by the intention to file; it requires current forms, material list, identity/author data and privacy review.</w:t>
      </w:r>
    </w:p>
    <w:p>
      <w:r>
        <w:t>Theorem 10.4. If a software or database object has C@C fixation, a Reper quadruple, checksum, verification log and RBD binding, then it admits a reproducible technical audit trail.</w:t>
      </w:r>
    </w:p>
    <w:p>
      <w:r>
        <w:t>Proof. C@C fixes event and state. Reper supplies the four mandatory components. SHA256 fixes file identity. The verification log connects the file to an execution or review environment. RBD binding places the object in a source-artifact-evidence-status graph. Hence the object can be reconstructed as `source -&gt; artifact -&gt; evidence -&gt; status`.</w:t>
      </w:r>
    </w:p>
    <w:p>
      <w:r>
        <w:t>Corollary 10.5. The absence of any of these components does not destroy the object; it moves the object from ready-for-deposit status to a gap queue.</w:t>
      </w:r>
    </w:p>
    <w:p>
      <w:pPr>
        <w:pStyle w:val="Heading1"/>
      </w:pPr>
      <w:r>
        <w:t>Appendix A. Source binding</w:t>
      </w:r>
    </w:p>
    <w:p>
      <w:pPr>
        <w:pStyle w:val="Caption"/>
      </w:pPr>
      <w:r>
        <w:rPr>
          <w:b/>
        </w:rPr>
        <w:t>Table A1. Source binding</w:t>
      </w:r>
    </w:p>
    <w:tbl>
      <w:tblPr>
        <w:tblStyle w:val="TableGrid"/>
        <w:tblW w:type="auto" w:w="0"/>
        <w:jc w:val="center"/>
        <w:tblLook w:firstColumn="1" w:firstRow="1" w:lastColumn="0" w:lastRow="0" w:noHBand="0" w:noVBand="1" w:val="04A0"/>
      </w:tblPr>
      <w:tblGrid>
        <w:gridCol w:w="2498"/>
        <w:gridCol w:w="2498"/>
        <w:gridCol w:w="2498"/>
        <w:gridCol w:w="2498"/>
      </w:tblGrid>
      <w:tr>
        <w:tc>
          <w:tcPr>
            <w:tcW w:type="dxa" w:w="2498"/>
            <w:vAlign w:val="center"/>
            <w:shd w:fill="D9EAF7"/>
          </w:tcPr>
          <w:p>
            <w:r/>
            <w:r>
              <w:rPr>
                <w:rFonts w:ascii="DejaVu Serif" w:hAnsi="DejaVu Serif" w:eastAsia="DejaVu Serif"/>
                <w:b/>
                <w:sz w:val="17"/>
              </w:rPr>
              <w:t>Source</w:t>
            </w:r>
          </w:p>
        </w:tc>
        <w:tc>
          <w:tcPr>
            <w:tcW w:type="dxa" w:w="2498"/>
            <w:vAlign w:val="center"/>
            <w:shd w:fill="D9EAF7"/>
          </w:tcPr>
          <w:p>
            <w:r/>
            <w:r>
              <w:rPr>
                <w:rFonts w:ascii="DejaVu Serif" w:hAnsi="DejaVu Serif" w:eastAsia="DejaVu Serif"/>
                <w:b/>
                <w:sz w:val="17"/>
              </w:rPr>
              <w:t>Size</w:t>
            </w:r>
          </w:p>
        </w:tc>
        <w:tc>
          <w:tcPr>
            <w:tcW w:type="dxa" w:w="2498"/>
            <w:vAlign w:val="center"/>
            <w:shd w:fill="D9EAF7"/>
          </w:tcPr>
          <w:p>
            <w:r/>
            <w:r>
              <w:rPr>
                <w:rFonts w:ascii="DejaVu Serif" w:hAnsi="DejaVu Serif" w:eastAsia="DejaVu Serif"/>
                <w:b/>
                <w:sz w:val="17"/>
              </w:rPr>
              <w:t>SHA256</w:t>
            </w:r>
          </w:p>
        </w:tc>
        <w:tc>
          <w:tcPr>
            <w:tcW w:type="dxa" w:w="2498"/>
            <w:vAlign w:val="center"/>
            <w:shd w:fill="D9EAF7"/>
          </w:tcPr>
          <w:p>
            <w:r/>
            <w:r>
              <w:rPr>
                <w:rFonts w:ascii="DejaVu Serif" w:hAnsi="DejaVu Serif" w:eastAsia="DejaVu Serif"/>
                <w:b/>
                <w:sz w:val="17"/>
              </w:rPr>
              <w:t>Role</w:t>
            </w:r>
          </w:p>
        </w:tc>
      </w:tr>
      <w:tr>
        <w:tc>
          <w:tcPr>
            <w:tcW w:type="dxa" w:w="2498"/>
            <w:vAlign w:val="center"/>
          </w:tcPr>
          <w:p>
            <w:r/>
            <w:r>
              <w:rPr>
                <w:rFonts w:ascii="DejaVu Serif" w:hAnsi="DejaVu Serif" w:eastAsia="DejaVu Serif"/>
                <w:b w:val="0"/>
                <w:sz w:val="17"/>
              </w:rPr>
              <w:t>monograph5_0_ru.pdf</w:t>
            </w:r>
          </w:p>
        </w:tc>
        <w:tc>
          <w:tcPr>
            <w:tcW w:type="dxa" w:w="2498"/>
            <w:vAlign w:val="center"/>
          </w:tcPr>
          <w:p>
            <w:r/>
            <w:r>
              <w:rPr>
                <w:rFonts w:ascii="DejaVu Serif" w:hAnsi="DejaVu Serif" w:eastAsia="DejaVu Serif"/>
                <w:b w:val="0"/>
                <w:sz w:val="17"/>
              </w:rPr>
              <w:t>14300260</w:t>
            </w:r>
          </w:p>
        </w:tc>
        <w:tc>
          <w:tcPr>
            <w:tcW w:type="dxa" w:w="2498"/>
            <w:vAlign w:val="center"/>
          </w:tcPr>
          <w:p>
            <w:r/>
            <w:r>
              <w:rPr>
                <w:rFonts w:ascii="DejaVu Serif" w:hAnsi="DejaVu Serif" w:eastAsia="DejaVu Serif"/>
                <w:b w:val="0"/>
                <w:sz w:val="17"/>
              </w:rPr>
              <w:t>ea84bab141342eb6...</w:t>
            </w:r>
          </w:p>
        </w:tc>
        <w:tc>
          <w:tcPr>
            <w:tcW w:type="dxa" w:w="2498"/>
            <w:vAlign w:val="center"/>
          </w:tcPr>
          <w:p>
            <w:r/>
            <w:r>
              <w:rPr>
                <w:rFonts w:ascii="DejaVu Serif" w:hAnsi="DejaVu Serif" w:eastAsia="DejaVu Serif"/>
                <w:b w:val="0"/>
                <w:sz w:val="17"/>
              </w:rPr>
              <w:t>Master corpus 5.0: C@C, Rep, lambda, KPF/RPHD, KLT/RBD applications and source-preservation discipline.</w:t>
            </w:r>
          </w:p>
        </w:tc>
      </w:tr>
      <w:tr>
        <w:tc>
          <w:tcPr>
            <w:tcW w:type="dxa" w:w="2498"/>
            <w:vAlign w:val="center"/>
          </w:tcPr>
          <w:p>
            <w:r/>
            <w:r>
              <w:rPr>
                <w:rFonts w:ascii="DejaVu Serif" w:hAnsi="DejaVu Serif" w:eastAsia="DejaVu Serif"/>
                <w:b w:val="0"/>
                <w:sz w:val="17"/>
              </w:rPr>
              <w:t>KLT_4_14_CHECKED_BUILD.zip</w:t>
            </w:r>
          </w:p>
        </w:tc>
        <w:tc>
          <w:tcPr>
            <w:tcW w:type="dxa" w:w="2498"/>
            <w:vAlign w:val="center"/>
          </w:tcPr>
          <w:p>
            <w:r/>
            <w:r>
              <w:rPr>
                <w:rFonts w:ascii="DejaVu Serif" w:hAnsi="DejaVu Serif" w:eastAsia="DejaVu Serif"/>
                <w:b w:val="0"/>
                <w:sz w:val="17"/>
              </w:rPr>
              <w:t>1170911</w:t>
            </w:r>
          </w:p>
        </w:tc>
        <w:tc>
          <w:tcPr>
            <w:tcW w:type="dxa" w:w="2498"/>
            <w:vAlign w:val="center"/>
          </w:tcPr>
          <w:p>
            <w:r/>
            <w:r>
              <w:rPr>
                <w:rFonts w:ascii="DejaVu Serif" w:hAnsi="DejaVu Serif" w:eastAsia="DejaVu Serif"/>
                <w:b w:val="0"/>
                <w:sz w:val="17"/>
              </w:rPr>
              <w:t>5d48e7ce184527fb...</w:t>
            </w:r>
          </w:p>
        </w:tc>
        <w:tc>
          <w:tcPr>
            <w:tcW w:type="dxa" w:w="2498"/>
            <w:vAlign w:val="center"/>
          </w:tcPr>
          <w:p>
            <w:r/>
            <w:r>
              <w:rPr>
                <w:rFonts w:ascii="DejaVu Serif" w:hAnsi="DejaVu Serif" w:eastAsia="DejaVu Serif"/>
                <w:b w:val="0"/>
                <w:sz w:val="17"/>
              </w:rPr>
              <w:t>Checked KLT 4.14 build: universal import, web shell, mobile shell, checklist and report workflow.</w:t>
            </w:r>
          </w:p>
        </w:tc>
      </w:tr>
      <w:tr>
        <w:tc>
          <w:tcPr>
            <w:tcW w:type="dxa" w:w="2498"/>
            <w:vAlign w:val="center"/>
          </w:tcPr>
          <w:p>
            <w:r/>
            <w:r>
              <w:rPr>
                <w:rFonts w:ascii="DejaVu Serif" w:hAnsi="DejaVu Serif" w:eastAsia="DejaVu Serif"/>
                <w:b w:val="0"/>
                <w:sz w:val="17"/>
              </w:rPr>
              <w:t>KLT5_1_FLUTTER_SDK_PACKAGE.zip</w:t>
            </w:r>
          </w:p>
        </w:tc>
        <w:tc>
          <w:tcPr>
            <w:tcW w:type="dxa" w:w="2498"/>
            <w:vAlign w:val="center"/>
          </w:tcPr>
          <w:p>
            <w:r/>
            <w:r>
              <w:rPr>
                <w:rFonts w:ascii="DejaVu Serif" w:hAnsi="DejaVu Serif" w:eastAsia="DejaVu Serif"/>
                <w:b w:val="0"/>
                <w:sz w:val="17"/>
              </w:rPr>
              <w:t>3019939</w:t>
            </w:r>
          </w:p>
        </w:tc>
        <w:tc>
          <w:tcPr>
            <w:tcW w:type="dxa" w:w="2498"/>
            <w:vAlign w:val="center"/>
          </w:tcPr>
          <w:p>
            <w:r/>
            <w:r>
              <w:rPr>
                <w:rFonts w:ascii="DejaVu Serif" w:hAnsi="DejaVu Serif" w:eastAsia="DejaVu Serif"/>
                <w:b w:val="0"/>
                <w:sz w:val="17"/>
              </w:rPr>
              <w:t>d373e55bab5e63fa...</w:t>
            </w:r>
          </w:p>
        </w:tc>
        <w:tc>
          <w:tcPr>
            <w:tcW w:type="dxa" w:w="2498"/>
            <w:vAlign w:val="center"/>
          </w:tcPr>
          <w:p>
            <w:r/>
            <w:r>
              <w:rPr>
                <w:rFonts w:ascii="DejaVu Serif" w:hAnsi="DejaVu Serif" w:eastAsia="DejaVu Serif"/>
                <w:b w:val="0"/>
                <w:sz w:val="17"/>
              </w:rPr>
              <w:t>KLT 5.1 Flutter SDK: cross-platform application, Python reference core, examples and verification.</w:t>
            </w:r>
          </w:p>
        </w:tc>
      </w:tr>
      <w:tr>
        <w:tc>
          <w:tcPr>
            <w:tcW w:type="dxa" w:w="2498"/>
            <w:vAlign w:val="center"/>
          </w:tcPr>
          <w:p>
            <w:r/>
            <w:r>
              <w:rPr>
                <w:rFonts w:ascii="DejaVu Serif" w:hAnsi="DejaVu Serif" w:eastAsia="DejaVu Serif"/>
                <w:b w:val="0"/>
                <w:sz w:val="17"/>
              </w:rPr>
              <w:t>klt_rbd_schema_extension_real_data_import_v1_0_fixed.zip</w:t>
            </w:r>
          </w:p>
        </w:tc>
        <w:tc>
          <w:tcPr>
            <w:tcW w:type="dxa" w:w="2498"/>
            <w:vAlign w:val="center"/>
          </w:tcPr>
          <w:p>
            <w:r/>
            <w:r>
              <w:rPr>
                <w:rFonts w:ascii="DejaVu Serif" w:hAnsi="DejaVu Serif" w:eastAsia="DejaVu Serif"/>
                <w:b w:val="0"/>
                <w:sz w:val="17"/>
              </w:rPr>
              <w:t>11969199</w:t>
            </w:r>
          </w:p>
        </w:tc>
        <w:tc>
          <w:tcPr>
            <w:tcW w:type="dxa" w:w="2498"/>
            <w:vAlign w:val="center"/>
          </w:tcPr>
          <w:p>
            <w:r/>
            <w:r>
              <w:rPr>
                <w:rFonts w:ascii="DejaVu Serif" w:hAnsi="DejaVu Serif" w:eastAsia="DejaVu Serif"/>
                <w:b w:val="0"/>
                <w:sz w:val="17"/>
              </w:rPr>
              <w:t>406632a118589a45...</w:t>
            </w:r>
          </w:p>
        </w:tc>
        <w:tc>
          <w:tcPr>
            <w:tcW w:type="dxa" w:w="2498"/>
            <w:vAlign w:val="center"/>
          </w:tcPr>
          <w:p>
            <w:r/>
            <w:r>
              <w:rPr>
                <w:rFonts w:ascii="DejaVu Serif" w:hAnsi="DejaVu Serif" w:eastAsia="DejaVu Serif"/>
                <w:b w:val="0"/>
                <w:sz w:val="17"/>
              </w:rPr>
              <w:t>RBD/RPD schema extension and real-data import: SQLite, imported artifacts, site pages, FIPS queues and lambda audit items.</w:t>
            </w:r>
          </w:p>
        </w:tc>
      </w:tr>
      <w:tr>
        <w:tc>
          <w:tcPr>
            <w:tcW w:type="dxa" w:w="2498"/>
            <w:vAlign w:val="center"/>
          </w:tcPr>
          <w:p>
            <w:r/>
            <w:r>
              <w:rPr>
                <w:rFonts w:ascii="DejaVu Serif" w:hAnsi="DejaVu Serif" w:eastAsia="DejaVu Serif"/>
                <w:b w:val="0"/>
                <w:sz w:val="17"/>
              </w:rPr>
              <w:t>kurpishev_com_klt414_fixed_site_package.zip</w:t>
            </w:r>
          </w:p>
        </w:tc>
        <w:tc>
          <w:tcPr>
            <w:tcW w:type="dxa" w:w="2498"/>
            <w:vAlign w:val="center"/>
          </w:tcPr>
          <w:p>
            <w:r/>
            <w:r>
              <w:rPr>
                <w:rFonts w:ascii="DejaVu Serif" w:hAnsi="DejaVu Serif" w:eastAsia="DejaVu Serif"/>
                <w:b w:val="0"/>
                <w:sz w:val="17"/>
              </w:rPr>
              <w:t>4714585</w:t>
            </w:r>
          </w:p>
        </w:tc>
        <w:tc>
          <w:tcPr>
            <w:tcW w:type="dxa" w:w="2498"/>
            <w:vAlign w:val="center"/>
          </w:tcPr>
          <w:p>
            <w:r/>
            <w:r>
              <w:rPr>
                <w:rFonts w:ascii="DejaVu Serif" w:hAnsi="DejaVu Serif" w:eastAsia="DejaVu Serif"/>
                <w:b w:val="0"/>
                <w:sz w:val="17"/>
              </w:rPr>
              <w:t>9b334cdfa2bcdf2d...</w:t>
            </w:r>
          </w:p>
        </w:tc>
        <w:tc>
          <w:tcPr>
            <w:tcW w:type="dxa" w:w="2498"/>
            <w:vAlign w:val="center"/>
          </w:tcPr>
          <w:p>
            <w:r/>
            <w:r>
              <w:rPr>
                <w:rFonts w:ascii="DejaVu Serif" w:hAnsi="DejaVu Serif" w:eastAsia="DejaVu Serif"/>
                <w:b w:val="0"/>
                <w:sz w:val="17"/>
              </w:rPr>
              <w:t>Short-name website logistics for KLT 4.14/5.1.</w:t>
            </w:r>
          </w:p>
        </w:tc>
      </w:tr>
      <w:tr>
        <w:tc>
          <w:tcPr>
            <w:tcW w:type="dxa" w:w="2498"/>
            <w:vAlign w:val="center"/>
          </w:tcPr>
          <w:p>
            <w:r/>
            <w:r>
              <w:rPr>
                <w:rFonts w:ascii="DejaVu Serif" w:hAnsi="DejaVu Serif" w:eastAsia="DejaVu Serif"/>
                <w:b w:val="0"/>
                <w:sz w:val="17"/>
              </w:rPr>
              <w:t>kurpishev_site_responsive_polished_pack.zip</w:t>
            </w:r>
          </w:p>
        </w:tc>
        <w:tc>
          <w:tcPr>
            <w:tcW w:type="dxa" w:w="2498"/>
            <w:vAlign w:val="center"/>
          </w:tcPr>
          <w:p>
            <w:r/>
            <w:r>
              <w:rPr>
                <w:rFonts w:ascii="DejaVu Serif" w:hAnsi="DejaVu Serif" w:eastAsia="DejaVu Serif"/>
                <w:b w:val="0"/>
                <w:sz w:val="17"/>
              </w:rPr>
              <w:t>18759229</w:t>
            </w:r>
          </w:p>
        </w:tc>
        <w:tc>
          <w:tcPr>
            <w:tcW w:type="dxa" w:w="2498"/>
            <w:vAlign w:val="center"/>
          </w:tcPr>
          <w:p>
            <w:r/>
            <w:r>
              <w:rPr>
                <w:rFonts w:ascii="DejaVu Serif" w:hAnsi="DejaVu Serif" w:eastAsia="DejaVu Serif"/>
                <w:b w:val="0"/>
                <w:sz w:val="17"/>
              </w:rPr>
              <w:t>89713f360a21100a...</w:t>
            </w:r>
          </w:p>
        </w:tc>
        <w:tc>
          <w:tcPr>
            <w:tcW w:type="dxa" w:w="2498"/>
            <w:vAlign w:val="center"/>
          </w:tcPr>
          <w:p>
            <w:r/>
            <w:r>
              <w:rPr>
                <w:rFonts w:ascii="DejaVu Serif" w:hAnsi="DejaVu Serif" w:eastAsia="DejaVu Serif"/>
                <w:b w:val="0"/>
                <w:sz w:val="17"/>
              </w:rPr>
              <w:t>Responsive site publication layer with KLT pages and download assets.</w:t>
            </w:r>
          </w:p>
        </w:tc>
      </w:tr>
      <w:tr>
        <w:tc>
          <w:tcPr>
            <w:tcW w:type="dxa" w:w="2498"/>
            <w:vAlign w:val="center"/>
          </w:tcPr>
          <w:p>
            <w:r/>
            <w:r>
              <w:rPr>
                <w:rFonts w:ascii="DejaVu Serif" w:hAnsi="DejaVu Serif" w:eastAsia="DejaVu Serif"/>
                <w:b w:val="0"/>
                <w:sz w:val="17"/>
              </w:rPr>
              <w:t>KLT_DOCTRINE_MONOGRAPH_SOURCE_v7_0_PACKAGE (1).zip</w:t>
            </w:r>
          </w:p>
        </w:tc>
        <w:tc>
          <w:tcPr>
            <w:tcW w:type="dxa" w:w="2498"/>
            <w:vAlign w:val="center"/>
          </w:tcPr>
          <w:p>
            <w:r/>
            <w:r>
              <w:rPr>
                <w:rFonts w:ascii="DejaVu Serif" w:hAnsi="DejaVu Serif" w:eastAsia="DejaVu Serif"/>
                <w:b w:val="0"/>
                <w:sz w:val="17"/>
              </w:rPr>
              <w:t>35008439</w:t>
            </w:r>
          </w:p>
        </w:tc>
        <w:tc>
          <w:tcPr>
            <w:tcW w:type="dxa" w:w="2498"/>
            <w:vAlign w:val="center"/>
          </w:tcPr>
          <w:p>
            <w:r/>
            <w:r>
              <w:rPr>
                <w:rFonts w:ascii="DejaVu Serif" w:hAnsi="DejaVu Serif" w:eastAsia="DejaVu Serif"/>
                <w:b w:val="0"/>
                <w:sz w:val="17"/>
              </w:rPr>
              <w:t>b50a0408fa8f745d...</w:t>
            </w:r>
          </w:p>
        </w:tc>
        <w:tc>
          <w:tcPr>
            <w:tcW w:type="dxa" w:w="2498"/>
            <w:vAlign w:val="center"/>
          </w:tcPr>
          <w:p>
            <w:r/>
            <w:r>
              <w:rPr>
                <w:rFonts w:ascii="DejaVu Serif" w:hAnsi="DejaVu Serif" w:eastAsia="DejaVu Serif"/>
                <w:b w:val="0"/>
                <w:sz w:val="17"/>
              </w:rPr>
              <w:t>Doctrine monograph source skeleton and assembly protocol v7.0.</w:t>
            </w:r>
          </w:p>
        </w:tc>
      </w:tr>
      <w:tr>
        <w:tc>
          <w:tcPr>
            <w:tcW w:type="dxa" w:w="2498"/>
            <w:vAlign w:val="center"/>
          </w:tcPr>
          <w:p>
            <w:r/>
            <w:r>
              <w:rPr>
                <w:rFonts w:ascii="DejaVu Serif" w:hAnsi="DejaVu Serif" w:eastAsia="DejaVu Serif"/>
                <w:b w:val="0"/>
                <w:sz w:val="17"/>
              </w:rPr>
              <w:t>KLT_DOCTRINE_VOL6_RU_v8_1_PACKAGE.zip</w:t>
            </w:r>
          </w:p>
        </w:tc>
        <w:tc>
          <w:tcPr>
            <w:tcW w:type="dxa" w:w="2498"/>
            <w:vAlign w:val="center"/>
          </w:tcPr>
          <w:p>
            <w:r/>
            <w:r>
              <w:rPr>
                <w:rFonts w:ascii="DejaVu Serif" w:hAnsi="DejaVu Serif" w:eastAsia="DejaVu Serif"/>
                <w:b w:val="0"/>
                <w:sz w:val="17"/>
              </w:rPr>
              <w:t>1992535</w:t>
            </w:r>
          </w:p>
        </w:tc>
        <w:tc>
          <w:tcPr>
            <w:tcW w:type="dxa" w:w="2498"/>
            <w:vAlign w:val="center"/>
          </w:tcPr>
          <w:p>
            <w:r/>
            <w:r>
              <w:rPr>
                <w:rFonts w:ascii="DejaVu Serif" w:hAnsi="DejaVu Serif" w:eastAsia="DejaVu Serif"/>
                <w:b w:val="0"/>
                <w:sz w:val="17"/>
              </w:rPr>
              <w:t>991b34b205d78efb...</w:t>
            </w:r>
          </w:p>
        </w:tc>
        <w:tc>
          <w:tcPr>
            <w:tcW w:type="dxa" w:w="2498"/>
            <w:vAlign w:val="center"/>
          </w:tcPr>
          <w:p>
            <w:r/>
            <w:r>
              <w:rPr>
                <w:rFonts w:ascii="DejaVu Serif" w:hAnsi="DejaVu Serif" w:eastAsia="DejaVu Serif"/>
                <w:b w:val="0"/>
                <w:sz w:val="17"/>
              </w:rPr>
              <w:t>Russian Volume VI v8.1 source package used as translation and synchronization basis.</w:t>
            </w:r>
          </w:p>
        </w:tc>
      </w:tr>
    </w:tbl>
    <w:p/>
    <w:p>
      <w:pPr>
        <w:pStyle w:val="Heading1"/>
      </w:pPr>
      <w:r>
        <w:t>Appendix B. Control CSV files</w:t>
      </w:r>
    </w:p>
    <w:p>
      <w:r>
        <w:t>Control files created: LEGAL_BOUNDARY_MATRIX_VOL6_EN_v8_2.csv and DEPOSIT_MATERIALS_MAP_VOL6_EN_v8_2.csv. They are included in the transport ZIP and serve as the legal-technical boundary index and deposit-material map.</w:t>
      </w:r>
    </w:p>
    <w:p>
      <w:pPr>
        <w:pStyle w:val="Heading1"/>
      </w:pPr>
      <w:r>
        <w:t>Next point</w:t>
      </w:r>
    </w:p>
    <w:p>
      <w:r>
        <w:t>KLT-DOCTRINE-FINAL-MONOGRAPH-MASTER-INDEX-SITE-BUNDLE-RU-EN-v8.3</w:t>
      </w:r>
    </w:p>
    <w:p>
      <w:r>
        <w:t>Master index, cross-volume site-ready binding and transport map for the RU/EN doctrine volumes and application packages.</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Ivan Borisovich Kurpishev · Independent Researcher · Kaliningrad · me@kurpishev.ru</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KLT Doctrine · Volume VI EN · v8.2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DejaVu Serif" w:hAnsi="DejaVu Serif" w:eastAsia="DejaVu Serif"/>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DejaVu Serif" w:hAnsi="DejaVu Serif" w:eastAsia="DejaVu Serif"/>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DejaVu Serif" w:hAnsi="DejaVu Serif" w:eastAsia="DejaVu Serif"/>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DejaVu Serif" w:hAnsi="DejaVu Serif" w:eastAsia="DejaVu Serif"/>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DejaVu Serif" w:hAnsi="DejaVu Serif" w:eastAsia="DejaVu Serif"/>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DejaVu Serif" w:hAnsi="DejaVu Serif" w:eastAsia="DejaVu Serif"/>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DejaVu Serif" w:hAnsi="DejaVu Serif" w:eastAsia="DejaVu Serif"/>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Block"/>
    <w:rPr>
      <w:rFonts w:ascii="DejaVu Sans Mono" w:hAnsi="DejaVu Sans Mono" w:eastAsia="DejaVu Sans Mono"/>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