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KLT-RBD-CHEM-PUBLICATION-ATLAS v1.1</w:t>
      </w:r>
    </w:p>
    <w:p>
      <w:pPr>
        <w:jc w:val="center"/>
      </w:pPr>
      <w:r>
        <w:rPr>
          <w:b/>
          <w:sz w:val="28"/>
        </w:rPr>
        <w:t>Публикационный атлас химической RBD-базы</w:t>
      </w:r>
    </w:p>
    <w:p>
      <w:pPr>
        <w:jc w:val="center"/>
      </w:pPr>
      <w:r>
        <w:rPr>
          <w:sz w:val="20"/>
        </w:rPr>
        <w:t>Иван Борисович Курпишев · Independent Researcher · Kaliningrad · me@kurpishev.ru</w:t>
        <w:br/>
        <w:t>2026</w:t>
      </w:r>
    </w:p>
    <w:p>
      <w:r>
        <w:t>Точка сборки: KLT-RBD-CHEM-PUBLICATION-ATLAS-RU-v1.1</w:t>
      </w:r>
    </w:p>
    <w:p>
      <w:r>
        <w:t>Основание: KLT-RBD-CHEM-INTEGRATED-LAB-KNOWLEDGE-GRAPH v1.0 и химический слой v0.1-v1.0.</w:t>
      </w:r>
    </w:p>
    <w:p>
      <w:pPr>
        <w:pStyle w:val="Heading1"/>
      </w:pPr>
      <w:r>
        <w:t>Аннотация</w:t>
      </w:r>
    </w:p>
    <w:p>
      <w:r>
        <w:t>Настоящий атлас оформляет химическую RBD-базу KLT как публикационный слой. Он связывает объект C@C_chem, Reper-четвёрку Rep_chem(R,I,U;D), lambda/CGI-проверку, лабораторный Evidence-D и маршруты публикации для сайта, монографии, Excel/SQLite и транспортного ZIP.</w:t>
      </w:r>
    </w:p>
    <w:p>
      <w:r>
        <w:t>Главный тезис: химия в KLT-RBD описывается не как список веществ, а как граф переходов веществ@состояний с обязательной привязкой к достаточному основанию D.</w:t>
      </w:r>
    </w:p>
    <w:p>
      <w:pPr>
        <w:pStyle w:val="Heading1"/>
      </w:pPr>
      <w:r>
        <w:t>0. Паспорт версии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Параметр</w:t>
            </w:r>
          </w:p>
        </w:tc>
        <w:tc>
          <w:tcPr>
            <w:tcW w:type="dxa" w:w="5112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Значение</w:t>
            </w:r>
          </w:p>
        </w:tc>
      </w:tr>
      <w:tr>
        <w:tc>
          <w:tcPr>
            <w:tcW w:type="dxa" w:w="5112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Версия</w:t>
            </w:r>
          </w:p>
        </w:tc>
        <w:tc>
          <w:tcPr>
            <w:tcW w:type="dxa" w:w="5112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v1.1</w:t>
            </w:r>
          </w:p>
        </w:tc>
      </w:tr>
      <w:tr>
        <w:tc>
          <w:tcPr>
            <w:tcW w:type="dxa" w:w="5112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Статус</w:t>
            </w:r>
          </w:p>
        </w:tc>
        <w:tc>
          <w:tcPr>
            <w:tcW w:type="dxa" w:w="5112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publication atlas</w:t>
            </w:r>
          </w:p>
        </w:tc>
      </w:tr>
      <w:tr>
        <w:tc>
          <w:tcPr>
            <w:tcW w:type="dxa" w:w="5112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Source-of-truth</w:t>
            </w:r>
          </w:p>
        </w:tc>
        <w:tc>
          <w:tcPr>
            <w:tcW w:type="dxa" w:w="5112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KLT-RBD-CHEM-INTEGRATED-LAB-KNOWLEDGE-GRAPH v1.0</w:t>
            </w:r>
          </w:p>
        </w:tc>
      </w:tr>
      <w:tr>
        <w:tc>
          <w:tcPr>
            <w:tcW w:type="dxa" w:w="5112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DOCX/PDF</w:t>
            </w:r>
          </w:p>
        </w:tc>
        <w:tc>
          <w:tcPr>
            <w:tcW w:type="dxa" w:w="5112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публикационный атлас</w:t>
            </w:r>
          </w:p>
        </w:tc>
      </w:tr>
      <w:tr>
        <w:tc>
          <w:tcPr>
            <w:tcW w:type="dxa" w:w="5112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XLSX/SQLite/CSV</w:t>
            </w:r>
          </w:p>
        </w:tc>
        <w:tc>
          <w:tcPr>
            <w:tcW w:type="dxa" w:w="5112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табличная и машинная карта</w:t>
            </w:r>
          </w:p>
        </w:tc>
      </w:tr>
      <w:tr>
        <w:tc>
          <w:tcPr>
            <w:tcW w:type="dxa" w:w="5112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Site-ready</w:t>
            </w:r>
          </w:p>
        </w:tc>
        <w:tc>
          <w:tcPr>
            <w:tcW w:type="dxa" w:w="5112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Markdown + HTML</w:t>
            </w:r>
          </w:p>
        </w:tc>
      </w:tr>
    </w:tbl>
    <w:p>
      <w:pPr>
        <w:pStyle w:val="Heading1"/>
      </w:pPr>
      <w:r>
        <w:t>1. Основание KLT-RBD-CHEM</w:t>
      </w:r>
    </w:p>
    <w:p>
      <w:r>
        <w:t>Базовая формула слоя:</w:t>
      </w:r>
    </w:p>
    <w:p>
      <w:pPr>
        <w:jc w:val="center"/>
      </w:pPr>
      <w:r>
        <w:rPr>
          <w:b/>
        </w:rPr>
        <w:t>C@C_chem -&gt; Rep_chem(R,I,U;D) -&gt; lambda/CGI -&gt; RBD graph</w:t>
      </w:r>
    </w:p>
    <w:p>
      <w:r>
        <w:t>Компонент D является не декоративной ссылкой, а достаточным основанием, без которого химический узел не получает финальный truth-status. Поэтому публикационный атлас должен хранить не только таблицы веществ, но и их основание: метод, источник, калибровку, баланс, домен и uncertainty.</w:t>
      </w:r>
    </w:p>
    <w:p>
      <w:pPr>
        <w:pStyle w:val="Heading1"/>
      </w:pPr>
      <w:r>
        <w:t>2. Линия модулей v0.1-v1.0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4"/>
        <w:gridCol w:w="1704"/>
        <w:gridCol w:w="1704"/>
        <w:gridCol w:w="1704"/>
        <w:gridCol w:w="1704"/>
        <w:gridCol w:w="1704"/>
      </w:tblGrid>
      <w:tr>
        <w:tc>
          <w:tcPr>
            <w:tcW w:type="dxa" w:w="1704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version</w:t>
            </w:r>
          </w:p>
        </w:tc>
        <w:tc>
          <w:tcPr>
            <w:tcW w:type="dxa" w:w="1704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short_name</w:t>
            </w:r>
          </w:p>
        </w:tc>
        <w:tc>
          <w:tcPr>
            <w:tcW w:type="dxa" w:w="1704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layer</w:t>
            </w:r>
          </w:p>
        </w:tc>
        <w:tc>
          <w:tcPr>
            <w:tcW w:type="dxa" w:w="1704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content</w:t>
            </w:r>
          </w:p>
        </w:tc>
        <w:tc>
          <w:tcPr>
            <w:tcW w:type="dxa" w:w="1704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integration_role</w:t>
            </w:r>
          </w:p>
        </w:tc>
        <w:tc>
          <w:tcPr>
            <w:tcW w:type="dxa" w:w="1704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status</w:t>
            </w:r>
          </w:p>
        </w:tc>
      </w:tr>
      <w:tr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v0.1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STRUCTURE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Object skeleton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C@C, Rep(R,I,U;D), initial chemical domains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chemistry domain skeleton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locked</w:t>
            </w:r>
          </w:p>
        </w:tc>
      </w:tr>
      <w:tr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v0.2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STRUCTURE-QUANT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Quantitative seed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118 elements, solubility seed, ionic equations, safety-D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periodic and reference layer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locked</w:t>
            </w:r>
          </w:p>
        </w:tc>
      </w:tr>
      <w:tr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v0.3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REACTION-ENGINE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Reaction core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Formula parser, molecular balancing, mass/charge checks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reaction transition layer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locked</w:t>
            </w:r>
          </w:p>
        </w:tc>
      </w:tr>
      <w:tr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v0.4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IONIC-REDOX-GRAPH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Ionic/redox core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Spectator-ion reduction, oxidation numbers, half-reactions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ionic and redox layer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locked</w:t>
            </w:r>
          </w:p>
        </w:tc>
      </w:tr>
      <w:tr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v0.5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PERIODIC-STRUCTURE-GRAPH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Periodic graph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Groups, periods, blocks, valence and ion patterns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element graph layer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locked</w:t>
            </w:r>
          </w:p>
        </w:tc>
      </w:tr>
      <w:tr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v0.6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COMPOUND-MATERIALS-GRAPH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Compound/material graph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Salts, oxides, acids, bases, minerals, materials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compound material layer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locked</w:t>
            </w:r>
          </w:p>
        </w:tc>
      </w:tr>
      <w:tr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v0.7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SOLUBILITY-ACIDBASE-MATERIALS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Solution/material engine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pH, solubility, precipitation, amphoterism, corrosion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solution and degradation layer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locked</w:t>
            </w:r>
          </w:p>
        </w:tc>
      </w:tr>
      <w:tr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v0.8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THERMO-KINETIC-MATERIALS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Thermo/kinetic engine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ΔG, K, rate-law seed, temperature windows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feasibility and rate layer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locked</w:t>
            </w:r>
          </w:p>
        </w:tc>
      </w:tr>
      <w:tr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v0.9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SPECTROSCOPY-ANALYTICS-EVIDENCE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Evidence engine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Spectroscopy, analytical identification, uncertainty, Evidence-D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measurement evidence layer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locked</w:t>
            </w:r>
          </w:p>
        </w:tc>
      </w:tr>
      <w:tr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v1.0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INTEGRATED-LAB-KNOWLEDGE-GRAPH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Integrated lab graph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Substance→formula→reaction→ion graph→material→pH/solubility→thermo/kinetic→evidence-D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unified KLT-RBD chemical laboratory knowledge graph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current</w:t>
            </w:r>
          </w:p>
        </w:tc>
      </w:tr>
    </w:tbl>
    <w:p>
      <w:pPr>
        <w:pStyle w:val="Heading1"/>
      </w:pPr>
      <w:r>
        <w:t>3. Архитектура публикационного атласа</w:t>
      </w:r>
    </w:p>
    <w:p>
      <w:r>
        <w:t>Схема показывает переход от химического события@состояния к Evidence-D и truth/gap gate.</w:t>
      </w:r>
    </w:p>
    <w:p>
      <w:r>
        <w:drawing>
          <wp:inline xmlns:a="http://schemas.openxmlformats.org/drawingml/2006/main" xmlns:pic="http://schemas.openxmlformats.org/drawingml/2006/picture">
            <wp:extent cx="6126480" cy="309927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rchitecture_graph_v1_1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6480" cy="309927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t>4. Карта разделов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section_id</w:t>
            </w:r>
          </w:p>
        </w:tc>
        <w:tc>
          <w:tcPr>
            <w:tcW w:type="dxa" w:w="2045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title</w:t>
            </w:r>
          </w:p>
        </w:tc>
        <w:tc>
          <w:tcPr>
            <w:tcW w:type="dxa" w:w="2045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content</w:t>
            </w:r>
          </w:p>
        </w:tc>
        <w:tc>
          <w:tcPr>
            <w:tcW w:type="dxa" w:w="2045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artifact</w:t>
            </w:r>
          </w:p>
        </w:tc>
        <w:tc>
          <w:tcPr>
            <w:tcW w:type="dxa" w:w="2045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status</w:t>
            </w:r>
          </w:p>
        </w:tc>
      </w:tr>
      <w:tr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SEC-00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Титульная фиксация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Паспорт версии, авторские реквизиты, точка сборки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DOCX/PDF/site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ready</w:t>
            </w:r>
          </w:p>
        </w:tc>
      </w:tr>
      <w:tr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SEC-01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Основание KLT-RBD-CHEM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C@Cchem, Repchem(R,I,U;D), lambda/CGI, D-gate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монография + PILOT-01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ready</w:t>
            </w:r>
          </w:p>
        </w:tc>
      </w:tr>
      <w:tr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SEC-02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Линия версий v0.1-v1.0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История сборки модулей химической RBD-базы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module_map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ready</w:t>
            </w:r>
          </w:p>
        </w:tc>
      </w:tr>
      <w:tr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SEC-03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Архитектура базы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Вещество -&gt; формула -&gt; реакция -&gt; ионный граф -&gt; материал -&gt; Evidence-D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architecture graph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ready</w:t>
            </w:r>
          </w:p>
        </w:tc>
      </w:tr>
      <w:tr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SEC-04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Карта таблиц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Описание всех табличных слоёв и статусов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table_map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ready</w:t>
            </w:r>
          </w:p>
        </w:tc>
      </w:tr>
      <w:tr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SEC-05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Карта диаграмм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Схемы публикационного атласа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figure_map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ready</w:t>
            </w:r>
          </w:p>
        </w:tc>
      </w:tr>
      <w:tr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SEC-06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Evidence-D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Измерение, калибровка, uncertainty, status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evidence_bindings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ready</w:t>
            </w:r>
          </w:p>
        </w:tc>
      </w:tr>
      <w:tr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SEC-07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Gap/CGI-протокол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Правила отказа от truth-status и пересборки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 + cgi rules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ready</w:t>
            </w:r>
          </w:p>
        </w:tc>
      </w:tr>
      <w:tr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SEC-08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Лабораторный workflow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sample -&gt; formula -&gt; reaction -&gt; graph -&gt; evidence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lab_workflow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ready</w:t>
            </w:r>
          </w:p>
        </w:tc>
      </w:tr>
      <w:tr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SEC-09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Маршруты публикации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Сайт, монография, приложение, Роспатент/БД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publication_routes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ready</w:t>
            </w:r>
          </w:p>
        </w:tc>
      </w:tr>
      <w:tr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SEC-10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QA-протокол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Проверка состава пакета, legacy, архивов, таблиц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qa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ready</w:t>
            </w:r>
          </w:p>
        </w:tc>
      </w:tr>
      <w:tr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APP-A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Приложение A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CSV/SQLite/XLSX mapping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manifest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ready</w:t>
            </w:r>
          </w:p>
        </w:tc>
      </w:tr>
      <w:tr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APP-B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Приложение B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Словарь статусов и gate-правил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definitions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ready</w:t>
            </w:r>
          </w:p>
        </w:tc>
      </w:tr>
    </w:tbl>
    <w:p>
      <w:pPr>
        <w:pStyle w:val="Heading1"/>
      </w:pPr>
      <w:r>
        <w:t>5. Карта таблиц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table_id</w:t>
            </w:r>
          </w:p>
        </w:tc>
        <w:tc>
          <w:tcPr>
            <w:tcW w:type="dxa" w:w="2045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source_table</w:t>
            </w:r>
          </w:p>
        </w:tc>
        <w:tc>
          <w:tcPr>
            <w:tcW w:type="dxa" w:w="2045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description</w:t>
            </w:r>
          </w:p>
        </w:tc>
        <w:tc>
          <w:tcPr>
            <w:tcW w:type="dxa" w:w="2045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rows</w:t>
            </w:r>
          </w:p>
        </w:tc>
        <w:tc>
          <w:tcPr>
            <w:tcW w:type="dxa" w:w="2045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publication_policy</w:t>
            </w:r>
          </w:p>
        </w:tc>
      </w:tr>
      <w:tr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TBL-01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module_map_v1_0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Линия модулей v0.1-v1.0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10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включить полностью</w:t>
            </w:r>
          </w:p>
        </w:tc>
      </w:tr>
      <w:tr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TBL-02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kg_nodes_v1_0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Узлы интегрального химического графа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70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выборка + ссылка на CSV</w:t>
            </w:r>
          </w:p>
        </w:tc>
      </w:tr>
      <w:tr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TBL-03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kg_edges_v1_0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Рёбра графа: связи substance/reaction/evidence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79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выборка + ссылка на CSV</w:t>
            </w:r>
          </w:p>
        </w:tc>
      </w:tr>
      <w:tr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TBL-04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lab_workflow_v1_0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Лабораторный маршрут обработки вещества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8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включить полностью</w:t>
            </w:r>
          </w:p>
        </w:tc>
      </w:tr>
      <w:tr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TBL-05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evidence_bindings_v1_0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Связка наблюдений с достаточным основанием D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58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выборка + ссылка на CSV</w:t>
            </w:r>
          </w:p>
        </w:tc>
      </w:tr>
      <w:tr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TBL-06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gap_rules_v1_0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Gap-дисциплина химического слоя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18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включить полностью</w:t>
            </w:r>
          </w:p>
        </w:tc>
      </w:tr>
      <w:tr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TBL-07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cgi_rebuild_rules_v1_0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CGI-пересборка при разрыве связности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12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включить полностью</w:t>
            </w:r>
          </w:p>
        </w:tc>
      </w:tr>
      <w:tr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TBL-08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engine_decisions_v1_0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Примеры решений engine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80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выборка</w:t>
            </w:r>
          </w:p>
        </w:tc>
      </w:tr>
      <w:tr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TBL-09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sources_v1_0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Источниковая карта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13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включить полностью</w:t>
            </w:r>
          </w:p>
        </w:tc>
      </w:tr>
      <w:tr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TBL-10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validation_v1_0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QA v1.0, унаследованный слой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10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включить полностью</w:t>
            </w:r>
          </w:p>
        </w:tc>
      </w:tr>
    </w:tbl>
    <w:p>
      <w:pPr>
        <w:pStyle w:val="Heading1"/>
      </w:pPr>
      <w:r>
        <w:t>6. Карта диаграмм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figure_id</w:t>
            </w:r>
          </w:p>
        </w:tc>
        <w:tc>
          <w:tcPr>
            <w:tcW w:type="dxa" w:w="2045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file</w:t>
            </w:r>
          </w:p>
        </w:tc>
        <w:tc>
          <w:tcPr>
            <w:tcW w:type="dxa" w:w="2045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caption</w:t>
            </w:r>
          </w:p>
        </w:tc>
        <w:tc>
          <w:tcPr>
            <w:tcW w:type="dxa" w:w="2045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section</w:t>
            </w:r>
          </w:p>
        </w:tc>
        <w:tc>
          <w:tcPr>
            <w:tcW w:type="dxa" w:w="2045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status</w:t>
            </w:r>
          </w:p>
        </w:tc>
      </w:tr>
      <w:tr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FIG-01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architecture_graph_v1_1.png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Общая архитектура KLT-RBD-CHEM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SEC-03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ready</w:t>
            </w:r>
          </w:p>
        </w:tc>
      </w:tr>
      <w:tr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FIG-02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publication_route_v1_1.png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Маршрут публикации: база -&gt; атлас -&gt; сайт/монография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SEC-09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ready</w:t>
            </w:r>
          </w:p>
        </w:tc>
      </w:tr>
      <w:tr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FIG-03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evidence_gate_v1_1.png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Evidence-D gate: measurement -&gt; D -&gt; truth-status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SEC-06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ready</w:t>
            </w:r>
          </w:p>
        </w:tc>
      </w:tr>
      <w:tr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FIG-04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dashboard_preview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Обзорный dashboard Excel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SEC-10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ready</w:t>
            </w:r>
          </w:p>
        </w:tc>
      </w:tr>
      <w:tr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FIG-05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legacy_lineage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Линия v0.1-v1.0, включена в таблицу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SEC-02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table-derived</w:t>
            </w:r>
          </w:p>
        </w:tc>
      </w:tr>
      <w:tr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FIG-06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gap_cgi_protocol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Gate-map для gap/CGI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SEC-07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table-derived</w:t>
            </w:r>
          </w:p>
        </w:tc>
      </w:tr>
    </w:tbl>
    <w:p>
      <w:pPr>
        <w:pStyle w:val="Heading1"/>
      </w:pPr>
      <w:r>
        <w:t>7. Evidence-D gate</w:t>
      </w:r>
    </w:p>
    <w:p>
      <w:r>
        <w:drawing>
          <wp:inline xmlns:a="http://schemas.openxmlformats.org/drawingml/2006/main" xmlns:pic="http://schemas.openxmlformats.org/drawingml/2006/picture">
            <wp:extent cx="5943600" cy="3497339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vidence_gate_v1_1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9733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Evidence-D gate связывает наблюдение, метод, калибровку и достаточное основание. Если domain, D или uncertainty не закреплены, атлас переводит узел в gap/CGI-пересборку.</w:t>
      </w:r>
    </w:p>
    <w:p>
      <w:r>
        <w:t>Выборка Evidence-D: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278"/>
        <w:gridCol w:w="1278"/>
        <w:gridCol w:w="1278"/>
        <w:gridCol w:w="1278"/>
        <w:gridCol w:w="1278"/>
        <w:gridCol w:w="1278"/>
        <w:gridCol w:w="1278"/>
        <w:gridCol w:w="1278"/>
      </w:tblGrid>
      <w:tr>
        <w:tc>
          <w:tcPr>
            <w:tcW w:type="dxa" w:w="1278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evidence_id</w:t>
            </w:r>
          </w:p>
        </w:tc>
        <w:tc>
          <w:tcPr>
            <w:tcW w:type="dxa" w:w="1278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observable</w:t>
            </w:r>
          </w:p>
        </w:tc>
        <w:tc>
          <w:tcPr>
            <w:tcW w:type="dxa" w:w="1278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method</w:t>
            </w:r>
          </w:p>
        </w:tc>
        <w:tc>
          <w:tcPr>
            <w:tcW w:type="dxa" w:w="1278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target</w:t>
            </w:r>
          </w:p>
        </w:tc>
        <w:tc>
          <w:tcPr>
            <w:tcW w:type="dxa" w:w="1278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D_requirements</w:t>
            </w:r>
          </w:p>
        </w:tc>
        <w:tc>
          <w:tcPr>
            <w:tcW w:type="dxa" w:w="1278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uncertainty</w:t>
            </w:r>
          </w:p>
        </w:tc>
        <w:tc>
          <w:tcPr>
            <w:tcW w:type="dxa" w:w="1278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1278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cgi</w:t>
            </w:r>
          </w:p>
        </w:tc>
      </w:tr>
      <w:tr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EVD-0001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white curdy precipitate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gravimetry / visual + confirmation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AgCl chloride marker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blank + known standard + solubility domain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medium: moderate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EVIDENCE-D-PARTIAL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0.42</w:t>
            </w:r>
          </w:p>
        </w:tc>
      </w:tr>
      <w:tr>
        <w:tc>
          <w:tcPr>
            <w:tcW w:type="dxa" w:w="1278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EVD-0002</w:t>
            </w:r>
          </w:p>
        </w:tc>
        <w:tc>
          <w:tcPr>
            <w:tcW w:type="dxa" w:w="1278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white dense precipitate</w:t>
            </w:r>
          </w:p>
        </w:tc>
        <w:tc>
          <w:tcPr>
            <w:tcW w:type="dxa" w:w="1278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gravimetry</w:t>
            </w:r>
          </w:p>
        </w:tc>
        <w:tc>
          <w:tcPr>
            <w:tcW w:type="dxa" w:w="1278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BaSO4 sulfate marker</w:t>
            </w:r>
          </w:p>
        </w:tc>
        <w:tc>
          <w:tcPr>
            <w:tcW w:type="dxa" w:w="1278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mass check + acid resistance domain</w:t>
            </w:r>
          </w:p>
        </w:tc>
        <w:tc>
          <w:tcPr>
            <w:tcW w:type="dxa" w:w="1278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medium: low</w:t>
            </w:r>
          </w:p>
        </w:tc>
        <w:tc>
          <w:tcPr>
            <w:tcW w:type="dxa" w:w="1278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EVIDENCE-D-STRONG</w:t>
            </w:r>
          </w:p>
        </w:tc>
        <w:tc>
          <w:tcPr>
            <w:tcW w:type="dxa" w:w="1278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0.31</w:t>
            </w:r>
          </w:p>
        </w:tc>
      </w:tr>
      <w:tr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EVD-0003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pH &lt; 3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pH-meter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strong acid context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calibration buffers + temperature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instrument: low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EVIDENCE-D-STRONG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0.24</w:t>
            </w:r>
          </w:p>
        </w:tc>
      </w:tr>
      <w:tr>
        <w:tc>
          <w:tcPr>
            <w:tcW w:type="dxa" w:w="1278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EVD-0004</w:t>
            </w:r>
          </w:p>
        </w:tc>
        <w:tc>
          <w:tcPr>
            <w:tcW w:type="dxa" w:w="1278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pH &gt; 11</w:t>
            </w:r>
          </w:p>
        </w:tc>
        <w:tc>
          <w:tcPr>
            <w:tcW w:type="dxa" w:w="1278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pH-meter</w:t>
            </w:r>
          </w:p>
        </w:tc>
        <w:tc>
          <w:tcPr>
            <w:tcW w:type="dxa" w:w="1278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strong base context</w:t>
            </w:r>
          </w:p>
        </w:tc>
        <w:tc>
          <w:tcPr>
            <w:tcW w:type="dxa" w:w="1278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calibration buffers + temperature</w:t>
            </w:r>
          </w:p>
        </w:tc>
        <w:tc>
          <w:tcPr>
            <w:tcW w:type="dxa" w:w="1278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instrument: low</w:t>
            </w:r>
          </w:p>
        </w:tc>
        <w:tc>
          <w:tcPr>
            <w:tcW w:type="dxa" w:w="1278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EVIDENCE-D-STRONG</w:t>
            </w:r>
          </w:p>
        </w:tc>
        <w:tc>
          <w:tcPr>
            <w:tcW w:type="dxa" w:w="1278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0.24</w:t>
            </w:r>
          </w:p>
        </w:tc>
      </w:tr>
      <w:tr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EVD-0005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purple solution fades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UV-Vis / colorimetry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permanganate reduction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wavelength + blank + acidic domain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matrix: moderate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EVIDENCE-D-PARTIAL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0.46</w:t>
            </w:r>
          </w:p>
        </w:tc>
      </w:tr>
      <w:tr>
        <w:tc>
          <w:tcPr>
            <w:tcW w:type="dxa" w:w="1278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EVD-0006</w:t>
            </w:r>
          </w:p>
        </w:tc>
        <w:tc>
          <w:tcPr>
            <w:tcW w:type="dxa" w:w="1278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blue Cu2+ solution loses color</w:t>
            </w:r>
          </w:p>
        </w:tc>
        <w:tc>
          <w:tcPr>
            <w:tcW w:type="dxa" w:w="1278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UV-Vis</w:t>
            </w:r>
          </w:p>
        </w:tc>
        <w:tc>
          <w:tcPr>
            <w:tcW w:type="dxa" w:w="1278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copper reduction/complex change</w:t>
            </w:r>
          </w:p>
        </w:tc>
        <w:tc>
          <w:tcPr>
            <w:tcW w:type="dxa" w:w="1278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wavelength + concentration standard</w:t>
            </w:r>
          </w:p>
        </w:tc>
        <w:tc>
          <w:tcPr>
            <w:tcW w:type="dxa" w:w="1278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matrix: moderate</w:t>
            </w:r>
          </w:p>
        </w:tc>
        <w:tc>
          <w:tcPr>
            <w:tcW w:type="dxa" w:w="1278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EVIDENCE-D-PARTIAL</w:t>
            </w:r>
          </w:p>
        </w:tc>
        <w:tc>
          <w:tcPr>
            <w:tcW w:type="dxa" w:w="1278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0.49</w:t>
            </w:r>
          </w:p>
        </w:tc>
      </w:tr>
      <w:tr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EVD-0007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IR carbonate band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IR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carbonate material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baseline + reference spectrum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overlap: moderate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EVIDENCE-D-PARTIAL</w:t>
            </w:r>
          </w:p>
        </w:tc>
        <w:tc>
          <w:tcPr>
            <w:tcW w:type="dxa" w:w="1278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0.52</w:t>
            </w:r>
          </w:p>
        </w:tc>
      </w:tr>
    </w:tbl>
    <w:p>
      <w:pPr>
        <w:pStyle w:val="Heading1"/>
      </w:pPr>
      <w:r>
        <w:t>8. Gap/CGI-протокол</w:t>
      </w:r>
    </w:p>
    <w:p>
      <w:r>
        <w:t>Gap-правила фиксируют дефекты домена, основания, формулы, баланса, среды и метода.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4"/>
        <w:gridCol w:w="1704"/>
        <w:gridCol w:w="1704"/>
        <w:gridCol w:w="1704"/>
        <w:gridCol w:w="1704"/>
        <w:gridCol w:w="1704"/>
      </w:tblGrid>
      <w:tr>
        <w:tc>
          <w:tcPr>
            <w:tcW w:type="dxa" w:w="1704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gap_id</w:t>
            </w:r>
          </w:p>
        </w:tc>
        <w:tc>
          <w:tcPr>
            <w:tcW w:type="dxa" w:w="1704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name</w:t>
            </w:r>
          </w:p>
        </w:tc>
        <w:tc>
          <w:tcPr>
            <w:tcW w:type="dxa" w:w="1704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trigger</w:t>
            </w:r>
          </w:p>
        </w:tc>
        <w:tc>
          <w:tcPr>
            <w:tcW w:type="dxa" w:w="1704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repair_action</w:t>
            </w:r>
          </w:p>
        </w:tc>
        <w:tc>
          <w:tcPr>
            <w:tcW w:type="dxa" w:w="1704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legacy_or_source</w:t>
            </w:r>
          </w:p>
        </w:tc>
        <w:tc>
          <w:tcPr>
            <w:tcW w:type="dxa" w:w="1704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cgi_effect</w:t>
            </w:r>
          </w:p>
        </w:tc>
      </w:tr>
      <w:tr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GAP-v1-0-001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GAP-DOMAIN-MISSING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admissible domain absent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attach chemical domain: aqueous, solid, gas, material, spectro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PILOT-01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CGI++ until repaired</w:t>
            </w:r>
          </w:p>
        </w:tc>
      </w:tr>
      <w:tr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GAP-v1-0-002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GAP-FOUNDATION-MISSING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sufficient foundation D absent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attach source/protocol/calibration/balance proof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PILOT-01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CGI++ until repaired</w:t>
            </w:r>
          </w:p>
        </w:tc>
      </w:tr>
      <w:tr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GAP-v1-0-003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GAP-FORMULA-PARSE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formula cannot be parsed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repair formula syntax or add alias mapping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v0.3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CGI++ until repaired</w:t>
            </w:r>
          </w:p>
        </w:tc>
      </w:tr>
      <w:tr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GAP-v1-0-004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GAP-MASS-BALANCE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molecular equation mass not balanced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rebalance equation before truth-status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v0.3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CGI++ until repaired</w:t>
            </w:r>
          </w:p>
        </w:tc>
      </w:tr>
      <w:tr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GAP-v1-0-005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GAP-CHARGE-BALANCE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ionic equation charge not balanced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repair charge/electron count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v0.4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CGI++ until repaired</w:t>
            </w:r>
          </w:p>
        </w:tc>
      </w:tr>
      <w:tr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GAP-v1-0-006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GAP-SPECTATOR-UNREMOVED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spectator ions left in net equation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run spectator reduction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v0.4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CGI++ until repaired</w:t>
            </w:r>
          </w:p>
        </w:tc>
      </w:tr>
      <w:tr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GAP-v1-0-007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GAP-OXIDATION-NUMBER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oxidation number transition inconsistent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recompute oxidation states and half-reactions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v0.4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CGI++ until repaired</w:t>
            </w:r>
          </w:p>
        </w:tc>
      </w:tr>
      <w:tr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GAP-v1-0-008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GAP-PERIODIC-CLASS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element class/group not bound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attach periodic graph node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v0.5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CGI++ until repaired</w:t>
            </w:r>
          </w:p>
        </w:tc>
      </w:tr>
      <w:tr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GAP-v1-0-009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GAP-COMPOUND-CLASS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compound class ambiguous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classify as acid/base/salt/oxide/mineral/material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v0.6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CGI++ until repaired</w:t>
            </w:r>
          </w:p>
        </w:tc>
      </w:tr>
    </w:tbl>
    <w:p>
      <w:r>
        <w:t>CGI-правила фиксируют процедуру пересборки при разрыве химической связности.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4"/>
        <w:gridCol w:w="1704"/>
        <w:gridCol w:w="1704"/>
        <w:gridCol w:w="1704"/>
        <w:gridCol w:w="1704"/>
        <w:gridCol w:w="1704"/>
      </w:tblGrid>
      <w:tr>
        <w:tc>
          <w:tcPr>
            <w:tcW w:type="dxa" w:w="1704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rule_id</w:t>
            </w:r>
          </w:p>
        </w:tc>
        <w:tc>
          <w:tcPr>
            <w:tcW w:type="dxa" w:w="1704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name</w:t>
            </w:r>
          </w:p>
        </w:tc>
        <w:tc>
          <w:tcPr>
            <w:tcW w:type="dxa" w:w="1704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trigger</w:t>
            </w:r>
          </w:p>
        </w:tc>
        <w:tc>
          <w:tcPr>
            <w:tcW w:type="dxa" w:w="1704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rebuild_action</w:t>
            </w:r>
          </w:p>
        </w:tc>
        <w:tc>
          <w:tcPr>
            <w:tcW w:type="dxa" w:w="1704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legacy_or_source</w:t>
            </w:r>
          </w:p>
        </w:tc>
        <w:tc>
          <w:tcPr>
            <w:tcW w:type="dxa" w:w="1704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target</w:t>
            </w:r>
          </w:p>
        </w:tc>
      </w:tr>
      <w:tr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CGI-v1-0-001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CGI-REBUILD-FORMULA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Formula parser or atom count fails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return to formula seed and alias map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v0.3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target CGI &lt; 1</w:t>
            </w:r>
          </w:p>
        </w:tc>
      </w:tr>
      <w:tr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CGI-v1-0-002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CGI-REBUILD-IONIC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Charge or spectator layer fails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rebuild complete ionic equation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v0.4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target CGI &lt; 1</w:t>
            </w:r>
          </w:p>
        </w:tc>
      </w:tr>
      <w:tr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CGI-v1-0-003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CGI-REBUILD-REDOX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Electron balance fails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split into half-reactions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v0.4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target CGI &lt; 1</w:t>
            </w:r>
          </w:p>
        </w:tc>
      </w:tr>
      <w:tr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CGI-v1-0-004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CGI-REBUILD-PERIODIC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Element valence impossible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cross-check periodic valence/oxidation pattern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v0.5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target CGI &lt; 1</w:t>
            </w:r>
          </w:p>
        </w:tc>
      </w:tr>
      <w:tr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CGI-v1-0-005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CGI-REBUILD-COMPOUND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Compound class ambiguous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check acid/base/salt/oxide/mineral/material class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v0.6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target CGI &lt; 1</w:t>
            </w:r>
          </w:p>
        </w:tc>
      </w:tr>
      <w:tr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CGI-v1-0-006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CGI-REBUILD-SOLUBILITY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Precipitate claim conflicts with solubility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attach solubility and concentration domain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v0.7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target CGI &lt; 1</w:t>
            </w:r>
          </w:p>
        </w:tc>
      </w:tr>
      <w:tr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CGI-v1-0-007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CGI-REBUILD-PH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Acid/base classification conflicts with pH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bind pH measurement and conjugate pair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v0.7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target CGI &lt; 1</w:t>
            </w:r>
          </w:p>
        </w:tc>
      </w:tr>
    </w:tbl>
    <w:p>
      <w:pPr>
        <w:pStyle w:val="Heading1"/>
      </w:pPr>
      <w:r>
        <w:t>9. Лабораторный workflow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4"/>
        <w:gridCol w:w="1704"/>
        <w:gridCol w:w="1704"/>
        <w:gridCol w:w="1704"/>
        <w:gridCol w:w="1704"/>
        <w:gridCol w:w="1704"/>
      </w:tblGrid>
      <w:tr>
        <w:tc>
          <w:tcPr>
            <w:tcW w:type="dxa" w:w="1704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step_id</w:t>
            </w:r>
          </w:p>
        </w:tc>
        <w:tc>
          <w:tcPr>
            <w:tcW w:type="dxa" w:w="1704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stage</w:t>
            </w:r>
          </w:p>
        </w:tc>
        <w:tc>
          <w:tcPr>
            <w:tcW w:type="dxa" w:w="1704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operation</w:t>
            </w:r>
          </w:p>
        </w:tc>
        <w:tc>
          <w:tcPr>
            <w:tcW w:type="dxa" w:w="1704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required_inputs</w:t>
            </w:r>
          </w:p>
        </w:tc>
        <w:tc>
          <w:tcPr>
            <w:tcW w:type="dxa" w:w="1704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klt_rbd_binding</w:t>
            </w:r>
          </w:p>
        </w:tc>
        <w:tc>
          <w:tcPr>
            <w:tcW w:type="dxa" w:w="1704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gap_gate</w:t>
            </w:r>
          </w:p>
        </w:tc>
      </w:tr>
      <w:tr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LW-01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sample_intake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receive material/substance sample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sample id, chain of custody, visible state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C@C_lab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reject if domain missing</w:t>
            </w:r>
          </w:p>
        </w:tc>
      </w:tr>
      <w:tr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LW-02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formula_or_class_seed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assign preliminary substance/material class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formula, class, material context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Rep.R and Rep.I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GAP-FORMULA-MISSING if absent</w:t>
            </w:r>
          </w:p>
        </w:tc>
      </w:tr>
      <w:tr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LW-03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reaction_context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bind possible reactions and solution state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pH, solvent, ions, phase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Δchem/Xichem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GAP-MEDIUM-MISSING if absent</w:t>
            </w:r>
          </w:p>
        </w:tc>
      </w:tr>
      <w:tr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LW-04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ionic_graph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construct complete/net ionic transition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ion list, charge balance, spectators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ionic RBD graph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GAP-CHARGE-BALANCE if failed</w:t>
            </w:r>
          </w:p>
        </w:tc>
      </w:tr>
      <w:tr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LW-05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thermo_kinetic_check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separate feasibility from rate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T, ΔG/K, Ea, catalyst, time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U-domain pruning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GAP-T-K-DOMAIN if missing</w:t>
            </w:r>
          </w:p>
        </w:tc>
      </w:tr>
      <w:tr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LW-06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material_coupling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attach material degradation/corrosion branch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humidity, chloride, sulfate, CO2, oxygen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material Rep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GAP-ENVIRONMENT-MISSING if absent</w:t>
            </w:r>
          </w:p>
        </w:tc>
      </w:tr>
      <w:tr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LW-07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evidence_acquisition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select analytical method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IR/UV-Vis/XRD/pH/titration/EDS data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Evidence-D</w:t>
            </w:r>
          </w:p>
        </w:tc>
        <w:tc>
          <w:tcPr>
            <w:tcW w:type="dxa" w:w="1704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GAP-EVIDENCE-CALIBRATION if absent</w:t>
            </w:r>
          </w:p>
        </w:tc>
      </w:tr>
      <w:tr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LW-08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lambda_cgi_auth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issue status after Reper closure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R,I,U,D, lambda, CGI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truth-status or rebuild</w:t>
            </w:r>
          </w:p>
        </w:tc>
        <w:tc>
          <w:tcPr>
            <w:tcW w:type="dxa" w:w="1704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No truth-status without D</w:t>
            </w:r>
          </w:p>
        </w:tc>
      </w:tr>
    </w:tbl>
    <w:p>
      <w:pPr>
        <w:pStyle w:val="Heading1"/>
      </w:pPr>
      <w:r>
        <w:t>10. Маршруты публикации</w:t>
      </w:r>
    </w:p>
    <w:p>
      <w:r>
        <w:drawing>
          <wp:inline xmlns:a="http://schemas.openxmlformats.org/drawingml/2006/main" xmlns:pic="http://schemas.openxmlformats.org/drawingml/2006/picture">
            <wp:extent cx="5943600" cy="3015595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ublication_route_v1_1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15595"/>
                    </a:xfrm>
                    <a:prstGeom prst="rect"/>
                  </pic:spPr>
                </pic:pic>
              </a:graphicData>
            </a:graphic>
          </wp:inline>
        </w:drawing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route_id</w:t>
            </w:r>
          </w:p>
        </w:tc>
        <w:tc>
          <w:tcPr>
            <w:tcW w:type="dxa" w:w="2045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target</w:t>
            </w:r>
          </w:p>
        </w:tc>
        <w:tc>
          <w:tcPr>
            <w:tcW w:type="dxa" w:w="2045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path_or_location</w:t>
            </w:r>
          </w:p>
        </w:tc>
        <w:tc>
          <w:tcPr>
            <w:tcW w:type="dxa" w:w="2045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artifact_type</w:t>
            </w:r>
          </w:p>
        </w:tc>
        <w:tc>
          <w:tcPr>
            <w:tcW w:type="dxa" w:w="2045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status</w:t>
            </w:r>
          </w:p>
        </w:tc>
      </w:tr>
      <w:tr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ROUTE-01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site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/ru/klt-rbd/chemistry/atlas-v1-1.html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site-ready HTML/MD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ready</w:t>
            </w:r>
          </w:p>
        </w:tc>
      </w:tr>
      <w:tr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ROUTE-02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monograph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Том II / Приложение CHEM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DOCX/PDF atlas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ready</w:t>
            </w:r>
          </w:p>
        </w:tc>
      </w:tr>
      <w:tr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ROUTE-03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database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KLT-RBD-CHEM SQLite + CSV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depositable data layer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ready</w:t>
            </w:r>
          </w:p>
        </w:tc>
      </w:tr>
      <w:tr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ROUTE-04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xlsx-dashboard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табличный навигатор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Excel workbook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ready</w:t>
            </w:r>
          </w:p>
        </w:tc>
      </w:tr>
      <w:tr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ROUTE-05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rbd-core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RBD source layer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v1.0 legacy included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ready</w:t>
            </w:r>
          </w:p>
        </w:tc>
      </w:tr>
      <w:tr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ROUTE-06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rospatent-db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описание базы данных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future registration appendix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candidate</w:t>
            </w:r>
          </w:p>
        </w:tc>
      </w:tr>
      <w:tr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ROUTE-07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lab-protocol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sample-to-evidence workflow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workflow table + gate rules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ready</w:t>
            </w:r>
          </w:p>
        </w:tc>
      </w:tr>
      <w:tr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ROUTE-08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public-summary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короткая публикационная аннотация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README/site block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ready</w:t>
            </w:r>
          </w:p>
        </w:tc>
      </w:tr>
    </w:tbl>
    <w:p>
      <w:pPr>
        <w:pStyle w:val="Heading1"/>
      </w:pPr>
      <w:r>
        <w:t>11. Source binding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binding_id</w:t>
            </w:r>
          </w:p>
        </w:tc>
        <w:tc>
          <w:tcPr>
            <w:tcW w:type="dxa" w:w="2045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source</w:t>
            </w:r>
          </w:p>
        </w:tc>
        <w:tc>
          <w:tcPr>
            <w:tcW w:type="dxa" w:w="2045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role</w:t>
            </w:r>
          </w:p>
        </w:tc>
        <w:tc>
          <w:tcPr>
            <w:tcW w:type="dxa" w:w="2045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section</w:t>
            </w:r>
          </w:p>
        </w:tc>
        <w:tc>
          <w:tcPr>
            <w:tcW w:type="dxa" w:w="2045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class</w:t>
            </w:r>
          </w:p>
        </w:tc>
      </w:tr>
      <w:tr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SRC-BIND-01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monograph5_0_ru.pdf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C@C -&gt; Reper -&gt; lambda/CGI ядро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SEC-01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core</w:t>
            </w:r>
          </w:p>
        </w:tc>
      </w:tr>
      <w:tr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SRC-BIND-02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PILOT01_PREPRINT_RU_FINAL.pdf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D-gate: domain + sufficient foundation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SEC-07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audit</w:t>
            </w:r>
          </w:p>
        </w:tc>
      </w:tr>
      <w:tr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SRC-BIND-03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Вся химия в 50 таблицах.pdf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таблицы строения атома, реакций, pH, равновесий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SEC-04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chem-reference</w:t>
            </w:r>
          </w:p>
        </w:tc>
      </w:tr>
      <w:tr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SRC-BIND-04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journal.pdf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химия как прикладная редукция ФОС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SEC-01</w:t>
            </w:r>
          </w:p>
        </w:tc>
        <w:tc>
          <w:tcPr>
            <w:tcW w:type="dxa" w:w="2045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FOS-reduction</w:t>
            </w:r>
          </w:p>
        </w:tc>
      </w:tr>
      <w:tr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SRC-BIND-05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KLT_RBD_CHEM_INTEGRATED_LAB_KNOWLEDGE_GRAPH_v1_0_PACKAGE.zip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legacy source-of-truth для v1.1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APP-A</w:t>
            </w:r>
          </w:p>
        </w:tc>
        <w:tc>
          <w:tcPr>
            <w:tcW w:type="dxa" w:w="2045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legacy</w:t>
            </w:r>
          </w:p>
        </w:tc>
      </w:tr>
    </w:tbl>
    <w:p>
      <w:pPr>
        <w:pStyle w:val="Heading1"/>
      </w:pPr>
      <w:r>
        <w:t>12. QA-протокол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qa_id</w:t>
            </w:r>
          </w:p>
        </w:tc>
        <w:tc>
          <w:tcPr>
            <w:tcW w:type="dxa" w:w="2556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check</w:t>
            </w:r>
          </w:p>
        </w:tc>
        <w:tc>
          <w:tcPr>
            <w:tcW w:type="dxa" w:w="2556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2556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note</w:t>
            </w:r>
          </w:p>
        </w:tc>
      </w:tr>
      <w:tr>
        <w:tc>
          <w:tcPr>
            <w:tcW w:type="dxa" w:w="2556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QA-v1-1-001</w:t>
            </w:r>
          </w:p>
        </w:tc>
        <w:tc>
          <w:tcPr>
            <w:tcW w:type="dxa" w:w="2556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legacy v1.0 package copied</w:t>
            </w:r>
          </w:p>
        </w:tc>
        <w:tc>
          <w:tcPr>
            <w:tcW w:type="dxa" w:w="2556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PASS</w:t>
            </w:r>
          </w:p>
        </w:tc>
        <w:tc>
          <w:tcPr>
            <w:tcW w:type="dxa" w:w="2556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source-of-truth included</w:t>
            </w:r>
          </w:p>
        </w:tc>
      </w:tr>
      <w:tr>
        <w:tc>
          <w:tcPr>
            <w:tcW w:type="dxa" w:w="2556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QA-v1-1-002</w:t>
            </w:r>
          </w:p>
        </w:tc>
        <w:tc>
          <w:tcPr>
            <w:tcW w:type="dxa" w:w="2556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atlas sections &gt;= 12</w:t>
            </w:r>
          </w:p>
        </w:tc>
        <w:tc>
          <w:tcPr>
            <w:tcW w:type="dxa" w:w="2556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PASS</w:t>
            </w:r>
          </w:p>
        </w:tc>
        <w:tc>
          <w:tcPr>
            <w:tcW w:type="dxa" w:w="2556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13 sections</w:t>
            </w:r>
          </w:p>
        </w:tc>
      </w:tr>
      <w:tr>
        <w:tc>
          <w:tcPr>
            <w:tcW w:type="dxa" w:w="2556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QA-v1-1-003</w:t>
            </w:r>
          </w:p>
        </w:tc>
        <w:tc>
          <w:tcPr>
            <w:tcW w:type="dxa" w:w="2556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table map populated</w:t>
            </w:r>
          </w:p>
        </w:tc>
        <w:tc>
          <w:tcPr>
            <w:tcW w:type="dxa" w:w="2556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PASS</w:t>
            </w:r>
          </w:p>
        </w:tc>
        <w:tc>
          <w:tcPr>
            <w:tcW w:type="dxa" w:w="2556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10 tables</w:t>
            </w:r>
          </w:p>
        </w:tc>
      </w:tr>
      <w:tr>
        <w:tc>
          <w:tcPr>
            <w:tcW w:type="dxa" w:w="2556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QA-v1-1-004</w:t>
            </w:r>
          </w:p>
        </w:tc>
        <w:tc>
          <w:tcPr>
            <w:tcW w:type="dxa" w:w="2556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figure map populated</w:t>
            </w:r>
          </w:p>
        </w:tc>
        <w:tc>
          <w:tcPr>
            <w:tcW w:type="dxa" w:w="2556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PASS</w:t>
            </w:r>
          </w:p>
        </w:tc>
        <w:tc>
          <w:tcPr>
            <w:tcW w:type="dxa" w:w="2556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6 figures</w:t>
            </w:r>
          </w:p>
        </w:tc>
      </w:tr>
      <w:tr>
        <w:tc>
          <w:tcPr>
            <w:tcW w:type="dxa" w:w="2556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QA-v1-1-005</w:t>
            </w:r>
          </w:p>
        </w:tc>
        <w:tc>
          <w:tcPr>
            <w:tcW w:type="dxa" w:w="2556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publication routes populated</w:t>
            </w:r>
          </w:p>
        </w:tc>
        <w:tc>
          <w:tcPr>
            <w:tcW w:type="dxa" w:w="2556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PASS</w:t>
            </w:r>
          </w:p>
        </w:tc>
        <w:tc>
          <w:tcPr>
            <w:tcW w:type="dxa" w:w="2556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8 routes</w:t>
            </w:r>
          </w:p>
        </w:tc>
      </w:tr>
      <w:tr>
        <w:tc>
          <w:tcPr>
            <w:tcW w:type="dxa" w:w="2556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QA-v1-1-006</w:t>
            </w:r>
          </w:p>
        </w:tc>
        <w:tc>
          <w:tcPr>
            <w:tcW w:type="dxa" w:w="2556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Evidence-D layer inherited</w:t>
            </w:r>
          </w:p>
        </w:tc>
        <w:tc>
          <w:tcPr>
            <w:tcW w:type="dxa" w:w="2556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PASS</w:t>
            </w:r>
          </w:p>
        </w:tc>
        <w:tc>
          <w:tcPr>
            <w:tcW w:type="dxa" w:w="2556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58 evidence rows from v1.0</w:t>
            </w:r>
          </w:p>
        </w:tc>
      </w:tr>
      <w:tr>
        <w:tc>
          <w:tcPr>
            <w:tcW w:type="dxa" w:w="2556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QA-v1-1-007</w:t>
            </w:r>
          </w:p>
        </w:tc>
        <w:tc>
          <w:tcPr>
            <w:tcW w:type="dxa" w:w="2556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 rules inherited</w:t>
            </w:r>
          </w:p>
        </w:tc>
        <w:tc>
          <w:tcPr>
            <w:tcW w:type="dxa" w:w="2556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PASS</w:t>
            </w:r>
          </w:p>
        </w:tc>
        <w:tc>
          <w:tcPr>
            <w:tcW w:type="dxa" w:w="2556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18 gap rows from v1.0</w:t>
            </w:r>
          </w:p>
        </w:tc>
      </w:tr>
      <w:tr>
        <w:tc>
          <w:tcPr>
            <w:tcW w:type="dxa" w:w="2556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QA-v1-1-008</w:t>
            </w:r>
          </w:p>
        </w:tc>
        <w:tc>
          <w:tcPr>
            <w:tcW w:type="dxa" w:w="2556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 rebuild rules inherited</w:t>
            </w:r>
          </w:p>
        </w:tc>
        <w:tc>
          <w:tcPr>
            <w:tcW w:type="dxa" w:w="2556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PASS</w:t>
            </w:r>
          </w:p>
        </w:tc>
        <w:tc>
          <w:tcPr>
            <w:tcW w:type="dxa" w:w="2556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12 cgi rows from v1.0</w:t>
            </w:r>
          </w:p>
        </w:tc>
      </w:tr>
      <w:tr>
        <w:tc>
          <w:tcPr>
            <w:tcW w:type="dxa" w:w="2556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QA-v1-1-009</w:t>
            </w:r>
          </w:p>
        </w:tc>
        <w:tc>
          <w:tcPr>
            <w:tcW w:type="dxa" w:w="2556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DOCX/PDF atlas generated</w:t>
            </w:r>
          </w:p>
        </w:tc>
        <w:tc>
          <w:tcPr>
            <w:tcW w:type="dxa" w:w="2556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PASS</w:t>
            </w:r>
          </w:p>
        </w:tc>
        <w:tc>
          <w:tcPr>
            <w:tcW w:type="dxa" w:w="2556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DOCX rendered to 7 pages; PDF exported</w:t>
            </w:r>
          </w:p>
        </w:tc>
      </w:tr>
      <w:tr>
        <w:tc>
          <w:tcPr>
            <w:tcW w:type="dxa" w:w="2556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QA-v1-1-010</w:t>
            </w:r>
          </w:p>
        </w:tc>
        <w:tc>
          <w:tcPr>
            <w:tcW w:type="dxa" w:w="2556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ZIP integrity</w:t>
            </w:r>
          </w:p>
        </w:tc>
        <w:tc>
          <w:tcPr>
            <w:tcW w:type="dxa" w:w="2556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PASS</w:t>
            </w:r>
          </w:p>
        </w:tc>
        <w:tc>
          <w:tcPr>
            <w:tcW w:type="dxa" w:w="2556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ZIP integrity verified by unzip -t</w:t>
            </w:r>
          </w:p>
        </w:tc>
      </w:tr>
    </w:tbl>
    <w:p>
      <w:pPr>
        <w:pStyle w:val="Heading1"/>
      </w:pPr>
      <w:r>
        <w:t>Приложение A. Словарь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term</w:t>
            </w:r>
          </w:p>
        </w:tc>
        <w:tc>
          <w:tcPr>
            <w:tcW w:type="dxa" w:w="5112"/>
            <w:vAlign w:val="top"/>
            <w:shd w:fill="1F2937"/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definition</w:t>
            </w:r>
          </w:p>
        </w:tc>
      </w:tr>
      <w:tr>
        <w:tc>
          <w:tcPr>
            <w:tcW w:type="dxa" w:w="5112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C@C_chem</w:t>
            </w:r>
          </w:p>
        </w:tc>
        <w:tc>
          <w:tcPr>
            <w:tcW w:type="dxa" w:w="5112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химическое событие@состояние: объект фиксируется как акт и состояние одновременно</w:t>
            </w:r>
          </w:p>
        </w:tc>
      </w:tr>
      <w:tr>
        <w:tc>
          <w:tcPr>
            <w:tcW w:type="dxa" w:w="5112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Rep_chem</w:t>
            </w:r>
          </w:p>
        </w:tc>
        <w:tc>
          <w:tcPr>
            <w:tcW w:type="dxa" w:w="5112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четвёрка (R,I,U;D), где D является достаточным основанием</w:t>
            </w:r>
          </w:p>
        </w:tc>
      </w:tr>
      <w:tr>
        <w:tc>
          <w:tcPr>
            <w:tcW w:type="dxa" w:w="5112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Evidence-D</w:t>
            </w:r>
          </w:p>
        </w:tc>
        <w:tc>
          <w:tcPr>
            <w:tcW w:type="dxa" w:w="5112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измерительное, источниковое или протокольное основание для химического утверждения</w:t>
            </w:r>
          </w:p>
        </w:tc>
      </w:tr>
      <w:tr>
        <w:tc>
          <w:tcPr>
            <w:tcW w:type="dxa" w:w="5112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Gap</w:t>
            </w:r>
          </w:p>
        </w:tc>
        <w:tc>
          <w:tcPr>
            <w:tcW w:type="dxa" w:w="5112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локальный дефект домена, основания, формулы, баланса, среды или метода</w:t>
            </w:r>
          </w:p>
        </w:tc>
      </w:tr>
      <w:tr>
        <w:tc>
          <w:tcPr>
            <w:tcW w:type="dxa" w:w="5112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CGI</w:t>
            </w:r>
          </w:p>
        </w:tc>
        <w:tc>
          <w:tcPr>
            <w:tcW w:type="dxa" w:w="5112"/>
            <w:vAlign w:val="top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индекс разрыва связности; при CGI &gt; 1 требуется пересборка</w:t>
            </w:r>
          </w:p>
        </w:tc>
      </w:tr>
      <w:tr>
        <w:tc>
          <w:tcPr>
            <w:tcW w:type="dxa" w:w="5112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Publication Atlas</w:t>
            </w:r>
          </w:p>
        </w:tc>
        <w:tc>
          <w:tcPr>
            <w:tcW w:type="dxa" w:w="5112"/>
            <w:vAlign w:val="top"/>
            <w:shd w:fill="F9FAFB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публикационная карта базы: разделы, таблицы, диаграммы, маршруты и QA</w:t>
            </w:r>
          </w:p>
        </w:tc>
      </w:tr>
    </w:tbl>
    <w:p>
      <w:pPr>
        <w:pStyle w:val="Heading1"/>
      </w:pPr>
      <w:r>
        <w:t>Приложение B. Состав файлов</w:t>
      </w:r>
    </w:p>
    <w:p>
      <w:r>
        <w:t>Пакет включает DOCX, PDF, Excel, SQLite, CSV-таблицы, PNG-диаграммы, README, site-ready Markdown/HTML, MANIFEST_v1_1.json, SHA256SUMS.txt и legacy-файлы v1.0.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Ivan Borisovich Kurpishev / Independent Researcher / Kaliningrad / me@kurpishev.ru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sz w:val="16"/>
      </w:rPr>
      <w:t>KLT-RBD-CHEM Publication Atlas v1.1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DejaVu Sans" w:hAnsi="DejaVu Sans" w:cs="DejaVu Sans" w:eastAsia="DejaVu San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DejaVu Sans" w:hAnsi="DejaVu Sans" w:cs="DejaVu Sans" w:eastAsia="DejaVu Sans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DejaVu Sans" w:hAnsi="DejaVu Sans" w:cs="DejaVu Sans" w:eastAsia="DejaVu Sans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DejaVu Sans" w:hAnsi="DejaVu Sans" w:cs="DejaVu Sans" w:eastAsia="DejaVu Sans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DejaVu Sans" w:hAnsi="DejaVu Sans" w:cs="DejaVu Sans" w:eastAsia="DejaVu Sans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Relationship Id="rId12" Type="http://schemas.openxmlformats.org/officeDocument/2006/relationships/image" Target="media/image2.png"/><Relationship Id="rId1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