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库尔皮舍夫逻辑 2</w:t>
      </w:r>
    </w:p>
    <w:p>
      <w:pPr>
        <w:pStyle w:val="Subtitle"/>
      </w:pPr>
      <w:r>
        <w:t>科普简报</w:t>
      </w:r>
    </w:p>
    <w:p>
      <w:r>
        <w:rPr>
          <w:b/>
        </w:rPr>
        <w:t>2026年10月10日至23日</w:t>
      </w:r>
    </w:p>
    <w:p>
      <w:pPr>
        <w:spacing w:after="280"/>
      </w:pPr>
      <w:r>
        <w:rPr>
          <w:sz w:val="20"/>
        </w:rPr>
        <w:t>项目与方法作者 伊万 鲍里索维奇 库尔皮舍夫</w:t>
        <w:br/>
        <w:t>v1.0版 • 编制日期 2026年10月24日</w:t>
      </w:r>
    </w:p>
    <w:p>
      <w:pPr>
        <w:pStyle w:val="Heading1"/>
      </w:pPr>
      <w:r>
        <w:t>在数字背后保留意义</w:t>
      </w:r>
    </w:p>
    <w:p>
      <w:r>
        <w:rPr>
          <w:b/>
        </w:rPr>
        <w:t>一份学生作业可以与参考答案高度相似，却仍然答错。两份研究记录也可能产生同一个矩阵，尽管其结论的依据并不相同。在这两周中，“库尔皮舍夫逻辑2”项目对这些情形进行了精确检查，追问知识处理过程中哪些差异必须保留。</w:t>
      </w:r>
    </w:p>
    <w:p>
      <w:r>
        <w:t>项目旨在发展一种研究事件与状态的预测性参照架射影调和方法，预期应用领域包括数学、物理、化学、生物学和经济学。目前，这一总体研究计划正落实为具体数学模型、来源数据库和软件工具。独立的预测效能仍有待今后的试验确认。[1, 4, 7]</w:t>
      </w:r>
    </w:p>
    <w:p>
      <w:pPr>
        <w:pStyle w:val="Heading2"/>
      </w:pPr>
      <w:r>
        <w:t>作为理解支点的参照架</w:t>
      </w:r>
    </w:p>
    <w:p>
      <w:r>
        <w:t>初步理解时，可以把参照架视为组织研究的支点：研究什么，在何种概念系统与适用域中研究，以及凭什么允许作出结论。KLT-RBD保存这些记录及其关系。KASVD研究紧凑的矩阵与谱表示，ARBD则发展对事件、状态及转移的处理。这里是通俗说明，并不替代正式定义。</w:t>
      </w:r>
    </w:p>
    <w:p>
      <w:r>
        <w:t>射影方法考察在已声明的表示变换下保持的关系。调和构造在空间、点的次序与允许的运算明确之后给出精确的几何关系。在作者的研究计划中，它们与λ真性概念相联系。几何上的一致或较高的软件指标，都不能单独证明实质性陈述为真。[7，第1、5至9章]</w:t>
      </w:r>
    </w:p>
    <w:p>
      <w:r>
        <w:t>贯穿本期的问题很直接：保留下来的数据，是否足以回答当前提出的具体问题？如果不足，方法就要求恢复缺失的差异，或暂不作出结论。</w:t>
      </w:r>
    </w:p>
    <w:p>
      <w:r>
        <w:br w:type="page"/>
      </w:r>
    </w:p>
    <w:p>
      <w:pPr>
        <w:pStyle w:val="Heading1"/>
      </w:pPr>
      <w:r>
        <w:t>KASVD识别重要差异的丢失</w:t>
      </w:r>
    </w:p>
    <w:p>
      <w:r>
        <w:t>数字化特征档案便于寻找相似性、对记录分组，并选择进一步分析的对象。但它也可能过于简略。10月14日的审计使用特定的R3M v1.0编码器，检查了历史快照RUN-016中的全部36个已登记研究对象。这些是既有研究记录，并非36项新的物理发现。[1]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352"/>
        <w:gridCol w:w="1872"/>
      </w:tblGrid>
      <w:tr>
        <w:trPr>
          <w:cantSplit/>
          <w:tblHeader/>
        </w:trPr>
        <w:tc>
          <w:tcPr>
            <w:tcW w:type="dxa" w:w="8352"/>
            <w:shd w:fill="1637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40" w:before="40"/>
            </w:pPr>
            <w:r>
              <w:rPr>
                <w:b/>
                <w:color w:val="FFFFFF"/>
                <w:sz w:val="22"/>
              </w:rPr>
              <w:t>比较项目</w:t>
            </w:r>
          </w:p>
        </w:tc>
        <w:tc>
          <w:tcPr>
            <w:tcW w:type="dxa" w:w="1872"/>
            <w:shd w:fill="1637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b/>
                <w:color w:val="FFFFFF"/>
                <w:sz w:val="22"/>
              </w:rPr>
              <w:t>数量</w:t>
            </w:r>
          </w:p>
        </w:tc>
      </w:tr>
      <w:tr>
        <w:trPr>
          <w:cantSplit/>
        </w:trPr>
        <w:tc>
          <w:tcPr>
            <w:tcW w:type="dxa" w:w="835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40" w:before="40"/>
            </w:pPr>
            <w:r>
              <w:rPr>
                <w:b w:val="0"/>
                <w:sz w:val="22"/>
              </w:rPr>
              <w:t>全部无序对象对</w:t>
            </w:r>
          </w:p>
        </w:tc>
        <w:tc>
          <w:tcPr>
            <w:tcW w:type="dxa" w:w="187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b w:val="0"/>
                <w:sz w:val="22"/>
              </w:rPr>
              <w:t>630</w:t>
            </w:r>
          </w:p>
        </w:tc>
      </w:tr>
      <w:tr>
        <w:trPr>
          <w:cantSplit/>
        </w:trPr>
        <w:tc>
          <w:tcPr>
            <w:tcW w:type="dxa" w:w="8352"/>
            <w:shd w:fill="EEF4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40" w:before="40"/>
            </w:pPr>
            <w:r>
              <w:rPr>
                <w:b w:val="0"/>
                <w:sz w:val="22"/>
              </w:rPr>
              <w:t>R3M矩阵完全相同的对象对</w:t>
            </w:r>
          </w:p>
        </w:tc>
        <w:tc>
          <w:tcPr>
            <w:tcW w:type="dxa" w:w="1872"/>
            <w:shd w:fill="EEF4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b w:val="0"/>
                <w:sz w:val="22"/>
              </w:rPr>
              <w:t>196</w:t>
            </w:r>
          </w:p>
        </w:tc>
      </w:tr>
      <w:tr>
        <w:trPr>
          <w:cantSplit/>
        </w:trPr>
        <w:tc>
          <w:tcPr>
            <w:tcW w:type="dxa" w:w="835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40" w:before="40"/>
            </w:pPr>
            <w:r>
              <w:rPr>
                <w:b w:val="0"/>
                <w:sz w:val="22"/>
              </w:rPr>
              <w:t>其中核查决定不同的对象对</w:t>
            </w:r>
          </w:p>
        </w:tc>
        <w:tc>
          <w:tcPr>
            <w:tcW w:type="dxa" w:w="187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b w:val="0"/>
                <w:sz w:val="22"/>
              </w:rPr>
              <w:t>153</w:t>
            </w:r>
          </w:p>
        </w:tc>
      </w:tr>
    </w:tbl>
    <w:p>
      <w:pPr>
        <w:spacing w:after="0"/>
      </w:pPr>
    </w:p>
    <w:p>
      <w:r>
        <w:t>对象1与18提供了直观例子。两者矩阵相同，但记录中的决定分别为signature-ready与hold。其角色、依据来源和阻碍项也不同。不过，两份历史档案均含有proof_status=roadmap-only-not-proof，因此此处的ready也不表示数学证明已经完成。</w:t>
      </w:r>
    </w:p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6172200" cy="128587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lision_zh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12858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相同矩阵不能恢复两个不同的决定。示意图依据审计[1]。</w:t>
      </w:r>
    </w:p>
    <w:p>
      <w:r>
        <w:t>不写公式也能说明数学条件：如果两份记录被压缩成同一个代码，那么仅凭这个代码可以恢复的任何结论，对两份记录都必须相同。矩阵一致而决定不同，构成了无法仅从矩阵恢复决定的精确反例。这是将经典的映射因子分解判据应用于KASVD材料，而不是首次提出该判据。</w:t>
      </w:r>
    </w:p>
    <w:p>
      <w:r>
        <w:t>实际结果是：数字投影必须伴随完整档案及可核查的引用。软件包已实现passport_ref解析，并在命名空间或快照不一致时拒绝处理。保存一条依据记录，并不等于证明该依据充分。</w:t>
      </w:r>
    </w:p>
    <w:p>
      <w:r>
        <w:t>153不是软件错误率，也不是预测质量指标。它准确描述了本次登记册中核查决定的冲突，并解释了为什么一个谱不能替代完整的证据历史。</w:t>
      </w:r>
    </w:p>
    <w:p>
      <w:r>
        <w:br w:type="page"/>
      </w:r>
    </w:p>
    <w:p>
      <w:pPr>
        <w:pStyle w:val="Heading1"/>
      </w:pPr>
      <w:r>
        <w:t>Analyzer辅助教师组织审阅</w:t>
      </w:r>
    </w:p>
    <w:p>
      <w:r>
        <w:t>设想一份解题过程与参考答案相似的作业，却把x + 3 = 5的答案写成x = 3。在这类合成测试中，一份错误作业得到了98.3%的结构相似度和75.5分的百分制指标，而证据状态仍为ABSTAIN，即缺乏作出肯定结论的充分依据。[2–3]</w:t>
      </w:r>
    </w:p>
    <w:p>
      <w:r>
        <w:t>10月19日的扩展检查覆盖11个案例。正确对照与含有错误数字或符号的变体，可能同时获得100%的相似度和相同的75.5指标。这一结果使教学模式的定位更加明确：组织审阅并记录意见，同时由教师核查学科内容的正确性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672"/>
        <w:gridCol w:w="6552"/>
      </w:tblGrid>
      <w:tr>
        <w:trPr>
          <w:cantSplit/>
          <w:tblHeader/>
        </w:trPr>
        <w:tc>
          <w:tcPr>
            <w:tcW w:type="dxa" w:w="3672"/>
            <w:shd w:fill="1637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40" w:before="40"/>
            </w:pPr>
            <w:r>
              <w:rPr>
                <w:b/>
                <w:color w:val="FFFFFF"/>
                <w:sz w:val="22"/>
              </w:rPr>
              <w:t>界面结果</w:t>
            </w:r>
          </w:p>
        </w:tc>
        <w:tc>
          <w:tcPr>
            <w:tcW w:type="dxa" w:w="6552"/>
            <w:shd w:fill="1637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40" w:before="40"/>
            </w:pPr>
            <w:r>
              <w:rPr>
                <w:b/>
                <w:color w:val="FFFFFF"/>
                <w:sz w:val="22"/>
              </w:rPr>
              <w:t>应如何理解</w:t>
            </w:r>
          </w:p>
        </w:tc>
      </w:tr>
      <w:tr>
        <w:trPr>
          <w:cantSplit/>
        </w:trPr>
        <w:tc>
          <w:tcPr>
            <w:tcW w:type="dxa" w:w="367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40" w:before="40"/>
            </w:pPr>
            <w:r>
              <w:rPr>
                <w:b w:val="0"/>
                <w:sz w:val="22"/>
              </w:rPr>
              <w:t>结构相似度</w:t>
            </w:r>
          </w:p>
        </w:tc>
        <w:tc>
          <w:tcPr>
            <w:tcW w:type="dxa" w:w="655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40" w:before="40"/>
            </w:pPr>
            <w:r>
              <w:rPr>
                <w:b w:val="0"/>
                <w:sz w:val="22"/>
              </w:rPr>
              <w:t>表示方式与参考文本的相似程度</w:t>
            </w:r>
          </w:p>
        </w:tc>
      </w:tr>
      <w:tr>
        <w:trPr>
          <w:cantSplit/>
        </w:trPr>
        <w:tc>
          <w:tcPr>
            <w:tcW w:type="dxa" w:w="3672"/>
            <w:shd w:fill="EEF4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40" w:before="40"/>
            </w:pPr>
            <w:r>
              <w:rPr>
                <w:b w:val="0"/>
                <w:sz w:val="22"/>
              </w:rPr>
              <w:t>学科内容正确性</w:t>
            </w:r>
          </w:p>
        </w:tc>
        <w:tc>
          <w:tcPr>
            <w:tcW w:type="dxa" w:w="6552"/>
            <w:shd w:fill="EEF4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40" w:before="40"/>
            </w:pPr>
            <w:r>
              <w:rPr>
                <w:b w:val="0"/>
                <w:sz w:val="22"/>
              </w:rPr>
              <w:t>尚未自动核查</w:t>
            </w:r>
          </w:p>
        </w:tc>
      </w:tr>
      <w:tr>
        <w:trPr>
          <w:cantSplit/>
        </w:trPr>
        <w:tc>
          <w:tcPr>
            <w:tcW w:type="dxa" w:w="367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40" w:before="40"/>
            </w:pPr>
            <w:r>
              <w:rPr>
                <w:b w:val="0"/>
                <w:sz w:val="22"/>
              </w:rPr>
              <w:t>最终决定</w:t>
            </w:r>
          </w:p>
        </w:tc>
        <w:tc>
          <w:tcPr>
            <w:tcW w:type="dxa" w:w="655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40" w:before="40"/>
            </w:pPr>
            <w:r>
              <w:rPr>
                <w:b w:val="0"/>
                <w:sz w:val="22"/>
              </w:rPr>
              <w:t>由教师填写</w:t>
            </w:r>
          </w:p>
        </w:tc>
      </w:tr>
    </w:tbl>
    <w:p>
      <w:pPr>
        <w:spacing w:after="0"/>
      </w:pPr>
    </w:p>
    <w:p>
      <w:pPr>
        <w:pStyle w:val="Heading2"/>
      </w:pPr>
      <w:r>
        <w:t>系统审阅的六个问题</w:t>
      </w:r>
    </w:p>
    <w:p>
      <w:r>
        <w:t>清单依次关注：是否符合题目要求；概念与术语；陈述的依据；推理与结论的联系；来源与引文；结论的条件及边界。意见可关联到具体文本片段，并由教师补充说明。所有人工决定的初始状态均为“未核查”。[2]</w:t>
      </w:r>
    </w:p>
    <w:p>
      <w:r>
        <w:t>在Sites v60中，教学界面已移除自动生成的五分制成绩。六项决定和最终结果不会依据结构指标自动填写。手动离线HTML表单支持保存和转移教师记录，但它本身不计算相似度，也不检查正确性。该表单是独立工具，不能与离线分析器混为一谈。</w:t>
      </w:r>
    </w:p>
    <w:p>
      <w:r>
        <w:t>对教师而言，预期价值在于统一的审阅步骤和更可追溯的意见；对学生而言，则是更明确地了解需要修改的位置。节省时间的效果、真实课堂中的易用性和教学准确性，尚未经过独立测量。发布教学模式为这些试验提供了条件，但不能替代试验。</w:t>
      </w:r>
    </w:p>
    <w:p>
      <w:r>
        <w:br w:type="page"/>
      </w:r>
    </w:p>
    <w:p>
      <w:pPr>
        <w:pStyle w:val="Heading1"/>
      </w:pPr>
      <w:r>
        <w:t>新的软件候选包与资料访问</w:t>
      </w:r>
    </w:p>
    <w:p>
      <w:r>
        <w:t>10月19日已准备七个Android与Windows候选包，继续发展Analyzer的联网和离线分支，包括教学提示与教师人工决定。分支版本号因历史沿革而不同，并不代表七套独立数学引擎。[4]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672"/>
        <w:gridCol w:w="6552"/>
      </w:tblGrid>
      <w:tr>
        <w:trPr>
          <w:cantSplit/>
          <w:tblHeader/>
        </w:trPr>
        <w:tc>
          <w:tcPr>
            <w:tcW w:type="dxa" w:w="3672"/>
            <w:shd w:fill="1637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40" w:before="40"/>
            </w:pPr>
            <w:r>
              <w:rPr>
                <w:b/>
                <w:color w:val="FFFFFF"/>
                <w:sz w:val="22"/>
              </w:rPr>
              <w:t>平台与模式</w:t>
            </w:r>
          </w:p>
        </w:tc>
        <w:tc>
          <w:tcPr>
            <w:tcW w:type="dxa" w:w="6552"/>
            <w:shd w:fill="1637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40" w:before="40"/>
            </w:pPr>
            <w:r>
              <w:rPr>
                <w:b/>
                <w:color w:val="FFFFFF"/>
                <w:sz w:val="22"/>
              </w:rPr>
              <w:t>已准备的候选包</w:t>
            </w:r>
          </w:p>
        </w:tc>
      </w:tr>
      <w:tr>
        <w:trPr>
          <w:cantSplit/>
        </w:trPr>
        <w:tc>
          <w:tcPr>
            <w:tcW w:type="dxa" w:w="367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40" w:before="40"/>
            </w:pPr>
            <w:r>
              <w:rPr>
                <w:b w:val="0"/>
                <w:sz w:val="22"/>
              </w:rPr>
              <w:t>Android离线</w:t>
            </w:r>
          </w:p>
        </w:tc>
        <w:tc>
          <w:tcPr>
            <w:tcW w:type="dxa" w:w="655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40" w:before="40"/>
            </w:pPr>
            <w:r>
              <w:rPr>
                <w:b w:val="0"/>
                <w:sz w:val="22"/>
              </w:rPr>
              <w:t>1.05.7 EDU RC2</w:t>
            </w:r>
          </w:p>
        </w:tc>
      </w:tr>
      <w:tr>
        <w:trPr>
          <w:cantSplit/>
        </w:trPr>
        <w:tc>
          <w:tcPr>
            <w:tcW w:type="dxa" w:w="3672"/>
            <w:shd w:fill="EEF4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40" w:before="40"/>
            </w:pPr>
            <w:r>
              <w:rPr>
                <w:b w:val="0"/>
                <w:sz w:val="22"/>
              </w:rPr>
              <w:t>Android联网</w:t>
            </w:r>
          </w:p>
        </w:tc>
        <w:tc>
          <w:tcPr>
            <w:tcW w:type="dxa" w:w="6552"/>
            <w:shd w:fill="EEF4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40" w:before="40"/>
            </w:pPr>
            <w:r>
              <w:rPr>
                <w:b w:val="0"/>
                <w:sz w:val="22"/>
              </w:rPr>
              <w:t>0.10 EDU RC1</w:t>
            </w:r>
          </w:p>
        </w:tc>
      </w:tr>
      <w:tr>
        <w:trPr>
          <w:cantSplit/>
        </w:trPr>
        <w:tc>
          <w:tcPr>
            <w:tcW w:type="dxa" w:w="367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40" w:before="40"/>
            </w:pPr>
            <w:r>
              <w:rPr>
                <w:b w:val="0"/>
                <w:sz w:val="22"/>
              </w:rPr>
              <w:t>Windows离线</w:t>
            </w:r>
          </w:p>
        </w:tc>
        <w:tc>
          <w:tcPr>
            <w:tcW w:type="dxa" w:w="655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40" w:before="40"/>
            </w:pPr>
            <w:r>
              <w:rPr>
                <w:b w:val="0"/>
                <w:sz w:val="22"/>
              </w:rPr>
              <w:t>1.05.07 EDU RC2：Modern x64、Update、Compatibility x64与x86</w:t>
            </w:r>
          </w:p>
        </w:tc>
      </w:tr>
      <w:tr>
        <w:trPr>
          <w:cantSplit/>
        </w:trPr>
        <w:tc>
          <w:tcPr>
            <w:tcW w:type="dxa" w:w="3672"/>
            <w:shd w:fill="EEF4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40" w:before="40"/>
            </w:pPr>
            <w:r>
              <w:rPr>
                <w:b w:val="0"/>
                <w:sz w:val="22"/>
              </w:rPr>
              <w:t>Windows联网</w:t>
            </w:r>
          </w:p>
        </w:tc>
        <w:tc>
          <w:tcPr>
            <w:tcW w:type="dxa" w:w="6552"/>
            <w:shd w:fill="EEF4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40" w:before="40"/>
            </w:pPr>
            <w:r>
              <w:rPr>
                <w:b w:val="0"/>
                <w:sz w:val="22"/>
              </w:rPr>
              <w:t>0.10 EDU RC1 x64</w:t>
            </w:r>
          </w:p>
        </w:tc>
      </w:tr>
    </w:tbl>
    <w:p>
      <w:pPr>
        <w:spacing w:after="0"/>
      </w:pPr>
    </w:p>
    <w:p>
      <w:r>
        <w:t>Android包使用各自分支原有的密钥签名。Windows包没有Authenticode签名。构建报告列出124项模拟环境中的教学与数据保存检查、7项激活测试，以及13项Windows联网封装检查。这些不同测试组的数量不能相加后用作科学有效性的指标。</w:t>
      </w:r>
    </w:p>
    <w:p>
      <w:r>
        <w:t>10月22日，通过已连接的Drive取得全部七个二进制包，并核对文件大小与SHA-256。两个软件目录已在真实桌面浏览器中检查。说明与校验和公开可见，候选包下载仅限所有者。其状态保持NOT_ACCEPTED，Android和Windows原生环境验收仍为NOT_RUN。[5]</w:t>
      </w:r>
    </w:p>
    <w:p>
      <w:r>
        <w:t>联网封装打开当前网站，需要网络连接。离线构建使用自身代码和数据；项目未宣称网页与离线算法在数值上等价。真实设备上的安装、既有用户配置更新、导出、恢复和安全回退仍需测试。KLT-M4-LOGICAL-BACKUP-1的完整逻辑恢复仍为NOT_IMPLEMENTED。[4–5]</w:t>
      </w:r>
    </w:p>
    <w:p>
      <w:pPr>
        <w:pStyle w:val="Heading2"/>
      </w:pPr>
      <w:r>
        <w:t>10月23日的两次连续网站更新</w:t>
      </w:r>
    </w:p>
    <w:p>
      <w:r>
        <w:t>易经研究首先发布于Analyzer v62、KLT-MATDES v33和Sites展览v11。随后，专著v0.4的发布使三者分别更新至v63、v34和v12，Floot展览也同步更新。这些编号表示网站发布版本，不是新的APK版本。旧资料得到保留。[6, 8]</w:t>
      </w:r>
    </w:p>
    <w:p>
      <w:r>
        <w:br w:type="page"/>
      </w:r>
    </w:p>
    <w:p>
      <w:pPr>
        <w:pStyle w:val="Heading1"/>
      </w:pPr>
      <w:r>
        <w:t>以易经构建精确的研究模型</w:t>
      </w:r>
    </w:p>
    <w:p>
      <w:r>
        <w:t>六爻构成一个规模有限却内涵丰富的对象：爻的位置有意义，排列可以变化，同一符号在不同语境中可能获得不同解释。因此，易经研究可以把数学结构与中国哲学关于情境、变化和行动依据的问题相对照。[7]</w:t>
      </w:r>
    </w:p>
    <w:p>
      <w:r>
        <w:t>在模型中，每爻记为0或1，位置自下而上读取，共有64个状态。六位掩码标明哪些爻发生变化，异或运算XOR翻转这些位置。完整形式集合含4096个“状态与掩码”组合，包括不发生变化的情形。这个数量统计的是模型可能性，而不是观察次数或经验证的预测。</w:t>
      </w:r>
    </w:p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6172200" cy="157978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ex_zh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15797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形式化XOR示例，爻位自下而上编号。这是模型计算，并非事件预测。</w:t>
      </w:r>
    </w:p>
    <w:p>
      <w:r>
        <w:t>几何表示用于研究差异的保留及调和关系。带类型约束的动力学则单独定义操作、允许的输入，以及返回新行动的过程。不过，几何本身并未选定转移掩码：预测还需要有依据的选择规律，并单独评价其结果。</w:t>
      </w:r>
    </w:p>
    <w:p>
      <w:r>
        <w:t>10月23日形成的专著v0.4保留22章、示例、图集和11处插图，PDF共67页。该版协调了数学修订、前人贡献的归属和作者主张的边界。ARBD-HEX研究包包含领域代码、数据和预测日志。发布这些代码，并不表示已在Analyzer或MATDES服务器中完成集成。[6–8]</w:t>
      </w:r>
    </w:p>
    <w:p>
      <w:r>
        <w:t>其哲学价值在于使不同解释能够明确比较：各自保留哪些差异，结论依赖什么语境，形式化在何处不再传达原有意义。现代算子不被归于古代作者。把通道与哲学角色相对应的H15仍是解释性假说；文本校勘与独立的实质性验证仍在继续。</w:t>
      </w:r>
    </w:p>
    <w:p>
      <w:r>
        <w:br w:type="page"/>
      </w:r>
    </w:p>
    <w:p>
      <w:pPr>
        <w:pStyle w:val="Heading1"/>
      </w:pPr>
      <w:r>
        <w:t>作者研究计划与下一项可检验工作</w:t>
      </w:r>
    </w:p>
    <w:p>
      <w:r>
        <w:t>库尔皮舍夫研究计划的独立特点，应通过具体的研究组织方式说明。本阶段记录了：明确依据与适用域的参照架问题表述；事件和状态与射影调和表示的协调；算子的类型化复合；检查数据压缩是否保留特定问题所需的意义；以及结果与档案、核查日志之间的关联。[1, 7]</w:t>
      </w:r>
    </w:p>
    <w:p>
      <w:r>
        <w:t>这一实现的作者身份，不意味着其中每个数学组成部分都属首次创造。v0.4明确承认，三位对应剖面及把64个状态划分为八个八元类的结果，已见于Andreas Schöter于1999年的研究。二进制编码、XOR和经典射影构造，同样不被宣称为本项目的发现。P20点集经可逆重编码后，就是标准仿射符号立方体。[7，第3至6、16章]</w:t>
      </w:r>
    </w:p>
    <w:p>
      <w:r>
        <w:t>所选表示与算子的性质在模型内得到证明。例如，D3关于七个坐标的论断只适用于明确限定的一类表示；P22的调和辅助点位于原有64个状态之外。这些精确边界使贡献能够得到实质性讨论。整个集成方案的世界首创地位尚未确立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672"/>
        <w:gridCol w:w="6552"/>
      </w:tblGrid>
      <w:tr>
        <w:trPr>
          <w:cantSplit/>
          <w:tblHeader/>
        </w:trPr>
        <w:tc>
          <w:tcPr>
            <w:tcW w:type="dxa" w:w="3672"/>
            <w:shd w:fill="1637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40" w:before="40"/>
            </w:pPr>
            <w:r>
              <w:rPr>
                <w:b/>
                <w:color w:val="FFFFFF"/>
                <w:sz w:val="22"/>
              </w:rPr>
              <w:t>结果层次</w:t>
            </w:r>
          </w:p>
        </w:tc>
        <w:tc>
          <w:tcPr>
            <w:tcW w:type="dxa" w:w="6552"/>
            <w:shd w:fill="1637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40" w:before="40"/>
            </w:pPr>
            <w:r>
              <w:rPr>
                <w:b/>
                <w:color w:val="FFFFFF"/>
                <w:sz w:val="22"/>
              </w:rPr>
              <w:t>已完成内容或开放问题</w:t>
            </w:r>
          </w:p>
        </w:tc>
      </w:tr>
      <w:tr>
        <w:trPr>
          <w:cantSplit/>
        </w:trPr>
        <w:tc>
          <w:tcPr>
            <w:tcW w:type="dxa" w:w="367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40" w:before="40"/>
            </w:pPr>
            <w:r>
              <w:rPr>
                <w:b w:val="0"/>
                <w:sz w:val="22"/>
              </w:rPr>
              <w:t>数学与数据</w:t>
            </w:r>
          </w:p>
        </w:tc>
        <w:tc>
          <w:tcPr>
            <w:tcW w:type="dxa" w:w="655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40" w:before="40"/>
            </w:pPr>
            <w:r>
              <w:rPr>
                <w:b w:val="0"/>
                <w:sz w:val="22"/>
              </w:rPr>
              <w:t>信息丢失反例；已声明模型内的证明</w:t>
            </w:r>
          </w:p>
        </w:tc>
      </w:tr>
      <w:tr>
        <w:trPr>
          <w:cantSplit/>
        </w:trPr>
        <w:tc>
          <w:tcPr>
            <w:tcW w:type="dxa" w:w="3672"/>
            <w:shd w:fill="EEF4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40" w:before="40"/>
            </w:pPr>
            <w:r>
              <w:rPr>
                <w:b w:val="0"/>
                <w:sz w:val="22"/>
              </w:rPr>
              <w:t>软件</w:t>
            </w:r>
          </w:p>
        </w:tc>
        <w:tc>
          <w:tcPr>
            <w:tcW w:type="dxa" w:w="6552"/>
            <w:shd w:fill="EEF4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40" w:before="40"/>
            </w:pPr>
            <w:r>
              <w:rPr>
                <w:b w:val="0"/>
                <w:sz w:val="22"/>
              </w:rPr>
              <w:t>构建、文件核查及指定软件场景</w:t>
            </w:r>
          </w:p>
        </w:tc>
      </w:tr>
      <w:tr>
        <w:trPr>
          <w:cantSplit/>
        </w:trPr>
        <w:tc>
          <w:tcPr>
            <w:tcW w:type="dxa" w:w="367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40" w:before="40"/>
            </w:pPr>
            <w:r>
              <w:rPr>
                <w:b w:val="0"/>
                <w:sz w:val="22"/>
              </w:rPr>
              <w:t>外部验证</w:t>
            </w:r>
          </w:p>
        </w:tc>
        <w:tc>
          <w:tcPr>
            <w:tcW w:type="dxa" w:w="655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40" w:before="40"/>
            </w:pPr>
            <w:r>
              <w:rPr>
                <w:b w:val="0"/>
                <w:sz w:val="22"/>
              </w:rPr>
              <w:t>预测效能和教学有效性尚未确立</w:t>
            </w:r>
          </w:p>
        </w:tc>
      </w:tr>
    </w:tbl>
    <w:p>
      <w:pPr>
        <w:spacing w:after="0"/>
      </w:pPr>
    </w:p>
    <w:p>
      <w:r>
        <w:t>下一步有明确标准：在真实Android和Windows设备上验证候选包并保留用户数据库；研究教师实际使用流程；取得独立的中文标注；预先登记预测任务与匹配对照，然后在此前未使用的数据上评价结果。</w:t>
      </w:r>
    </w:p>
    <w:p>
      <w:r>
        <w:t>SCIENCE=ABSTAIN、EXT_RUN=NOT_RUN和truth_layer_promotion=0保持不变。易经研究仍为external_validation=NOT_RUN、H15=OPEN及global_priority=NOT_ESTABLISHED；化学方向为DHC_chem=OPEN-NOT-CONFIRMED。这些标记帮助读者区分已完成工作与下一项科学问题。</w:t>
      </w:r>
    </w:p>
    <w:p>
      <w:r>
        <w:t>项目欢迎有针对性的讨论：数学研究者可以核查证明的条件，教师可以评估清单是否清楚，中国思想研究者可以审视解释是否准确。可复现的批评与试验，将为作者方法的进一步发展提供具体路径。</w:t>
      </w:r>
    </w:p>
    <w:p>
      <w:r>
        <w:br w:type="page"/>
      </w:r>
    </w:p>
    <w:p>
      <w:pPr>
        <w:pStyle w:val="Heading1"/>
      </w:pPr>
      <w:r>
        <w:t>本期资料与来源</w:t>
      </w:r>
    </w:p>
    <w:p>
      <w:r>
        <w:t>本期涵盖2026年10月10日至23日，编制于10月24日，时区为Europe/Kaliningrad。事实依据为本次阅读的Google Drive报告及专著v0.4。试验结果按这些文档转述；编制简报时未重新运行原软件的试验。</w:t>
      </w:r>
    </w:p>
    <w:p>
      <w:pPr>
        <w:spacing w:after="120"/>
      </w:pPr>
      <w:hyperlink r:id="rId12">
        <w:r>
          <w:rPr>
            <w:color w:val="176B70"/>
            <w:sz w:val="20"/>
          </w:rPr>
          <w:t xml:space="preserve">[1] KASVD Information Preservation Audit v1.0 · 14.10.2026</w:t>
        </w:r>
      </w:hyperlink>
    </w:p>
    <w:p>
      <w:pPr>
        <w:spacing w:after="120"/>
      </w:pPr>
      <w:hyperlink r:id="rId13">
        <w:r>
          <w:rPr>
            <w:color w:val="176B70"/>
            <w:sz w:val="20"/>
          </w:rPr>
          <w:t xml:space="preserve">[2] EDU ACCEPT 02 · 17.10.2026</w:t>
        </w:r>
      </w:hyperlink>
    </w:p>
    <w:p>
      <w:pPr>
        <w:spacing w:after="120"/>
      </w:pPr>
      <w:hyperlink r:id="rId14">
        <w:r>
          <w:rPr>
            <w:color w:val="176B70"/>
            <w:sz w:val="20"/>
          </w:rPr>
          <w:t xml:space="preserve">[3] EDU BOUNDARY 03 · 19.10.2026</w:t>
        </w:r>
      </w:hyperlink>
    </w:p>
    <w:p>
      <w:pPr>
        <w:spacing w:after="120"/>
      </w:pPr>
      <w:hyperlink r:id="rId15">
        <w:r>
          <w:rPr>
            <w:color w:val="176B70"/>
            <w:sz w:val="20"/>
          </w:rPr>
          <w:t xml:space="preserve">[4] EDU REBUILD 05 · 19.10.2026</w:t>
        </w:r>
      </w:hyperlink>
    </w:p>
    <w:p>
      <w:pPr>
        <w:spacing w:after="120"/>
      </w:pPr>
      <w:hyperlink r:id="rId16">
        <w:r>
          <w:rPr>
            <w:color w:val="176B70"/>
            <w:sz w:val="20"/>
          </w:rPr>
          <w:t xml:space="preserve">[5] EDU CATALOG AUDIT 07 · 22.10.2026</w:t>
        </w:r>
      </w:hyperlink>
    </w:p>
    <w:p>
      <w:pPr>
        <w:spacing w:after="120"/>
      </w:pPr>
      <w:hyperlink r:id="rId17">
        <w:r>
          <w:rPr>
            <w:color w:val="176B70"/>
            <w:sz w:val="20"/>
          </w:rPr>
          <w:t xml:space="preserve">[6] Yijing Publication Report · 23.10.2026</w:t>
        </w:r>
      </w:hyperlink>
    </w:p>
    <w:p>
      <w:pPr>
        <w:spacing w:after="120"/>
      </w:pPr>
      <w:hyperlink r:id="rId18">
        <w:r>
          <w:rPr>
            <w:color w:val="176B70"/>
            <w:sz w:val="20"/>
          </w:rPr>
          <w:t xml:space="preserve">[7] Книга Перемен и метод KLT ARBD v0.4 · 23.10.2026</w:t>
        </w:r>
      </w:hyperlink>
    </w:p>
    <w:p>
      <w:pPr>
        <w:spacing w:after="120"/>
      </w:pPr>
      <w:hyperlink r:id="rId19">
        <w:r>
          <w:rPr>
            <w:color w:val="176B70"/>
            <w:sz w:val="20"/>
          </w:rPr>
          <w:t xml:space="preserve">[8] Publication Receipt v0.4 · 23.10.2026</w:t>
        </w:r>
      </w:hyperlink>
    </w:p>
    <w:p>
      <w:pPr>
        <w:spacing w:after="120"/>
      </w:pPr>
      <w:hyperlink r:id="rId20">
        <w:r>
          <w:rPr>
            <w:color w:val="176B70"/>
            <w:sz w:val="20"/>
          </w:rPr>
          <w:t xml:space="preserve">[9] LK2 Digest 2–9 October v1.1 · 12.10.2026</w:t>
        </w:r>
      </w:hyperlink>
    </w:p>
    <w:p>
      <w:r>
        <w:t>链接指向原始文档，Drive访问受其现有权限限制。项目网站已向外部读者提供公开研究页面及本期简报文件。专著v0.4全文为俄文；存在俄、英、中三语网页，本身不意味着专著已有三种完整译本。</w:t>
      </w:r>
    </w:p>
    <w:p>
      <w:hyperlink r:id="rId21">
        <w:r>
          <w:rPr>
            <w:color w:val="176B70"/>
            <w:sz w:val="19"/>
          </w:rPr>
          <w:t xml:space="preserve">Analyzer</w:t>
        </w:r>
      </w:hyperlink>
      <w:r>
        <w:t xml:space="preserve">  |  </w:t>
      </w:r>
      <w:hyperlink r:id="rId22">
        <w:r>
          <w:rPr>
            <w:color w:val="176B70"/>
            <w:sz w:val="19"/>
          </w:rPr>
          <w:t xml:space="preserve">KLT-MATDES</w:t>
        </w:r>
      </w:hyperlink>
      <w:r>
        <w:t xml:space="preserve">  |  </w:t>
      </w:r>
      <w:hyperlink r:id="rId23">
        <w:r>
          <w:rPr>
            <w:color w:val="176B70"/>
            <w:sz w:val="19"/>
          </w:rPr>
          <w:t xml:space="preserve">Floot</w:t>
        </w:r>
      </w:hyperlink>
    </w:p>
    <w:p>
      <w:r>
        <w:t>10月2日至9日的v1.1简报[9]继续保留在档案中。新包使用独立文件名延续本系列。本期俄文、英文和中文版本具有一致的结构、数字、来源和科学限制。</w:t>
      </w:r>
    </w:p>
    <w:sectPr w:rsidR="00FC693F" w:rsidRPr="0006063C" w:rsidSect="00034616">
      <w:footerReference w:type="default" r:id="rId9"/>
      <w:pgSz w:w="12240" w:h="15840"/>
      <w:pgMar w:top="864" w:right="1008" w:bottom="864" w:left="1008" w:header="72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LK2 · 10–23.10.2026 · v1.0  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Noto Sans S Chinese" w:hAnsi="Noto Sans S Chinese" w:eastAsia="Noto Sans S Chinese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220"/>
      <w:outlineLvl w:val="0"/>
    </w:pPr>
    <w:rPr>
      <w:rFonts w:asciiTheme="majorHAnsi" w:eastAsiaTheme="majorEastAsia" w:hAnsiTheme="majorHAnsi" w:cstheme="majorBidi" w:ascii="Noto Sans S Chinese" w:hAnsi="Noto Sans S Chinese" w:eastAsia="Noto Sans S Chinese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40"/>
      <w:outlineLvl w:val="1"/>
    </w:pPr>
    <w:rPr>
      <w:rFonts w:asciiTheme="majorHAnsi" w:eastAsiaTheme="majorEastAsia" w:hAnsiTheme="majorHAnsi" w:cstheme="majorBidi" w:ascii="Noto Sans S Chinese" w:hAnsi="Noto Sans S Chinese" w:eastAsia="Noto Sans S Chinese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Noto Sans S Chinese" w:hAnsi="Noto Sans S Chinese" w:eastAsia="Noto Sans S Chinese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/>
    </w:pPr>
    <w:rPr>
      <w:rFonts w:asciiTheme="majorHAnsi" w:eastAsiaTheme="majorEastAsia" w:hAnsiTheme="majorHAnsi" w:cstheme="majorBidi" w:ascii="Noto Sans S Chinese" w:hAnsi="Noto Sans S Chinese" w:eastAsia="Noto Sans S Chinese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40"/>
    </w:pPr>
    <w:rPr>
      <w:rFonts w:ascii="Noto Sans S Chinese" w:hAnsi="Noto Sans S Chinese" w:eastAsia="Noto Sans S Chinese"/>
      <w:b w:val="0"/>
      <w:bCs/>
      <w:i w:val="0"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hyperlink" Target="https://drive.google.com/file/d/18H37DXjGdNiKXbiRZfuPoIbr9eoBhzTj/view" TargetMode="External"/><Relationship Id="rId13" Type="http://schemas.openxmlformats.org/officeDocument/2006/relationships/hyperlink" Target="https://drive.google.com/file/d/1v0bB7yTPokk93K587Q-mvzwh3tPmLCNl/view" TargetMode="External"/><Relationship Id="rId14" Type="http://schemas.openxmlformats.org/officeDocument/2006/relationships/hyperlink" Target="https://drive.google.com/file/d/1Sk3BNo-6MEF7aXBZ7Z4YytOSBfVgl4DG/view" TargetMode="External"/><Relationship Id="rId15" Type="http://schemas.openxmlformats.org/officeDocument/2006/relationships/hyperlink" Target="https://drive.google.com/file/d/1HIFaRMehIBWx6h_gVB3zH_ycWvrzfkFS/view" TargetMode="External"/><Relationship Id="rId16" Type="http://schemas.openxmlformats.org/officeDocument/2006/relationships/hyperlink" Target="https://drive.google.com/file/d/1BBAZiVWB6b10iwNvjCmUuH4SHJlmXvQP/view" TargetMode="External"/><Relationship Id="rId17" Type="http://schemas.openxmlformats.org/officeDocument/2006/relationships/hyperlink" Target="https://drive.google.com/file/d/1baHMziIs5sqsCyw1CeQM_FKh4kOHeW5Y/view" TargetMode="External"/><Relationship Id="rId18" Type="http://schemas.openxmlformats.org/officeDocument/2006/relationships/hyperlink" Target="https://docs.google.com/document/d/1FYeiUB-SiS0nCjFOrE7SizK_DiICPTAg/edit" TargetMode="External"/><Relationship Id="rId19" Type="http://schemas.openxmlformats.org/officeDocument/2006/relationships/hyperlink" Target="https://drive.google.com/file/d/1OD7ctjdf2wPXXAOt1FjhRlhIdfnjkG0s/view" TargetMode="External"/><Relationship Id="rId20" Type="http://schemas.openxmlformats.org/officeDocument/2006/relationships/hyperlink" Target="https://docs.google.com/document/d/1IBR3nM5MImBQzjZTImuENbXp5WnkG1X4/edit" TargetMode="External"/><Relationship Id="rId21" Type="http://schemas.openxmlformats.org/officeDocument/2006/relationships/hyperlink" Target="https://klt-rbdv6-analyzer.workspace-406992.chatgpt.site/" TargetMode="External"/><Relationship Id="rId22" Type="http://schemas.openxmlformats.org/officeDocument/2006/relationships/hyperlink" Target="https://klt-matdes.workspace-406992.chatgpt.site/" TargetMode="External"/><Relationship Id="rId23" Type="http://schemas.openxmlformats.org/officeDocument/2006/relationships/hyperlink" Target="https://kurpishev-exhibition.floot.app/research/yij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库尔皮舍夫逻辑 2 2026年10月10日至23日</dc:title>
  <dc:subject>Popular science digest 10–23 October 2026</dc:subject>
  <dc:creator>Ivan Borisovich Kurpishev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