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ЛОГИКА КУРПИШЕВА 2</w:t>
      </w:r>
    </w:p>
    <w:p>
      <w:pPr>
        <w:pStyle w:val="Subtitle"/>
      </w:pPr>
      <w:r>
        <w:t>Научно-популярный дайджест</w:t>
      </w:r>
    </w:p>
    <w:p>
      <w:r>
        <w:rPr>
          <w:b/>
        </w:rPr>
        <w:t>10–23 октября 2026 года</w:t>
      </w:r>
    </w:p>
    <w:p>
      <w:pPr>
        <w:spacing w:after="280"/>
      </w:pPr>
      <w:r>
        <w:rPr>
          <w:sz w:val="19"/>
        </w:rPr>
        <w:t>Автор проекта и метода Иван Борисович Курпишев</w:t>
        <w:br/>
        <w:t>Выпуск v1.0 • подготовлен 24 октября 2026 года</w:t>
      </w:r>
    </w:p>
    <w:p>
      <w:pPr>
        <w:pStyle w:val="Heading1"/>
      </w:pPr>
      <w:r>
        <w:t>Как сохранить смысл за числами</w:t>
      </w:r>
    </w:p>
    <w:p>
      <w:r>
        <w:rPr>
          <w:b/>
        </w:rPr>
        <w:t>Школьная работа может почти совпадать с образцом и содержать неверный ответ. Две научные записи могут давать одну матрицу, хотя основания их выводов различаются. За эти две недели проект «ЛОГИКА КУРПИШЕВА 2» сделал такие ситуации предметом точной проверки: выяснял, какие различия нельзя потерять при обработке знаний.</w:t>
      </w:r>
    </w:p>
    <w:p>
      <w:r>
        <w:t>Цель проекта — развивать предсказательный реперный проективно-гармонический метод исследования событий и состояний. Его предполагаемые области применения включают математику, физику, химию, биологию и экономику. Сейчас эта общая программа получает конкретные математические модели, базы источников и программные инструменты. Независимая эффективность прогнозов остаётся задачей будущих испытаний. [1, 4, 7]</w:t>
      </w:r>
    </w:p>
    <w:p>
      <w:pPr>
        <w:pStyle w:val="Heading2"/>
      </w:pPr>
      <w:r>
        <w:t>Репер как опора для понимания</w:t>
      </w:r>
    </w:p>
    <w:p>
      <w:r>
        <w:t>Для первого знакомства репер можно представить как организованную опору исследования: что рассматривается, в какой системе понятий, в какой области и на каком основании допускается вывод. KLT-RBD хранит такие записи и связи между ними. KASVD исследует их компактные матричные и спектральные представления, а ARBD развивает работу с событиями, состояниями и переходами. Это доступное пояснение, а не замена формальных определений.</w:t>
      </w:r>
    </w:p>
    <w:p>
      <w:r>
        <w:t>Проективный подход позволяет исследовать отношения при объявленных преобразованиях представления. Гармонические конструкции дают точные геометрические отношения, когда определены пространство, порядок точек и допустимые операции. В авторской программе они связаны с концепцией λ-истинности. Ни геометрическое совпадение, ни высокий программный индекс сами по себе не удостоверяют истинность содержательного утверждения. [7, гл. 1, 5–9]</w:t>
      </w:r>
    </w:p>
    <w:p>
      <w:r>
        <w:t>Общий вопрос выпуска прост: достаточно ли сохранённых данных, чтобы ответить именно на поставленный вопрос? Если нет, метод требует вернуть недостающие различия или воздержаться от заключения.</w:t>
      </w:r>
    </w:p>
    <w:p>
      <w:r>
        <w:br w:type="page"/>
      </w:r>
    </w:p>
    <w:p>
      <w:pPr>
        <w:pStyle w:val="Heading1"/>
      </w:pPr>
      <w:r>
        <w:t>KASVD обнаруживает потерю важных различий</w:t>
      </w:r>
    </w:p>
    <w:p>
      <w:r>
        <w:t>В числовом паспорте удобно искать сходство, группировать записи и выбирать объекты для дальнейшего анализа. Но такой паспорт может быть слишком кратким. Аудит от 14 октября проверил это на всех 36 зарегистрированных артефактах архивного снимка RUN-016, используя конкретный кодировщик R3M v1.0. Это исследование сохранённых записей, а не выборка из 36 новых физических открытий. [1]</w:t>
      </w:r>
    </w:p>
    <w:tbl>
      <w:tblPr>
        <w:tblW w:type="auto" w:w="0"/>
        <w:tblLayout w:type="fixed"/>
        <w:tblLook w:firstColumn="1" w:firstRow="1" w:lastColumn="0" w:lastRow="0" w:noHBand="0" w:noVBand="1" w:val="04A0"/>
      </w:tblPr>
      <w:tblGrid>
        <w:gridCol w:w="8352"/>
        <w:gridCol w:w="1872"/>
      </w:tblGrid>
      <w:tr>
        <w:trPr>
          <w:cantSplit/>
          <w:tblHeader/>
        </w:trPr>
        <w:tc>
          <w:tcPr>
            <w:tcW w:type="dxa" w:w="83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Что сравнили</w:t>
            </w:r>
          </w:p>
        </w:tc>
        <w:tc>
          <w:tcPr>
            <w:tcW w:type="dxa" w:w="18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color w:val="FFFFFF"/>
                <w:sz w:val="21"/>
              </w:rPr>
              <w:t>Количество</w:t>
            </w:r>
          </w:p>
        </w:tc>
      </w:tr>
      <w:tr>
        <w:trPr>
          <w:cantSplit/>
        </w:trPr>
        <w:tc>
          <w:tcPr>
            <w:tcW w:type="dxa" w:w="83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Все неупорядоченные пары</w:t>
            </w:r>
          </w:p>
        </w:tc>
        <w:tc>
          <w:tcPr>
            <w:tcW w:type="dxa" w:w="18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val="0"/>
                <w:sz w:val="21"/>
              </w:rPr>
              <w:t>630</w:t>
            </w:r>
          </w:p>
        </w:tc>
      </w:tr>
      <w:tr>
        <w:trPr>
          <w:cantSplit/>
        </w:trPr>
        <w:tc>
          <w:tcPr>
            <w:tcW w:type="dxa" w:w="83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Пары с одинаковой матрицей R3M</w:t>
            </w:r>
          </w:p>
        </w:tc>
        <w:tc>
          <w:tcPr>
            <w:tcW w:type="dxa" w:w="18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val="0"/>
                <w:sz w:val="21"/>
              </w:rPr>
              <w:t>196</w:t>
            </w:r>
          </w:p>
        </w:tc>
      </w:tr>
      <w:tr>
        <w:trPr>
          <w:cantSplit/>
        </w:trPr>
        <w:tc>
          <w:tcPr>
            <w:tcW w:type="dxa" w:w="83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Из них с разными проверочными решениями</w:t>
            </w:r>
          </w:p>
        </w:tc>
        <w:tc>
          <w:tcPr>
            <w:tcW w:type="dxa" w:w="18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val="0"/>
                <w:sz w:val="21"/>
              </w:rPr>
              <w:t>153</w:t>
            </w:r>
          </w:p>
        </w:tc>
      </w:tr>
    </w:tbl>
    <w:p>
      <w:pPr>
        <w:spacing w:after="0"/>
      </w:pPr>
    </w:p>
    <w:p>
      <w:r>
        <w:t>Пример особенно нагляден для артефактов 1 и 18. Их матрицы одинаковы, но сохранённые решения различаются: signature-ready и hold. Различаются также роли, источники основания и блокеры. При этом оба исторических паспорта содержат proof_status=roadmap-only-not-proof: даже слово ready здесь не означает готового математического доказательства.</w:t>
      </w:r>
    </w:p>
    <w:p>
      <w:pPr>
        <w:spacing w:after="60"/>
      </w:pPr>
      <w:r>
        <w:drawing>
          <wp:inline xmlns:a="http://schemas.openxmlformats.org/drawingml/2006/main" xmlns:pic="http://schemas.openxmlformats.org/drawingml/2006/picture">
            <wp:extent cx="6172200" cy="1285875"/>
            <wp:docPr id="1" name="Picture 1"/>
            <wp:cNvGraphicFramePr>
              <a:graphicFrameLocks noChangeAspect="1"/>
            </wp:cNvGraphicFramePr>
            <a:graphic>
              <a:graphicData uri="http://schemas.openxmlformats.org/drawingml/2006/picture">
                <pic:pic>
                  <pic:nvPicPr>
                    <pic:cNvPr id="0" name="collision_ru.png"/>
                    <pic:cNvPicPr/>
                  </pic:nvPicPr>
                  <pic:blipFill>
                    <a:blip r:embed="rId10"/>
                    <a:stretch>
                      <a:fillRect/>
                    </a:stretch>
                  </pic:blipFill>
                  <pic:spPr>
                    <a:xfrm>
                      <a:off x="0" y="0"/>
                      <a:ext cx="6172200" cy="1285875"/>
                    </a:xfrm>
                    <a:prstGeom prst="rect"/>
                  </pic:spPr>
                </pic:pic>
              </a:graphicData>
            </a:graphic>
          </wp:inline>
        </w:drawing>
      </w:r>
    </w:p>
    <w:p>
      <w:pPr>
        <w:pStyle w:val="Caption"/>
      </w:pPr>
      <w:r>
        <w:t>Одинаковая матрица не восстанавливает различающееся решение. Схема по аудиту [1].</w:t>
      </w:r>
    </w:p>
    <w:p>
      <w:r>
        <w:t>Математическое условие можно сказать без формул: если две записи превращаются в один код, любой вывод, восстанавливаемый только по этому коду, обязан быть для них одинаковым. Разные решения при одинаковой матрице дают точный контрпример восстановлению решения из одной матрицы. Это применение классического критерия факторизации к материалам KASVD, а не открытие самого критерия.</w:t>
      </w:r>
    </w:p>
    <w:p>
      <w:r>
        <w:t>Практический результат — требование хранить рядом с числовой проекцией полный паспорт и проверяемую ссылку на него. В пакете реализовано разрешение passport_ref и отказ при несовпадении пространства или снимка. Сохранить запись об основании ещё не значит доказать достаточность самого основания.</w:t>
      </w:r>
    </w:p>
    <w:p>
      <w:r>
        <w:t>Число 153 не является процентом ошибок программы или оценкой качества прогноза. Оно точно описывает конфликт решений внутри проверенного реестра и объясняет, почему один спектр не должен подменять доказательную историю.</w:t>
      </w:r>
    </w:p>
    <w:p>
      <w:r>
        <w:br w:type="page"/>
      </w:r>
    </w:p>
    <w:p>
      <w:pPr>
        <w:pStyle w:val="Heading1"/>
      </w:pPr>
      <w:r>
        <w:t>Analyzer помогает организовать работу преподавателя</w:t>
      </w:r>
    </w:p>
    <w:p>
      <w:r>
        <w:t>Представим проверку контрольной: ход решения похож на эталон, но в ответе к x + 3 = 5 записано x = 3. В синтетическом испытании такого рода неверная работа получила 98,3% структурного сходства и индекс 75,5 из 100. Доказательный статус остался ABSTAIN, то есть достаточного основания для подтверждающего заключения нет. [2–3]</w:t>
      </w:r>
    </w:p>
    <w:p>
      <w:r>
        <w:t>Расширенная проверка 19 октября охватила 11 случаев. Правильный контроль и варианты с неверной цифрой или знаком могли давать одинаковые 100% сходства и тот же индекс 75,5. Этот результат помог точнее сформулировать назначение учебного режима: организовать просмотр работы и фиксацию замечаний, сохраняя предметную проверку за преподавателем.</w:t>
      </w:r>
    </w:p>
    <w:tbl>
      <w:tblPr>
        <w:tblW w:type="auto" w:w="0"/>
        <w:tblLayout w:type="fixed"/>
        <w:tblLook w:firstColumn="1" w:firstRow="1" w:lastColumn="0" w:lastRow="0" w:noHBand="0" w:noVBand="1" w:val="04A0"/>
      </w:tblPr>
      <w:tblGrid>
        <w:gridCol w:w="3672"/>
        <w:gridCol w:w="6552"/>
      </w:tblGrid>
      <w:tr>
        <w:trPr>
          <w:cantSplit/>
          <w:tblHeader/>
        </w:trPr>
        <w:tc>
          <w:tcPr>
            <w:tcW w:type="dxa" w:w="36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Результат на экране</w:t>
            </w:r>
          </w:p>
        </w:tc>
        <w:tc>
          <w:tcPr>
            <w:tcW w:type="dxa" w:w="65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Как его читать</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Структурное сходство</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Похожесть представления на эталон</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Предметная правильность</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Автоматически не проверена</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Окончательное решение</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Заполняется преподавателем</w:t>
            </w:r>
          </w:p>
        </w:tc>
      </w:tr>
    </w:tbl>
    <w:p>
      <w:pPr>
        <w:spacing w:after="0"/>
      </w:pPr>
    </w:p>
    <w:p>
      <w:pPr>
        <w:pStyle w:val="Heading2"/>
      </w:pPr>
      <w:r>
        <w:t>Шесть вопросов для последовательной проверки</w:t>
      </w:r>
    </w:p>
    <w:p>
      <w:r>
        <w:t>Чек-лист предлагает проверить соответствие заданию; понятия и термины; основания утверждений; связь рассуждения с выводом; источники и цитаты; условия и границы вывода. Замечания можно связывать с фрагментом работы и дополнять собственным комментарием. Все ручные решения первоначально имеют состояние «Не проверено». [2]</w:t>
      </w:r>
    </w:p>
    <w:p>
      <w:r>
        <w:t>В Sites v60 автоматическая школьная оценка /5 убрана из учебного представления. Шесть решений и итог не заполняются по структурному индексу. Ручной автономный HTML-бланк позволяет сохранять и переносить записи преподавателя; сам он не вычисляет сходство и не проверяет правильность. Это отдельный инструмент, который не следует смешивать с автономным анализатором.</w:t>
      </w:r>
    </w:p>
    <w:p>
      <w:r>
        <w:t>Для преподавателя предполагаемая польза — единый порядок проверки и более прослеживаемые замечания. Для учащегося — понятное место, требующее доработки. Экономия времени, удобство в реальном классе и педагогическая точность пока не измерены независимо. Публикация учебного режима открывает путь к таким испытаниям, но не заменяет их.</w:t>
      </w:r>
    </w:p>
    <w:p>
      <w:r>
        <w:br w:type="page"/>
      </w:r>
    </w:p>
    <w:p>
      <w:pPr>
        <w:pStyle w:val="Heading1"/>
      </w:pPr>
      <w:r>
        <w:t>Новые программные пакеты и доступ к материалам</w:t>
      </w:r>
    </w:p>
    <w:p>
      <w:r>
        <w:t>19 октября подготовлены семь кандидатов Android и Windows. Они развивают сетевую и автономную ветви Analyzer, включая учебные предупреждения и ручное решение преподавателя. Номера ветвей различаются по историческим причинам; это не семь независимых математических движков. [4]</w:t>
      </w:r>
    </w:p>
    <w:tbl>
      <w:tblPr>
        <w:tblW w:type="auto" w:w="0"/>
        <w:tblLayout w:type="fixed"/>
        <w:tblLook w:firstColumn="1" w:firstRow="1" w:lastColumn="0" w:lastRow="0" w:noHBand="0" w:noVBand="1" w:val="04A0"/>
      </w:tblPr>
      <w:tblGrid>
        <w:gridCol w:w="3672"/>
        <w:gridCol w:w="6552"/>
      </w:tblGrid>
      <w:tr>
        <w:trPr>
          <w:cantSplit/>
          <w:tblHeader/>
        </w:trPr>
        <w:tc>
          <w:tcPr>
            <w:tcW w:type="dxa" w:w="36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Платформа и режим</w:t>
            </w:r>
          </w:p>
        </w:tc>
        <w:tc>
          <w:tcPr>
            <w:tcW w:type="dxa" w:w="65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Подготовленные кандидаты</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Android автономный</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1.05.7 EDU RC2</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Android сетевой</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0.10 EDU RC1</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Windows автономный</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1.05.07 EDU RC2: Modern x64, Update, Compatibility x64 и x86</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Windows сетевой</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0.10 EDU RC1 x64</w:t>
            </w:r>
          </w:p>
        </w:tc>
      </w:tr>
    </w:tbl>
    <w:p>
      <w:pPr>
        <w:spacing w:after="0"/>
      </w:pPr>
    </w:p>
    <w:p>
      <w:r>
        <w:t>Android-пакеты подписаны исходными ключами соответствующих ветвей. Windows-пакеты не имеют подписи Authenticode. В отчёте сборки приведены 124 проверки учебных и сохранительных сценариев в эмуляции, 7 тестов активации и 13 проверок сетевой Windows-оболочки. Эти разные группы испытаний не складываются в показатель научной достоверности.</w:t>
      </w:r>
    </w:p>
    <w:p>
      <w:r>
        <w:t>22 октября все семь бинарных пакетов были получены через подключённый Drive и сверены по размеру и SHA-256. Оба каталога программ проверены в живом настольном браузере. Публично доступны описания и контрольные суммы; выдача кандидатов ограничена владельцем. Сохранён статус NOT_ACCEPTED, а нативная приёмка Android и Windows — NOT_RUN. [5]</w:t>
      </w:r>
    </w:p>
    <w:p>
      <w:r>
        <w:t>Сетевые оболочки открывают текущую веб-версию и требуют подключения. Автономные сборки используют свой код и данные; числовая эквивалентность веб- и автономного алгоритмов не заявлена. Установка, обновление существующих профилей, экспорт, восстановление и безопасный откат на реальных устройствах ещё требуют проверки. Полное логическое восстановление KLT-M4-LOGICAL-BACKUP-1 остаётся NOT_IMPLEMENTED. [4–5]</w:t>
      </w:r>
    </w:p>
    <w:p>
      <w:pPr>
        <w:pStyle w:val="Heading2"/>
      </w:pPr>
      <w:r>
        <w:t>Два последовательных обновления 23 октября</w:t>
      </w:r>
    </w:p>
    <w:p>
      <w:r>
        <w:t>Сначала исследование «Книги Перемен» появилось в Analyzer v62, KLT-MATDES v33 и выставке Sites v11. Затем публикация монографии v0.4 довела версии до v63, v34 и v12 соответственно; обновлена также выставка Floot. Эти номера обозначают публикации сайтов, а не новые версии APK. Прежние материалы сохранены. [6, 8]</w:t>
      </w:r>
    </w:p>
    <w:p>
      <w:r>
        <w:br w:type="page"/>
      </w:r>
    </w:p>
    <w:p>
      <w:pPr>
        <w:pStyle w:val="Heading1"/>
      </w:pPr>
      <w:r>
        <w:t>Книга Перемен становится точной исследовательской моделью</w:t>
      </w:r>
    </w:p>
    <w:p>
      <w:r>
        <w:t>Шесть черт гексаграммы дают небольшой, но содержательно богатый объект: положение черты имеет значение, конфигурация может изменяться, а один знак получает разные толкования в разных контекстах. Поэтому исследование «Книги Перемен» позволяет сопоставлять математическую структуру с вопросами китайской философии о ситуации, изменении и основании действия. [7]</w:t>
      </w:r>
    </w:p>
    <w:p>
      <w:r>
        <w:t>В модели каждая черта записывается нулём или единицей, позиции читаются снизу вверх. Получаются 64 состояния. Маска из шести битов отмечает, какие черты меняются; операция XOR переключает отмеченные позиции. Полный формальный набор содержит 4096 пар «состояние и маска», включая отсутствие изменения. Это число вариантов модели, а не число наблюдений или проверенных предсказаний.</w:t>
      </w:r>
    </w:p>
    <w:p>
      <w:pPr>
        <w:spacing w:after="60"/>
      </w:pPr>
      <w:r>
        <w:drawing>
          <wp:inline xmlns:a="http://schemas.openxmlformats.org/drawingml/2006/main" xmlns:pic="http://schemas.openxmlformats.org/drawingml/2006/picture">
            <wp:extent cx="6172200" cy="1579789"/>
            <wp:docPr id="2" name="Picture 2"/>
            <wp:cNvGraphicFramePr>
              <a:graphicFrameLocks noChangeAspect="1"/>
            </wp:cNvGraphicFramePr>
            <a:graphic>
              <a:graphicData uri="http://schemas.openxmlformats.org/drawingml/2006/picture">
                <pic:pic>
                  <pic:nvPicPr>
                    <pic:cNvPr id="0" name="hex_ru.png"/>
                    <pic:cNvPicPr/>
                  </pic:nvPicPr>
                  <pic:blipFill>
                    <a:blip r:embed="rId11"/>
                    <a:stretch>
                      <a:fillRect/>
                    </a:stretch>
                  </pic:blipFill>
                  <pic:spPr>
                    <a:xfrm>
                      <a:off x="0" y="0"/>
                      <a:ext cx="6172200" cy="1579789"/>
                    </a:xfrm>
                    <a:prstGeom prst="rect"/>
                  </pic:spPr>
                </pic:pic>
              </a:graphicData>
            </a:graphic>
          </wp:inline>
        </w:drawing>
      </w:r>
    </w:p>
    <w:p>
      <w:pPr>
        <w:pStyle w:val="Caption"/>
      </w:pPr>
      <w:r>
        <w:t>Формальный пример XOR. Нумерация черт снизу вверх. Это вычисление в модели, не прогноз события.</w:t>
      </w:r>
    </w:p>
    <w:p>
      <w:r>
        <w:t>Геометрическое представление позволяет изучать сохранение различий и гармонические отношения. Типизированная динамика отдельно задаёт операции, их допустимые входы и возврат к новому действию. При этом сама маска перехода ещё не выбрана геометрией: для прогноза нужен обоснованный закон выбора и отдельная проверка его результата.</w:t>
      </w:r>
    </w:p>
    <w:p>
      <w:r>
        <w:t>Монография v0.4, собранная 23 октября, сохраняет 22 главы, примеры, атлас и 11 включений рисунков. PDF содержит 67 страниц. В ней согласованы математические уточнения, ссылки на предшественников и границы авторских притязаний. Исследовательский пакет ARBD-HEX содержит код домена, данные и прогнозный журнал. Публикация кода не означает его серверного внедрения в Analyzer или MATDES. [6–8]</w:t>
      </w:r>
    </w:p>
    <w:p>
      <w:r>
        <w:t>Значение для философии состоит в возможности явно сравнивать интерпретации: какие различия сохраняет каждая из них, какой контекст нужен для вывода, где формализация перестаёт передавать смысл. Современные операторы не приписываются древним авторам. Сопоставление каналов с философскими ролями H15 остаётся интерпретационной гипотезой; текстологическая и независимая содержательная проверка продолжаются.</w:t>
      </w:r>
    </w:p>
    <w:p>
      <w:r>
        <w:br w:type="page"/>
      </w:r>
    </w:p>
    <w:p>
      <w:pPr>
        <w:pStyle w:val="Heading1"/>
      </w:pPr>
      <w:r>
        <w:t>Авторская программа и следующий проверяемый шаг</w:t>
      </w:r>
    </w:p>
    <w:p>
      <w:r>
        <w:t>Самостоятельные элементы программы Курпишева следует описывать через конкретную организацию исследования. В этой работе документированы реперная постановка задачи с явными основаниями и областью применимости; согласование событий и состояний с проективно-гармоническим представлением; типизированная композиция операторов; проверка сохранения нужного смысла при сокращении данных; связь результата с паспортом и журналом проверки. [1, 7]</w:t>
      </w:r>
    </w:p>
    <w:p>
      <w:r>
        <w:t>Авторство этой реализации не означает, что все её математические составляющие созданы впервые. В v0.4 прямо признано предшествование Andreas Schöter 1999 для трёхбитного профиля соответствия и разбиения 64 состояний на восемь классов по восемь. Двоичное кодирование, XOR и классические проективные конструкции также не заявляются открытиями проекта. Сам набор точек P20 после обратимой перекодировки является стандартным аффинным знаковым кубом. [7, гл. 3–6, 16]</w:t>
      </w:r>
    </w:p>
    <w:p>
      <w:r>
        <w:t>В модели доказаны свойства выбранного представления и операторов. Например, утверждение D3 о семи координатах имеет явно ограниченный класс представлений; гармонические вспомогательные точки P22 лежат вне исходных 64 состояний. Эти точные границы позволяют обсуждать вклад содержательно. Мировой приоритет всей интеграции пока не установлен.</w:t>
      </w:r>
    </w:p>
    <w:tbl>
      <w:tblPr>
        <w:tblW w:type="auto" w:w="0"/>
        <w:tblLayout w:type="fixed"/>
        <w:tblLook w:firstColumn="1" w:firstRow="1" w:lastColumn="0" w:lastRow="0" w:noHBand="0" w:noVBand="1" w:val="04A0"/>
      </w:tblPr>
      <w:tblGrid>
        <w:gridCol w:w="3672"/>
        <w:gridCol w:w="6552"/>
      </w:tblGrid>
      <w:tr>
        <w:trPr>
          <w:cantSplit/>
          <w:tblHeader/>
        </w:trPr>
        <w:tc>
          <w:tcPr>
            <w:tcW w:type="dxa" w:w="36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Уровень результата</w:t>
            </w:r>
          </w:p>
        </w:tc>
        <w:tc>
          <w:tcPr>
            <w:tcW w:type="dxa" w:w="65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Что подтверждено или остаётся открытым</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Математика и данные</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Контрпримеры потери информации; доказательства в объявленной модели</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Программы</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Сборки, проверки файлов и отдельные программные сценарии</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Внешняя проверка</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Прогнозная эффективность и педагогическая валидация не установлены</w:t>
            </w:r>
          </w:p>
        </w:tc>
      </w:tr>
    </w:tbl>
    <w:p>
      <w:pPr>
        <w:spacing w:after="0"/>
      </w:pPr>
    </w:p>
    <w:p>
      <w:r>
        <w:t>Следующие шаги имеют ясные критерии: проверить кандидаты на реальных Android и Windows с сохранением пользовательской базы; провести исследование работы преподавателей; получить независимую китайскую разметку; заранее зафиксировать прогнозную задачу и сопоставимый контроль, затем оценить результат на ещё не использованных данных.</w:t>
      </w:r>
    </w:p>
    <w:p>
      <w:r>
        <w:t>Сохраняются SCIENCE=ABSTAIN, EXT_RUN=NOT_RUN и truth_layer_promotion=0. Для исследования Перемен external_validation=NOT_RUN, H15=OPEN и global_priority=NOT_ESTABLISHED. Для химического направления DHC_chem=OPEN-NOT-CONFIRMED. Эти отметки помогают читателю отличать уже выполненную работу от следующего научного вопроса.</w:t>
      </w:r>
    </w:p>
    <w:p>
      <w:r>
        <w:t>Проект приглашает к предметному обсуждению: математик может проверить условия доказательства, преподаватель — ясность чек-листа, специалист по китайской мысли — точность интерпретации. Такой разговор даёт авторскому методу возможность развиваться через воспроизводимые замечания и испытания.</w:t>
      </w:r>
    </w:p>
    <w:p>
      <w:r>
        <w:br w:type="page"/>
      </w:r>
    </w:p>
    <w:p>
      <w:pPr>
        <w:pStyle w:val="Heading1"/>
      </w:pPr>
      <w:r>
        <w:t>Материалы выпуска и источники</w:t>
      </w:r>
    </w:p>
    <w:p>
      <w:r>
        <w:t>Фактический период выпуска — 10–23 октября 2026 года. Дата подготовки — 24 октября, Europe/Kaliningrad. Сведения взяты из прочитанных отчётов Google Drive и монографии v0.4. Результаты испытаний приводятся по этим документам; при подготовке дайджеста испытания исходных программ заново не запускались.</w:t>
      </w:r>
    </w:p>
    <w:p>
      <w:pPr>
        <w:spacing w:after="120"/>
      </w:pPr>
      <w:hyperlink r:id="rId12">
        <w:r>
          <w:rPr>
            <w:color w:val="176B70"/>
            <w:sz w:val="19"/>
          </w:rPr>
          <w:t xml:space="preserve">[1] KASVD Information Preservation Audit v1.0 · 14.10.2026</w:t>
        </w:r>
      </w:hyperlink>
    </w:p>
    <w:p>
      <w:pPr>
        <w:spacing w:after="120"/>
      </w:pPr>
      <w:hyperlink r:id="rId13">
        <w:r>
          <w:rPr>
            <w:color w:val="176B70"/>
            <w:sz w:val="19"/>
          </w:rPr>
          <w:t xml:space="preserve">[2] EDU ACCEPT 02 · 17.10.2026</w:t>
        </w:r>
      </w:hyperlink>
    </w:p>
    <w:p>
      <w:pPr>
        <w:spacing w:after="120"/>
      </w:pPr>
      <w:hyperlink r:id="rId14">
        <w:r>
          <w:rPr>
            <w:color w:val="176B70"/>
            <w:sz w:val="19"/>
          </w:rPr>
          <w:t xml:space="preserve">[3] EDU BOUNDARY 03 · 19.10.2026</w:t>
        </w:r>
      </w:hyperlink>
    </w:p>
    <w:p>
      <w:pPr>
        <w:spacing w:after="120"/>
      </w:pPr>
      <w:hyperlink r:id="rId15">
        <w:r>
          <w:rPr>
            <w:color w:val="176B70"/>
            <w:sz w:val="19"/>
          </w:rPr>
          <w:t xml:space="preserve">[4] EDU REBUILD 05 · 19.10.2026</w:t>
        </w:r>
      </w:hyperlink>
    </w:p>
    <w:p>
      <w:pPr>
        <w:spacing w:after="120"/>
      </w:pPr>
      <w:hyperlink r:id="rId16">
        <w:r>
          <w:rPr>
            <w:color w:val="176B70"/>
            <w:sz w:val="19"/>
          </w:rPr>
          <w:t xml:space="preserve">[5] EDU CATALOG AUDIT 07 · 22.10.2026</w:t>
        </w:r>
      </w:hyperlink>
    </w:p>
    <w:p>
      <w:pPr>
        <w:spacing w:after="120"/>
      </w:pPr>
      <w:hyperlink r:id="rId17">
        <w:r>
          <w:rPr>
            <w:color w:val="176B70"/>
            <w:sz w:val="19"/>
          </w:rPr>
          <w:t xml:space="preserve">[6] Yijing Publication Report · 23.10.2026</w:t>
        </w:r>
      </w:hyperlink>
    </w:p>
    <w:p>
      <w:pPr>
        <w:spacing w:after="120"/>
      </w:pPr>
      <w:hyperlink r:id="rId18">
        <w:r>
          <w:rPr>
            <w:color w:val="176B70"/>
            <w:sz w:val="19"/>
          </w:rPr>
          <w:t xml:space="preserve">[7] Книга Перемен и метод KLT ARBD v0.4 · 23.10.2026</w:t>
        </w:r>
      </w:hyperlink>
    </w:p>
    <w:p>
      <w:pPr>
        <w:spacing w:after="120"/>
      </w:pPr>
      <w:hyperlink r:id="rId19">
        <w:r>
          <w:rPr>
            <w:color w:val="176B70"/>
            <w:sz w:val="19"/>
          </w:rPr>
          <w:t xml:space="preserve">[8] Publication Receipt v0.4 · 23.10.2026</w:t>
        </w:r>
      </w:hyperlink>
    </w:p>
    <w:p>
      <w:pPr>
        <w:spacing w:after="120"/>
      </w:pPr>
      <w:hyperlink r:id="rId20">
        <w:r>
          <w:rPr>
            <w:color w:val="176B70"/>
            <w:sz w:val="19"/>
          </w:rPr>
          <w:t xml:space="preserve">[9] LK2 Digest 2–9 October v1.1 · 12.10.2026</w:t>
        </w:r>
      </w:hyperlink>
    </w:p>
    <w:p>
      <w:r>
        <w:t>Ссылки ведут к исходным документам; доступ Drive определяется их действующими правами. Для внешнего читателя опубликованы страницы исследования и файлы нового дайджеста на сайтах проекта. Полный текст монографии v0.4 — на русском; наличие страниц RU/EN/ZH само по себе не означает трёх полных переводов монографии.</w:t>
      </w:r>
    </w:p>
    <w:p>
      <w:hyperlink r:id="rId21">
        <w:r>
          <w:rPr>
            <w:color w:val="176B70"/>
            <w:sz w:val="19"/>
          </w:rPr>
          <w:t xml:space="preserve">Analyzer</w:t>
        </w:r>
      </w:hyperlink>
      <w:r>
        <w:t xml:space="preserve">  |  </w:t>
      </w:r>
      <w:hyperlink r:id="rId22">
        <w:r>
          <w:rPr>
            <w:color w:val="176B70"/>
            <w:sz w:val="19"/>
          </w:rPr>
          <w:t xml:space="preserve">KLT-MATDES</w:t>
        </w:r>
      </w:hyperlink>
      <w:r>
        <w:t xml:space="preserve">  |  </w:t>
      </w:r>
      <w:hyperlink r:id="rId23">
        <w:r>
          <w:rPr>
            <w:color w:val="176B70"/>
            <w:sz w:val="19"/>
          </w:rPr>
          <w:t xml:space="preserve">Floot</w:t>
        </w:r>
      </w:hyperlink>
    </w:p>
    <w:p>
      <w:r>
        <w:t>Выпуск за 2–9 октября v1.1 [9] остаётся в архиве. Новый комплект продолжает серию с отдельными именами файлов. Русская, английская и китайская версии настоящего выпуска имеют одинаковую структуру, числа, ссылки и научные ограничения.</w:t>
      </w:r>
    </w:p>
    <w:sectPr w:rsidR="00FC693F" w:rsidRPr="0006063C" w:rsidSect="00034616">
      <w:footerReference w:type="default" r:id="rId9"/>
      <w:pgSz w:w="12240" w:h="15840"/>
      <w:pgMar w:top="864" w:right="1008" w:bottom="864"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LK2 · 10–23.10.2026 · v1.0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DejaVu Sans" w:hAnsi="DejaVu Sans" w:eastAsia="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outlineLvl w:val="0"/>
    </w:pPr>
    <w:rPr>
      <w:rFonts w:asciiTheme="majorHAnsi" w:eastAsiaTheme="majorEastAsia" w:hAnsiTheme="majorHAnsi" w:cstheme="majorBidi" w:ascii="DejaVu Sans" w:hAnsi="DejaVu Sans" w:eastAsia="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DejaVu Sans" w:hAnsi="DejaVu Sans" w:eastAsia="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eastAsia="DejaVu Sans"/>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eastAsia="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DejaVu Sans" w:hAnsi="DejaVu Sans" w:eastAsia="DejaVu Sans"/>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s://drive.google.com/file/d/18H37DXjGdNiKXbiRZfuPoIbr9eoBhzTj/view" TargetMode="External"/><Relationship Id="rId13" Type="http://schemas.openxmlformats.org/officeDocument/2006/relationships/hyperlink" Target="https://drive.google.com/file/d/1v0bB7yTPokk93K587Q-mvzwh3tPmLCNl/view" TargetMode="External"/><Relationship Id="rId14" Type="http://schemas.openxmlformats.org/officeDocument/2006/relationships/hyperlink" Target="https://drive.google.com/file/d/1Sk3BNo-6MEF7aXBZ7Z4YytOSBfVgl4DG/view" TargetMode="External"/><Relationship Id="rId15" Type="http://schemas.openxmlformats.org/officeDocument/2006/relationships/hyperlink" Target="https://drive.google.com/file/d/1HIFaRMehIBWx6h_gVB3zH_ycWvrzfkFS/view" TargetMode="External"/><Relationship Id="rId16" Type="http://schemas.openxmlformats.org/officeDocument/2006/relationships/hyperlink" Target="https://drive.google.com/file/d/1BBAZiVWB6b10iwNvjCmUuH4SHJlmXvQP/view" TargetMode="External"/><Relationship Id="rId17" Type="http://schemas.openxmlformats.org/officeDocument/2006/relationships/hyperlink" Target="https://drive.google.com/file/d/1baHMziIs5sqsCyw1CeQM_FKh4kOHeW5Y/view" TargetMode="External"/><Relationship Id="rId18" Type="http://schemas.openxmlformats.org/officeDocument/2006/relationships/hyperlink" Target="https://docs.google.com/document/d/1FYeiUB-SiS0nCjFOrE7SizK_DiICPTAg/edit" TargetMode="External"/><Relationship Id="rId19" Type="http://schemas.openxmlformats.org/officeDocument/2006/relationships/hyperlink" Target="https://drive.google.com/file/d/1OD7ctjdf2wPXXAOt1FjhRlhIdfnjkG0s/view" TargetMode="External"/><Relationship Id="rId20" Type="http://schemas.openxmlformats.org/officeDocument/2006/relationships/hyperlink" Target="https://docs.google.com/document/d/1IBR3nM5MImBQzjZTImuENbXp5WnkG1X4/edit" TargetMode="External"/><Relationship Id="rId21" Type="http://schemas.openxmlformats.org/officeDocument/2006/relationships/hyperlink" Target="https://klt-rbdv6-analyzer.workspace-406992.chatgpt.site/" TargetMode="External"/><Relationship Id="rId22" Type="http://schemas.openxmlformats.org/officeDocument/2006/relationships/hyperlink" Target="https://klt-matdes.workspace-406992.chatgpt.site/" TargetMode="External"/><Relationship Id="rId23" Type="http://schemas.openxmlformats.org/officeDocument/2006/relationships/hyperlink" Target="https://kurpishev-exhibition.floot.app/research/yij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ЛОГИКА КУРПИШЕВА 2 10–23 октября 2026 года</dc:title>
  <dc:subject>Popular science digest 10–23 October 2026</dc:subject>
  <dc:creator>Ivan Borisovich Kurpishev</dc:creator>
  <cp:keywords/>
  <dc:description>generated by python-docx</dc:description>
  <cp:lastModifiedBy/>
  <cp:revision>1</cp:revision>
  <dcterms:created xsi:type="dcterms:W3CDTF">2013-12-23T23:15:00Z</dcterms:created>
  <dcterms:modified xsi:type="dcterms:W3CDTF">2013-12-23T23:15:00Z</dcterms:modified>
  <cp:category/>
</cp:coreProperties>
</file>