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库尔皮舍夫逻辑 2</w:t>
      </w:r>
    </w:p>
    <w:p>
      <w:pPr>
        <w:pStyle w:val="Subtitle"/>
      </w:pPr>
      <w:r>
        <w:t>理解知识的依据与可检验的预测</w:t>
      </w:r>
    </w:p>
    <w:p>
      <w:pPr>
        <w:pStyle w:val="Metadata"/>
      </w:pPr>
      <w:r>
        <w:t>面向公众的研究简报 • 2026年10月2日 • 第3期</w:t>
      </w:r>
    </w:p>
    <w:p>
      <w:pPr>
        <w:pStyle w:val="Metadata"/>
      </w:pPr>
      <w:r>
        <w:t>9月25日至10月2日的重要进展与近几周回顾</w:t>
        <w:br/>
        <w:t>2026年10月4日扩充修订版 • v1.2</w:t>
      </w:r>
    </w:p>
    <w:p>
      <w:pPr>
        <w:pStyle w:val="Metadata"/>
        <w:spacing w:after="320"/>
      </w:pPr>
      <w:r>
        <w:t>科学项目作者 伊万·鲍里索维奇·库尔皮舍夫</w:t>
        <w:br/>
        <w:t>加里宁格勒 • kurpishev.com</w:t>
      </w:r>
    </w:p>
    <w:p>
      <w:pPr>
        <w:pStyle w:val="Heading1"/>
      </w:pPr>
      <w:r>
        <w:t>让读者理解结论如何获得依据</w:t>
      </w:r>
    </w:p>
    <w:p>
      <w:pPr>
        <w:pStyle w:val="Lead"/>
      </w:pPr>
      <w:r>
        <w:t>一篇论文、一份学生作业或一项预测背后，都存在一系列推理步骤：从观察到概念，从概念到判断，再从判断到决策。“库尔皮舍夫逻辑 2”希望使这些步骤清晰可见，能够接受数学研究，也能够由他人检验。</w:t>
      </w:r>
    </w:p>
    <w:p>
      <w:pPr/>
      <w:r>
        <w:t>今天，读者面对着数量巨大的文本与数据。找到一种听起来有说服力的表述相对容易；确认它适用于哪些对象、凭什么成立，以及什么情况会迫使我们修改它，则困难得多。伊万·鲍里索维奇·库尔皮舍夫将这项工作放在研究计划的中心。</w:t>
      </w:r>
    </w:p>
    <w:p>
      <w:pPr/>
      <w:r>
        <w:t>本项目把逻辑与认识论同射影几何、非结合数学及分析软件联系起来。其应用目标是建立一种基于参照元的射影调和预测方法，用于研究事件与状态。数学、物理和化学是主要科学方向；教育、生物学与经济学属于未来应用领域。每个领域都需要建立自己的测量模型，并用适当的数据进行检验。</w:t>
      </w:r>
    </w:p>
    <w:p>
      <w:pPr/>
      <w:r>
        <w:t>近几周，这一计划的计算形式逐渐清晰。KLT-RBD、作者参照元数据库 ARBD、文本分析器以及材料研究方向 KLT-MATDES 都在继续发展。本期的核心新主题是 KASVD：这一研究引擎把已指定的关系结构转化为紧凑的矩阵和谱特征档案。[1–5]</w:t>
      </w:r>
    </w:p>
    <w:p>
      <w:pPr/>
      <w:r>
        <w:t>本期按照研究展开的路径组织内容：先看一个容易理解的例子，再认识工具，最后讨论数学进展。读者可以了解已经建立了什么、它可能有什么用途，以及未来参与者能够开展哪些工作。</w:t>
      </w:r>
    </w:p>
    <w:p>
      <w:pPr/>
      <w:r>
        <w:t>初次阅读只需要对“人如何为自己的结论提供理由”感兴趣。若希望进一步阅读论文、查看原始数据并复核计算，则需要相应的专业准备。</w:t>
      </w:r>
    </w:p>
    <w:p>
      <w:pPr>
        <w:pStyle w:val="Heading1"/>
        <w:pageBreakBefore/>
      </w:pPr>
      <w:r>
        <w:t>用一个例子理解参照元方法</w:t>
      </w:r>
    </w:p>
    <w:p>
      <w:pPr/>
      <w:r>
        <w:t>设想报告里有这样一句话：“新材料比原来的材料更稳定。”它似乎提供了信息，却留下许多关键问题。这里的稳定性指什么？比较对象是哪一个样品？温度、载荷和试验持续时间是多少？测量结果在哪里？这些关系尚未明确时，相同的词语可能表达不同的主张。</w:t>
      </w:r>
    </w:p>
    <w:p>
      <w:pPr/>
      <w:r>
        <w:t>参照元方法把主张同它的参照依据联系起来。参照元可以理解为一种结构化的参照点，用来关联对象、对象之间的关系及讨论条件。在项目形式体系中，相互关联的 R、I、U 成分伴随依据 D。对普通读者而言，其实际意义在于：结论有了明确的适用范围，也有了可以追溯到来源的支持。[1, 5]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110" w:type="dxa"/>
          <w:right w:w="110" w:type="dxa"/>
        </w:tblCellMar>
      </w:tblPr>
      <w:tblGrid>
        <w:gridCol w:w="3288"/>
        <w:gridCol w:w="6463"/>
      </w:tblGrid>
      <w:tr>
        <w:trPr>
          <w:tblHeader/>
          <w:cantSplit/>
        </w:trPr>
        <w:tc>
          <w:tcPr>
            <w:tcW w:type="dxa" w:w="3288"/>
            <w:vAlign w:val="center"/>
            <w:shd w:fill="E6EDF2"/>
          </w:tcPr>
          <w:p>
            <w:pPr>
              <w:pStyle w:val="TableText"/>
              <w:keepNext w:val="0"/>
              <w:spacing w:after="0"/>
            </w:pPr>
            <w:r>
              <w:rPr>
                <w:b/>
              </w:rPr>
              <w:t>需要提出的问题</w:t>
            </w:r>
          </w:p>
        </w:tc>
        <w:tc>
          <w:tcPr>
            <w:tcW w:type="dxa" w:w="6463"/>
            <w:vAlign w:val="center"/>
            <w:shd w:fill="E6EDF2"/>
          </w:tcPr>
          <w:p>
            <w:pPr>
              <w:pStyle w:val="TableText"/>
              <w:keepNext w:val="0"/>
              <w:spacing w:after="0"/>
            </w:pPr>
            <w:r>
              <w:rPr>
                <w:b/>
              </w:rPr>
              <w:t>需要明确的内容</w:t>
            </w:r>
          </w:p>
        </w:tc>
      </w:tr>
      <w:tr>
        <w:trPr>
          <w:cantSplit/>
        </w:trPr>
        <w:tc>
          <w:tcPr>
            <w:tcW w:type="dxa" w:w="3288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讨论的是哪个对象</w:t>
            </w:r>
          </w:p>
        </w:tc>
        <w:tc>
          <w:tcPr>
            <w:tcW w:type="dxa" w:w="6463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材料、样品、状态及制备方法</w:t>
            </w:r>
          </w:p>
        </w:tc>
      </w:tr>
      <w:tr>
        <w:trPr>
          <w:cantSplit/>
        </w:trPr>
        <w:tc>
          <w:tcPr>
            <w:tcW w:type="dxa" w:w="3288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稳定性如何定义</w:t>
            </w:r>
          </w:p>
        </w:tc>
        <w:tc>
          <w:tcPr>
            <w:tcW w:type="dxa" w:w="6463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测量量、单位和比较规则</w:t>
            </w:r>
          </w:p>
        </w:tc>
      </w:tr>
      <w:tr>
        <w:trPr>
          <w:cantSplit/>
        </w:trPr>
        <w:tc>
          <w:tcPr>
            <w:tcW w:type="dxa" w:w="3288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结论在什么条件下适用</w:t>
            </w:r>
          </w:p>
        </w:tc>
        <w:tc>
          <w:tcPr>
            <w:tcW w:type="dxa" w:w="6463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温度、载荷、环境和持续时间</w:t>
            </w:r>
          </w:p>
        </w:tc>
      </w:tr>
      <w:tr>
        <w:trPr>
          <w:cantSplit/>
        </w:trPr>
        <w:tc>
          <w:tcPr>
            <w:tcW w:type="dxa" w:w="3288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主张以什么为依据</w:t>
            </w:r>
          </w:p>
        </w:tc>
        <w:tc>
          <w:tcPr>
            <w:tcW w:type="dxa" w:w="6463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规程、数据、来源和不确定性</w:t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/>
      <w:r>
        <w:t>明确条件后，可以得到这样的可检验表述：“在规定的试验条件下，样品 A 保持某一性质的时间长于样品 B；原始数据与误差见试验规程。”这是教学例子，并非本项目取得实验成功的报告。它说明，一句笼统判断怎样变成其他研究者能够核查的问题。</w:t>
      </w:r>
    </w:p>
    <w:p>
      <w:pPr>
        <w:pStyle w:val="Heading2"/>
      </w:pPr>
      <w:r>
        <w:t>为什么需要几何</w:t>
      </w:r>
    </w:p>
    <w:p>
      <w:pPr/>
      <w:r>
        <w:t>射影调和方向研究某些表示变换所保持的关系。日常类比是重新绘制一张图，同时保留关键连接。在数学中，允许哪些变换、保持哪些量，都需要精确定义。因此，不同图像可能表达同一种结构，而外观相似的图像也可能包含不同关系。</w:t>
      </w:r>
    </w:p>
    <w:p>
      <w:pPr/>
      <w:r>
        <w:t>KLT 与库尔皮舍夫提出的 λ 真性概念相关。几何上的一致性仍须同具体主张的依据分别对应。例如，射影变换保持交比，本身并不能验证一项化学实验。把形式结构同来源联系起来，正是参照元方法中的实质性研究任务。[1, 8]</w:t>
      </w:r>
    </w:p>
    <w:p>
      <w:pPr>
        <w:pStyle w:val="Heading1"/>
        <w:pageBreakBefore/>
      </w:pPr>
      <w:r>
        <w:t>为文本建立依据关系图</w:t>
      </w:r>
    </w:p>
    <w:p>
      <w:pPr/>
      <w:r>
        <w:t>按照 KLT-RBD 的设计，分析结果应当让读者从结论追溯到来源中的具体段落。如果程序指出推理存在缺口，读者需要看到原文、所在位置，以及哪一步需要进一步论证。同一个表述在不同章节或学科中改变含义时，这样的关系图尤其有用。</w:t>
      </w:r>
    </w:p>
    <w:p>
      <w:pPr>
        <w:pStyle w:val="Heading2"/>
      </w:pPr>
      <w:r>
        <w:t>KLT RBD 与 ARBD</w:t>
      </w:r>
    </w:p>
    <w:p>
      <w:pPr/>
      <w:r>
        <w:t>KLT-RBD 组织研究的记忆，包括参照元、相互关系、依据、版本和限制。ARBD 则发展作者的参照元及解释语料。在康德研究中，这意味着关注作品语境、译本，以及作者原话、学术评论和读者解释之间的区别。同一作品的多个译本也不能自动被当作彼此独立的观察。[7]</w:t>
      </w:r>
    </w:p>
    <w:p>
      <w:pPr/>
      <w:r>
        <w:t>设想一篇学生论文先把“自由”理解为不受外在强制，随后又把它理解为道德行动的自主依据。参照元图的教学价值在于指出这一转换的位置，并提出澄清建议。含义差异也可能是作者有意进行的思想推进；分析应使其变得可以解释。本例展示的是预期使用场景，并非已经完成的自动化试验。</w:t>
      </w:r>
    </w:p>
    <w:p>
      <w:pPr/>
      <w:r>
        <w:t>对教师而言，系统被设计为编写详细评价清单的助手；对研究者而言，它提供一种在大型语料中比较定义与依据的思路；对开发者而言，它帮助把机器行为同明确的输入、适用范围和核查结果联系起来。自动语义分析的完整性仍需用独立标注的文本进行验证。</w:t>
      </w:r>
    </w:p>
    <w:p>
      <w:pPr>
        <w:pStyle w:val="Heading2"/>
      </w:pPr>
      <w:r>
        <w:t>近几周的工作带来了什么</w:t>
      </w:r>
    </w:p>
    <w:p>
      <w:pPr/>
      <w:r>
        <w:t>九月的简报介绍了 Barbara、Celarent、Darii 和 Ferio 的二维与三维图式。读者可以看到支持经典逻辑推论的包含关系与见证对象。配套数学说明了为什么图像可以逆向变换，却不能据此把“所有 M 都是 P”变成其逆命题。[7, 8]</w:t>
      </w:r>
    </w:p>
    <w:p>
      <w:pPr/>
      <w:r>
        <w:t>这一方向与 PN.2 研究相遇于同一个问题：可观察的信息是否足以区分可能的结果？运算中的隐藏结构可能留下多个允许的结果。未来的分析器若能指出需要补充什么依据或观察，就具有实际价值。该数学问题的物理解释仍属于单独的验证方向。[5, 10]</w:t>
      </w:r>
    </w:p>
    <w:p>
      <w:pPr>
        <w:pStyle w:val="Heading1"/>
        <w:pageBreakBefore/>
      </w:pPr>
      <w:r>
        <w:t>KASVD 为结构建立谱特征档案</w:t>
      </w:r>
    </w:p>
    <w:p>
      <w:pPr>
        <w:pStyle w:val="Lead"/>
      </w:pPr>
      <w:r>
        <w:t>KASVD 为已经构建的参照元结构提供紧凑描述，并研究其变化。它在详细关系图与数学模型比较之间，增加了一个新的计算层。</w:t>
      </w:r>
    </w:p>
    <w:p>
      <w:pPr/>
      <w:r>
        <w:t>数学内核接收一个关系类型和权重已经指定的有限图，按照明确规则，把它转换为三行三列、共九个数的矩阵。奇异值分解提取三个非负数，用来描述矩阵作用的独立方向。它们的比值形成 KASVD 特征档案，整体尺度则另行保存。[1]</w:t>
      </w:r>
    </w:p>
    <w:p>
      <w:pPr/>
      <w:r>
        <w:t>看两个教学用的对角矩阵：第一个的对角元素为 4、2、1，第二个为 4、2、0。对应的归一化坐标分别是 (0.5, 0.25) 和 (0.5, 0)。图中第二点位于第三个独立方向消失的边界上。</w:t>
      </w:r>
    </w:p>
    <w:p>
      <w:pPr>
        <w:keepNext/>
        <w:spacing w:after="4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976000" cy="2090868"/>
            <wp:docPr id="1" name="Picture 1" descr="KASVD 允许区域及教学点 A 与 B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svd_ZH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76000" cy="209086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 xml:space="preserve">KASVD 教学示意图。允许区域满足 </w:t>
      </w:r>
      <w:r>
        <w:rPr>
          <w:rFonts w:ascii="DejaVu Sans" w:hAnsi="DejaVu Sans" w:eastAsia="DejaVu Sans" w:cs="DejaVu Sans"/>
        </w:rPr>
        <w:t>0 ≤ s₃ ≤ s₂ ≤ 1</w:t>
      </w:r>
      <w:r>
        <w:t>。图中各点由上述矩阵计算得到，不是文本或材料分析的实际结果。</w:t>
      </w:r>
    </w:p>
    <w:p>
      <w:pPr/>
      <w:r>
        <w:t>这种档案可以用于研究秩的变化、谱对称性及小扰动下的稳定性。一个方向消失时，需要仔细解释原因：数据线性相关或权重抵消都可能导致这一结果。仅凭一个零值，不能认定原文存在语义错误。</w:t>
      </w:r>
    </w:p>
    <w:p>
      <w:pPr/>
      <w:r>
        <w:t>在大量模型比较中，紧凑特征可以帮助筛选值得进一步研究的结构。若要确认它们是否精确等价，则需要更多信息。这一问题成为项目后续数学工作的主题。[1, 3]</w:t>
      </w:r>
    </w:p>
    <w:p>
      <w:pPr>
        <w:pStyle w:val="Heading1"/>
        <w:pageBreakBefore/>
      </w:pPr>
      <w:r>
        <w:t>新的数学结果带来了哪些变化</w:t>
      </w:r>
    </w:p>
    <w:p>
      <w:pPr>
        <w:pStyle w:val="Heading2"/>
      </w:pPr>
      <w:r>
        <w:t>比较应取决于关键关系</w:t>
      </w:r>
    </w:p>
    <w:p>
      <w:pPr/>
      <w:r>
        <w:t>同一数学结构采用两种允许的方式书写时，诊断结果应当保持其关键性质。Hodge–KASVD 工作提供了一种协调机制：为指定的类选取调和代表元。这里的名称来自经典霍奇理论；在有限模型中，它是精确定义的操作，用于提取经过允许的局部修正后仍然保留的成分。[2, 9]</w:t>
      </w:r>
    </w:p>
    <w:p>
      <w:pPr/>
      <w:r>
        <w:t>R4-H 证明，在复形、度量和编码器固定时，结果不依赖加性类代表元的选择。R4-I 则明确了编号、定向和坐标的相容改变。这对可复现性很重要：书写方式的改变不应悄悄改变比较对象。更换标签含义或任意改变度量，需要重新论证。[2]</w:t>
      </w:r>
    </w:p>
    <w:p>
      <w:pPr>
        <w:pStyle w:val="Heading2"/>
      </w:pPr>
      <w:r>
        <w:t>谱相同仍需要进一步核查</w:t>
      </w:r>
    </w:p>
    <w:p>
      <w:pPr/>
      <w:r>
        <w:t>可以想象两组总质量相同的物品。一个数有助于比较，却没有列出它们各自的组成。谱在 KASVD 中具有相似作用。R4-J 和 R4-K 表明，相同的谱特征可能属于不同的允许类。因此，R4-K 相对于明确指定的有限变换群，构建精确的完整签名。</w:t>
      </w:r>
    </w:p>
    <w:p>
      <w:pPr/>
      <w:r>
        <w:t>在这一固定模型中，规范代表元相同，恰好刻画了属于同一群轨道。比较还可以提供一个能够核查的变换作为见证。R4-K 日志记录了42项通过的合成测试。这是有文档记录的实现核查结果；编写本期简报时没有重新运行这些测试。[3, 4]</w:t>
      </w:r>
    </w:p>
    <w:p>
      <w:pPr>
        <w:pStyle w:val="Heading2"/>
      </w:pPr>
      <w:r>
        <w:t>与非结合代数的联系</w:t>
      </w:r>
    </w:p>
    <w:p>
      <w:pPr/>
      <w:r>
        <w:t>KASVD R4 论文把同一个矩阵用于承载参照元结构，并作为一个特定七维代数族中的矩阵块。对于该代数族，论文证明 Binary-Lie、Malcev 和 Sagle 性质成立，当且仅当矩阵参数为零。此前把该族的 Sagle 问题称为开放问题的表述已纠正。结论只针对所研究的这一构造。[1]</w:t>
      </w:r>
    </w:p>
    <w:p>
      <w:pPr/>
      <w:r>
        <w:t>伊万·鲍里索维奇·库尔皮舍夫的作者贡献，在于在参照元方法内建立并研究这些联系。经典奇异值分解和霍奇理论提供数学工具；项目提出自己的对象、连接方式和允许转移问题。由此，对推理依据的哲学兴趣转化为具体的证明任务。</w:t>
      </w:r>
    </w:p>
    <w:p>
      <w:pPr>
        <w:pStyle w:val="Heading1"/>
        <w:pageBreakBefore/>
      </w:pPr>
      <w:r>
        <w:t>项目近几周的发展</w:t>
      </w:r>
    </w:p>
    <w:p>
      <w:pPr/>
      <w:r>
        <w:t>九月的工作为同一研究架构准备了不同部分。有的材料完善推理的几何表示，有的整理来源记忆，有的规定未来预测试验的规则。九月底至十月初，KASVD 增加了谱比较与精确结构比较工具。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110" w:type="dxa"/>
          <w:right w:w="110" w:type="dxa"/>
        </w:tblCellMar>
      </w:tblPr>
      <w:tblGrid>
        <w:gridCol w:w="1587"/>
        <w:gridCol w:w="3855"/>
        <w:gridCol w:w="4309"/>
      </w:tblGrid>
      <w:tr>
        <w:trPr>
          <w:tblHeader/>
          <w:cantSplit/>
        </w:trPr>
        <w:tc>
          <w:tcPr>
            <w:tcW w:type="dxa" w:w="1587"/>
            <w:vAlign w:val="center"/>
            <w:shd w:fill="E6EDF2"/>
          </w:tcPr>
          <w:p>
            <w:pPr>
              <w:pStyle w:val="TableText"/>
              <w:keepNext w:val="0"/>
              <w:spacing w:after="0"/>
              <w:jc w:val="center"/>
            </w:pPr>
            <w:r>
              <w:rPr>
                <w:b/>
              </w:rPr>
              <w:t>时期</w:t>
            </w:r>
          </w:p>
        </w:tc>
        <w:tc>
          <w:tcPr>
            <w:tcW w:type="dxa" w:w="3855"/>
            <w:vAlign w:val="center"/>
            <w:shd w:fill="E6EDF2"/>
          </w:tcPr>
          <w:p>
            <w:pPr>
              <w:pStyle w:val="TableText"/>
              <w:keepNext w:val="0"/>
              <w:spacing w:after="0"/>
            </w:pPr>
            <w:r>
              <w:rPr>
                <w:b/>
              </w:rPr>
              <w:t>已记录的进展</w:t>
            </w:r>
          </w:p>
        </w:tc>
        <w:tc>
          <w:tcPr>
            <w:tcW w:type="dxa" w:w="4309"/>
            <w:vAlign w:val="center"/>
            <w:shd w:fill="E6EDF2"/>
          </w:tcPr>
          <w:p>
            <w:pPr>
              <w:pStyle w:val="TableText"/>
              <w:keepNext w:val="0"/>
              <w:spacing w:after="0"/>
            </w:pPr>
            <w:r>
              <w:rPr>
                <w:b/>
              </w:rPr>
              <w:t>对读者的意义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</w:tcPr>
          <w:p>
            <w:pPr>
              <w:pStyle w:val="TableText"/>
              <w:keepNext w:val="0"/>
              <w:spacing w:after="0"/>
              <w:jc w:val="center"/>
            </w:pPr>
            <w:r>
              <w:rPr>
                <w:b w:val="0"/>
              </w:rPr>
              <w:t>9月11日至18日</w:t>
            </w:r>
          </w:p>
        </w:tc>
        <w:tc>
          <w:tcPr>
            <w:tcW w:type="dxa" w:w="3855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ARBD 语料连续性、三段论图谱与 SE3 日志</w:t>
            </w:r>
          </w:p>
        </w:tc>
        <w:tc>
          <w:tcPr>
            <w:tcW w:type="dxa" w:w="4309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结论的来源及预测核查顺序更清晰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6F8FA"/>
          </w:tcPr>
          <w:p>
            <w:pPr>
              <w:pStyle w:val="TableText"/>
              <w:keepNext w:val="0"/>
              <w:spacing w:after="0"/>
              <w:jc w:val="center"/>
            </w:pPr>
            <w:r>
              <w:rPr>
                <w:b w:val="0"/>
              </w:rPr>
              <w:t>9月18日至25日</w:t>
            </w:r>
          </w:p>
        </w:tc>
        <w:tc>
          <w:tcPr>
            <w:tcW w:type="dxa" w:w="3855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化学来源整理与 Windows 验收准备</w:t>
            </w:r>
          </w:p>
        </w:tc>
        <w:tc>
          <w:tcPr>
            <w:tcW w:type="dxa" w:w="4309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明确输入资料与可复现安装条件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FFFFF"/>
          </w:tcPr>
          <w:p>
            <w:pPr>
              <w:pStyle w:val="TableText"/>
              <w:keepNext w:val="0"/>
              <w:spacing w:after="0"/>
              <w:jc w:val="center"/>
            </w:pPr>
            <w:r>
              <w:rPr>
                <w:b w:val="0"/>
              </w:rPr>
              <w:t>9月27日至29日</w:t>
            </w:r>
          </w:p>
        </w:tc>
        <w:tc>
          <w:tcPr>
            <w:tcW w:type="dxa" w:w="3855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来源采纳、RUN042 规程和软件检查点</w:t>
            </w:r>
          </w:p>
        </w:tc>
        <w:tc>
          <w:tcPr>
            <w:tcW w:type="dxa" w:w="4309"/>
            <w:vAlign w:val="center"/>
            <w:shd w:fill="FFFFFF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区分参考档案、工作数据和实际试验</w:t>
            </w:r>
          </w:p>
        </w:tc>
      </w:tr>
      <w:tr>
        <w:trPr>
          <w:cantSplit/>
        </w:trPr>
        <w:tc>
          <w:tcPr>
            <w:tcW w:type="dxa" w:w="1587"/>
            <w:vAlign w:val="center"/>
            <w:shd w:fill="F6F8FA"/>
          </w:tcPr>
          <w:p>
            <w:pPr>
              <w:pStyle w:val="TableText"/>
              <w:keepNext w:val="0"/>
              <w:spacing w:after="0"/>
              <w:jc w:val="center"/>
            </w:pPr>
            <w:r>
              <w:rPr>
                <w:b w:val="0"/>
              </w:rPr>
              <w:t>10月1日至2日</w:t>
            </w:r>
          </w:p>
        </w:tc>
        <w:tc>
          <w:tcPr>
            <w:tcW w:type="dxa" w:w="3855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KASVD R4 以及 R4-C、R4-H 至 R4-K</w:t>
            </w:r>
          </w:p>
        </w:tc>
        <w:tc>
          <w:tcPr>
            <w:tcW w:type="dxa" w:w="4309"/>
            <w:vAlign w:val="center"/>
            <w:shd w:fill="F6F8FA"/>
          </w:tcPr>
          <w:p>
            <w:pPr>
              <w:pStyle w:val="TableText"/>
              <w:keepNext w:val="0"/>
              <w:spacing w:after="0"/>
            </w:pPr>
            <w:r>
              <w:rPr>
                <w:b w:val="0"/>
              </w:rPr>
              <w:t>增加审查和结构比较的数学工具</w:t>
            </w:r>
          </w:p>
        </w:tc>
      </w:tr>
    </w:tbl>
    <w:p>
      <w:pPr>
        <w:spacing w:after="20" w:before="0" w:line="40" w:lineRule="exact"/>
      </w:pPr>
      <w:r>
        <w:rPr>
          <w:sz w:val="4"/>
        </w:rPr>
      </w:r>
    </w:p>
    <w:p>
      <w:pPr>
        <w:pStyle w:val="Heading2"/>
      </w:pPr>
      <w:r>
        <w:t>KLT MATDES 与未来材料预测</w:t>
      </w:r>
    </w:p>
    <w:p>
      <w:pPr/>
      <w:r>
        <w:t>材料研究方向希望寻找具有指定性质的物质和状态。描述相似还不够：组成、结构、相、测量方法和过程条件都需要相互对应。在此基础上，比较才具有实质意义。KASVD 可以成为其中的数学组成部分，而领域依据始终是模型的必要条件。[3, 6]</w:t>
      </w:r>
    </w:p>
    <w:p>
      <w:pPr/>
      <w:r>
        <w:t>SE3 日志固定了一项重要顺序：先记录预测、模型、条件和时间范围，再单独接收观察结果；预测未命中的记录也会保留。外部研究者因此可以查看结果出现之前究竟预测了什么。相关案卷中记载的核查使用的是合成数据。[7]</w:t>
      </w:r>
    </w:p>
    <w:p>
      <w:pPr>
        <w:pStyle w:val="Heading2"/>
      </w:pPr>
      <w:r>
        <w:t>应用程序与数学内核</w:t>
      </w:r>
    </w:p>
    <w:p>
      <w:pPr/>
      <w:r>
        <w:t>在线分析器和独立运行版本也在同步发展。九月底的检查点描述了备份导出、数据恢复及验收任务。文件逐字节核查与真实设备上的安装是不同阶段。最新 KASVD 模块被准备为可核查的数学内核；已审阅文件尚未确认它们已部署至所有网站、APK 和 Windows 版本。[3, 6]</w:t>
      </w:r>
    </w:p>
    <w:p>
      <w:pPr/>
      <w:r>
        <w:t>这样的发展顺序具有实际意义。读者能够跟踪各个组件，了解哪些能力已有数学描述，哪些存在于研究代码中，哪些还等待具体领域的试验。</w:t>
      </w:r>
    </w:p>
    <w:p>
      <w:pPr>
        <w:pStyle w:val="Heading1"/>
        <w:pageBreakBefore/>
      </w:pPr>
      <w:r>
        <w:t>谁可以从项目中受益以及如何参与</w:t>
      </w:r>
    </w:p>
    <w:p>
      <w:pPr/>
      <w:r>
        <w:t>对学校教师和大学教师，本项目提供了培养论证能力的切入点。可以从一篇短文开始：找出关键主张，重建依据，标明含义变化，并提出可检验的问题。形成的推理关系图可以成为师生共同讨论的对象。</w:t>
      </w:r>
    </w:p>
    <w:p>
      <w:pPr/>
      <w:r>
        <w:t>研究者可能关注跨来源比较依据，以及区分数学模型与领域解释。数学家可以核查定理或寻找反例；化学家可以提出条件一致的测量数据集；语言研究者可以评估不同专家对同一文本建立参照元图时的一致性。这些是合作方向，并非对已测得效果的承诺。</w:t>
      </w:r>
    </w:p>
    <w:p>
      <w:pPr/>
      <w:r>
        <w:t>对开发者，关键问题是如何让分析程序的整个操作链都能被核查。R4-C 把各计算步骤同数据类型、定义域、依据和误差控制联系起来。对用户而言，实际含义很直接：能够追问程序为什么接受某个结论，以及继续下一步还缺少什么。[5]</w:t>
      </w:r>
    </w:p>
    <w:p>
      <w:pPr>
        <w:pStyle w:val="Heading2"/>
      </w:pPr>
      <w:r>
        <w:t>下一项实质任务</w:t>
      </w:r>
    </w:p>
    <w:p>
      <w:pPr/>
      <w:r>
        <w:t>KASVD 下一步需要把精确数学内核与某个具体来源的图联系起来。必须核查关系提取，说明允许变换的选择，并评估矩阵编码中丢失的信息。之后，才能进一步开展独立语料核查和预先固定规则的试验。这些任务构成走向应用预测系统的路径。[3]</w:t>
      </w:r>
    </w:p>
    <w:p>
      <w:pPr>
        <w:pStyle w:val="Heading2"/>
      </w:pPr>
      <w:r>
        <w:t>怎样理解当前成果</w:t>
      </w:r>
    </w:p>
    <w:p>
      <w:pPr/>
      <w:r>
        <w:t>项目已经包含具有明确假设的数学命题，以及使用合成数据的软件核查。真实事件预测的独立验证仍是未来工作。因此，SCIENCE=ABSTAIN、EXT_RUN=NOT_RUN、truth_layer_promotion=0 保持不变；化学假设 DHC_chem 仍为 OPEN-NOT-CONFIRMED。ABSTAIN 表示某项具体科学结论目前依据不足。这些标记有助于准确理解研究所处的阶段。</w:t>
      </w:r>
    </w:p>
    <w:p>
      <w:pPr>
        <w:pStyle w:val="Heading2"/>
      </w:pPr>
      <w:r>
        <w:t>欢迎了解并共同检验</w:t>
      </w:r>
    </w:p>
    <w:p>
      <w:pPr/>
      <w:r>
        <w:t>可以从作者档案网站 kurpishev.com 开始，选择熟悉的方向，阅读一篇论文，并针对其依据提出问题。实质性的评议、可检验的反例、语料建议和可复现试验设计，都是有价值的参与方式。与作者讨论请联系 me@kurpishev.ru。</w:t>
      </w:r>
    </w:p>
    <w:p>
      <w:pPr/>
      <w:r>
        <w:t>“库尔皮舍夫逻辑 2”正在发展为一项研究计划，探索知识如何获得支持并接受检验。KASVD 使其中一个数学部分具有了可计算形式。不同学科专家的参与，将帮助确定这些构造在哪些场景产生实际价值，以及它们还会提出哪些新问题。</w:t>
      </w:r>
    </w:p>
    <w:p>
      <w:pPr>
        <w:pStyle w:val="Heading1"/>
        <w:pageBreakBefore/>
      </w:pPr>
      <w:r>
        <w:t>进一步阅读与项目导航</w:t>
      </w:r>
    </w:p>
    <w:p>
      <w:pPr/>
      <w:r>
        <w:t>以下资料记录成果并提供深入阅读路径。带日期的项目材料说明作者在限定条件下的证明与核查；列入参考资料并不意味着已经通过独立同行评议。</w:t>
      </w:r>
    </w:p>
    <w:p>
      <w:pPr>
        <w:pStyle w:val="Reference"/>
      </w:pPr>
      <w:r>
        <w:t>[1] 库尔皮舍夫 I. B.《KASVD 谱几何与七维反交换代数：KLT-RBD 参照元工件的矩阵桥梁》。R4，2026年10月1日。KASVD_​R4_​RU.tex，第2–5、8、11–12节。</w:t>
      </w:r>
    </w:p>
    <w:p>
      <w:pPr>
        <w:pStyle w:val="Reference"/>
      </w:pPr>
      <w:r>
        <w:t>[2] 库尔皮舍夫 I. B. Hodge–KASVD Descent on Additive Obstruction Cohomology，R4-H；Equivariant Hodge–KASVD Descent，R4-I。v1.0，2026年10月2日。代表元选择及允许变换的条件。</w:t>
      </w:r>
    </w:p>
    <w:p>
      <w:pPr>
        <w:pStyle w:val="Reference"/>
      </w:pPr>
      <w:r>
        <w:t>[3] 库尔皮舍夫 I. B. Quotient Spectral Geometry，R4-J；《参照元障碍的完整签名》，R4-K。2026年10月2日。R4K_​REPORT_​RU.tex，尤其第3、9–11节。固定模型中的完备性及软件集成边界。</w:t>
      </w:r>
    </w:p>
    <w:p>
      <w:pPr>
        <w:pStyle w:val="Reference"/>
      </w:pPr>
      <w:r>
        <w:t>[4] R4K_​SELFTEST.txt。2026年10月2日的42项合成测试日志。本期引用保存的日志，未重新执行测试。</w:t>
      </w:r>
    </w:p>
    <w:p>
      <w:pPr>
        <w:pStyle w:val="Reference"/>
      </w:pPr>
      <w:r>
        <w:t>[5] 库尔皮舍夫 I. B. Unified Mathematical Program Analysis Kernel。R4-C，v1.0，2026年10月1日。LK2_​R4C_​UNIFIED_​MATHEMATICAL_​PROGRAM_​ANALYSIS_​REPORT_​v1_​0.md。类型、依据、误差与可辨识性。</w:t>
      </w:r>
    </w:p>
    <w:p>
      <w:pPr>
        <w:pStyle w:val="Reference"/>
      </w:pPr>
      <w:r>
        <w:t>[6] 项目检查点 KLT_​M4_​SOURCE_​ADOPTION_​RU_​20260927_​v1_​1.md、CONTINUE_​RUN042.md、KLT_​M4_​RELEASE_​REPORT_​RU_​20260929_​v1_​0.md 及 KLT6_​1_​05_​5_​RECHECK_​RU.md。九月底的来源与工程状态。</w:t>
      </w:r>
    </w:p>
    <w:p>
      <w:pPr>
        <w:pStyle w:val="Reference"/>
      </w:pPr>
      <w:r>
        <w:t>[7] 项目2026年9月18日及25日简报，包括 ARBD 语料和 SE3 案卷的文档回顾。本期九月进展据此前两期概述，没有重新全面审查其全部原始资料。</w:t>
      </w:r>
    </w:p>
    <w:p>
      <w:pPr>
        <w:pStyle w:val="Reference"/>
      </w:pPr>
      <w:r>
        <w:t>[8]《二维与三维分类三段论》。KLT–SYL–DK v1.1，2026年9月17日；KLT_​M2_​CONTINUE_​SYL_​V1_​1_​FULL.md。介绍及来源见9月18日简报。</w:t>
      </w:r>
    </w:p>
    <w:p>
      <w:pPr>
        <w:pStyle w:val="Reference"/>
      </w:pPr>
      <w:r>
        <w:t>[9] Lim L.-H. Hodge Laplacians on graphs. arXiv:1507.05379v4，2019。经典数学背景。</w:t>
      </w:r>
      <w:hyperlink r:id="rId12">
        <w:r>
          <w:rPr>
            <w:rFonts w:ascii="Noto Sans CJK SC" w:hAnsi="Noto Sans CJK SC" w:eastAsia="Noto Sans CJK SC"/>
            <w:color w:val="204D72"/>
            <w:sz w:val="19"/>
          </w:rPr>
          <w:t>https://arxiv.org/abs/1507.05379v4</w:t>
        </w:r>
      </w:hyperlink>
      <w:r/>
    </w:p>
    <w:p>
      <w:pPr>
        <w:pStyle w:val="Reference"/>
      </w:pPr>
      <w:r>
        <w:t>[10] 作者科研档案网站，库尔皮舍夫不确定性原理 PN.2 部分。</w:t>
      </w:r>
      <w:hyperlink r:id="rId13">
        <w:r>
          <w:rPr>
            <w:rFonts w:ascii="Noto Sans CJK SC" w:hAnsi="Noto Sans CJK SC" w:eastAsia="Noto Sans CJK SC"/>
            <w:color w:val="204D72"/>
            <w:sz w:val="19"/>
          </w:rPr>
          <w:t>https://kurpishev.com/。访问日期为2026年10月4日。</w:t>
        </w:r>
      </w:hyperlink>
      <w:r/>
    </w:p>
    <w:p>
      <w:pPr>
        <w:pStyle w:val="Heading2"/>
      </w:pPr>
      <w:r>
        <w:t>项目导航</w:t>
      </w:r>
    </w:p>
    <w:p>
      <w:pPr>
        <w:spacing w:after="80"/>
      </w:pPr>
      <w:hyperlink r:id="rId14">
        <w:r>
          <w:rPr>
            <w:rFonts w:ascii="Noto Sans CJK SC" w:hAnsi="Noto Sans CJK SC" w:eastAsia="Noto Sans CJK SC"/>
            <w:color w:val="204D72"/>
            <w:sz w:val="21"/>
          </w:rPr>
          <w:t>作者科研档案与出版物</w:t>
        </w:r>
      </w:hyperlink>
    </w:p>
    <w:p>
      <w:pPr>
        <w:spacing w:after="80"/>
      </w:pPr>
      <w:hyperlink r:id="rId15">
        <w:r>
          <w:rPr>
            <w:rFonts w:ascii="Noto Sans CJK SC" w:hAnsi="Noto Sans CJK SC" w:eastAsia="Noto Sans CJK SC"/>
            <w:color w:val="204D72"/>
            <w:sz w:val="21"/>
          </w:rPr>
          <w:t>KLT RBDv6 Analyzer</w:t>
        </w:r>
      </w:hyperlink>
    </w:p>
    <w:p>
      <w:pPr>
        <w:spacing w:after="80"/>
      </w:pPr>
      <w:hyperlink r:id="rId16">
        <w:r>
          <w:rPr>
            <w:rFonts w:ascii="Noto Sans CJK SC" w:hAnsi="Noto Sans CJK SC" w:eastAsia="Noto Sans CJK SC"/>
            <w:color w:val="204D72"/>
            <w:sz w:val="21"/>
          </w:rPr>
          <w:t>KLT MATDES</w:t>
        </w:r>
      </w:hyperlink>
    </w:p>
    <w:p>
      <w:pPr>
        <w:pStyle w:val="Caption"/>
      </w:pPr>
      <w:r>
        <w:t>应用地址供了解项目使用；本期不是浏览器或设备验收报告。10月2日期号于2026年10月4日重新编写，并纳入10月2日晚记录的 R4-K 结果。教学示例为解释方法而专门设计。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77" w:bottom="1020" w:left="1077" w:header="454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v1.2 • ZH •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t>库尔皮舍夫逻辑 2 • 研究简报 • 2026年10月2日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keepNext w:val="0"/>
      <w:widowControl/>
      <w:spacing w:line="360" w:lineRule="exact" w:after="140"/>
    </w:pPr>
    <w:rPr>
      <w:rFonts w:ascii="Noto Sans CJK SC" w:hAnsi="Noto Sans CJK SC" w:eastAsia="Noto Sans CJK SC" w:cs="Noto Sans CJK SC"/>
      <w:b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 w:cs="Noto Sans CJK SC"/>
      <w:b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Noto Sans CJK SC" w:hAnsi="Noto Sans CJK SC" w:eastAsia="Noto Sans CJK SC" w:cs="Noto Sans CJK SC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80" w:line="460" w:lineRule="exact"/>
      <w:outlineLvl w:val="0"/>
    </w:pPr>
    <w:rPr>
      <w:rFonts w:ascii="Noto Sans CJK SC" w:hAnsi="Noto Sans CJK SC" w:eastAsia="Noto Sans CJK SC" w:cs="Noto Sans CJK SC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60" w:line="340" w:lineRule="exact"/>
      <w:outlineLvl w:val="1"/>
    </w:pPr>
    <w:rPr>
      <w:rFonts w:ascii="Noto Sans CJK SC" w:hAnsi="Noto Sans CJK SC" w:eastAsia="Noto Sans CJK SC" w:cs="Noto Sans CJK SC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620" w:lineRule="exact" w:before="0"/>
      <w:contextualSpacing/>
    </w:pPr>
    <w:rPr>
      <w:rFonts w:ascii="Noto Sans CJK SC" w:hAnsi="Noto Sans CJK SC" w:eastAsia="Noto Sans CJK SC" w:cs="Noto Sans CJK SC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60" w:line="380" w:lineRule="exact"/>
    </w:pPr>
    <w:rPr>
      <w:rFonts w:ascii="Noto Sans CJK SC" w:hAnsi="Noto Sans CJK SC" w:eastAsia="Noto Sans CJK SC" w:cs="Noto Sans CJK SC"/>
      <w:b w:val="0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keepNext w:val="0"/>
      <w:spacing w:line="280" w:lineRule="exact" w:after="160"/>
    </w:pPr>
    <w:rPr>
      <w:rFonts w:ascii="Noto Sans CJK SC" w:hAnsi="Noto Sans CJK SC" w:eastAsia="Noto Sans CJK SC" w:cs="Noto Sans CJK SC"/>
      <w:b w:val="0"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ference">
    <w:name w:val="Reference"/>
    <w:pPr>
      <w:keepNext w:val="0"/>
      <w:spacing w:after="140" w:line="280" w:lineRule="exact"/>
    </w:pPr>
    <w:rPr>
      <w:rFonts w:ascii="Noto Sans CJK SC" w:hAnsi="Noto Sans CJK SC" w:eastAsia="Noto Sans CJK SC" w:cs="Noto Sans CJK SC"/>
      <w:b w:val="0"/>
      <w:color w:val="000000"/>
      <w:sz w:val="19"/>
    </w:rPr>
  </w:style>
  <w:style w:type="paragraph" w:customStyle="1" w:styleId="TableText">
    <w:name w:val="Table Text"/>
    <w:pPr>
      <w:keepNext w:val="0"/>
      <w:spacing w:line="300" w:lineRule="exact"/>
    </w:pPr>
    <w:rPr>
      <w:rFonts w:ascii="Noto Sans CJK SC" w:hAnsi="Noto Sans CJK SC" w:eastAsia="Noto Sans CJK SC" w:cs="Noto Sans CJK SC"/>
      <w:b w:val="0"/>
      <w:color w:val="000000"/>
      <w:sz w:val="21"/>
    </w:rPr>
  </w:style>
  <w:style w:type="paragraph" w:customStyle="1" w:styleId="Metadata">
    <w:name w:val="Metadata"/>
    <w:pPr>
      <w:keepNext w:val="0"/>
      <w:spacing w:after="100" w:line="280" w:lineRule="exact"/>
    </w:pPr>
    <w:rPr>
      <w:rFonts w:ascii="Noto Sans CJK SC" w:hAnsi="Noto Sans CJK SC" w:eastAsia="Noto Sans CJK SC" w:cs="Noto Sans CJK SC"/>
      <w:b w:val="0"/>
      <w:color w:val="000000"/>
      <w:sz w:val="18"/>
    </w:rPr>
  </w:style>
  <w:style w:type="paragraph" w:customStyle="1" w:styleId="Lead">
    <w:name w:val="Lead"/>
    <w:pPr>
      <w:keepNext w:val="0"/>
      <w:spacing w:after="200" w:line="380" w:lineRule="exact"/>
    </w:pPr>
    <w:rPr>
      <w:rFonts w:ascii="Noto Sans CJK SC" w:hAnsi="Noto Sans CJK SC" w:eastAsia="Noto Sans CJK SC" w:cs="Noto Sans CJK SC"/>
      <w:b w:val="0"/>
      <w:color w:val="000000"/>
      <w:sz w:val="25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hyperlink" Target="https://arxiv.org/abs/1507.05379v4" TargetMode="External"/><Relationship Id="rId13" Type="http://schemas.openxmlformats.org/officeDocument/2006/relationships/hyperlink" Target="https://kurpishev.com/&#12290;&#35775;&#38382;&#26085;&#26399;&#20026;2026&#24180;10&#26376;4&#26085;&#12290;" TargetMode="External"/><Relationship Id="rId14" Type="http://schemas.openxmlformats.org/officeDocument/2006/relationships/hyperlink" Target="https://kurpishev.com/" TargetMode="External"/><Relationship Id="rId15" Type="http://schemas.openxmlformats.org/officeDocument/2006/relationships/hyperlink" Target="https://klt-rbdv6-analyzer.workspace-406992.chatgpt.site/" TargetMode="External"/><Relationship Id="rId16" Type="http://schemas.openxmlformats.org/officeDocument/2006/relationships/hyperlink" Target="https://klt-matdes.workspace-406992.chatgpt.si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库尔皮舍夫逻辑 2 — 理解知识的依据与可检验的预测</dc:title>
  <dc:subject>面向公众的研究简报 • 2026年10月2日 • 第3期</dc:subject>
  <dc:creator>Ivan Borisovich Kurpishev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zh-CN</dc:language>
</cp:coreProperties>
</file>