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ЛОГИКА КУРПИШЕВА 2</w:t>
      </w:r>
    </w:p>
    <w:p>
      <w:pPr>
        <w:pStyle w:val="Subtitle"/>
      </w:pPr>
      <w:r>
        <w:t>Как устроены основания знания и проверяемого прогноза</w:t>
      </w:r>
    </w:p>
    <w:p>
      <w:pPr>
        <w:pStyle w:val="Metadata"/>
      </w:pPr>
      <w:r>
        <w:t>Научно-популярный дайджест • 2 октября 2026 • Выпуск 3</w:t>
      </w:r>
    </w:p>
    <w:p>
      <w:pPr>
        <w:pStyle w:val="Metadata"/>
      </w:pPr>
      <w:r>
        <w:t>Главные события 25 сентября — 2 октября и обзор последних недель</w:t>
        <w:br/>
        <w:t>Расширенная редакция от 4 октября 2026 • v1.2</w:t>
      </w:r>
    </w:p>
    <w:p>
      <w:pPr>
        <w:pStyle w:val="Metadata"/>
        <w:spacing w:after="320"/>
      </w:pPr>
      <w:r>
        <w:t>Автор научного проекта — Иван Борисович Курпишев</w:t>
        <w:br/>
        <w:t>Калининград • kurpishev.com</w:t>
      </w:r>
    </w:p>
    <w:p>
      <w:pPr>
        <w:pStyle w:val="Heading1"/>
      </w:pPr>
      <w:r>
        <w:t>Проект для тех кто хочет понимать основания вывода</w:t>
      </w:r>
    </w:p>
    <w:p>
      <w:pPr>
        <w:pStyle w:val="Lead"/>
      </w:pPr>
      <w:r>
        <w:t>За научной статьёй, учебной работой или прогнозом всегда стоит цепочка переходов: от наблюдения к понятию, от понятия к суждению, от суждения к решению. Проект «ЛОГИКА КУРПИШЕВА 2» предлагает сделать эту цепочку видимой, математически исследуемой и доступной для проверки.</w:t>
      </w:r>
    </w:p>
    <w:p>
      <w:pPr/>
      <w:r>
        <w:t>Сегодня читатель сталкивается с огромным количеством текстов и данных. Найти убедительную формулировку относительно легко. Гораздо труднее установить, к каким объектам она относится, на каких основаниях держится и что должно произойти, чтобы её пришлось пересмотреть. Именно эту работу ставит в центр своей исследовательской программы Иван Борисович Курпишев.</w:t>
      </w:r>
    </w:p>
    <w:p>
      <w:pPr/>
      <w:r>
        <w:t>Проект соединяет логику и философию познания с проективной геометрией, неассоциативной математикой и программными средствами анализа. Его прикладная цель — создать предсказательный реперный проективно-гармонический метод для исследования событий и состояний. Математика, физика и химия составляют основные научные направления; образование, биология и экономика входят в круг перспективных применений. Для каждого направления предстоит установить собственную измерительную модель и проверить её на подходящих данных.</w:t>
      </w:r>
    </w:p>
    <w:p>
      <w:pPr/>
      <w:r>
        <w:t>За последние недели эта программа получила более отчётливую вычислительную форму. Развиваются база KLT-RBD, авторская реперная база ARBD, анализатор текстов и материаловедческое направление KLT-MATDES. Новая центральная тема выпуска — KASVD: исследовательский движок, который переводит заданную структуру связей в компактный матричный и спектральный паспорт. [1–5]</w:t>
      </w:r>
    </w:p>
    <w:p>
      <w:pPr/>
      <w:r>
        <w:t>В этом выпуске мы пройдём тот же путь, который проходит исследование: сначала разберём понятный пример, затем познакомимся с инструментами и только после этого обсудим математические достижения. Читатель увидит, что уже построено, для чего это может пригодиться и какую работу проект предлагает будущим участникам.</w:t>
      </w:r>
    </w:p>
    <w:p>
      <w:pPr/>
      <w:r>
        <w:t>Для первого знакомства достаточно интереса к тому, как люди обосновывают свои выводы. Формальная подготовка понадобится тем, кто захочет перейти от этого обзора к статьям, исходным данным и программным проверкам.</w:t>
      </w:r>
    </w:p>
    <w:p>
      <w:pPr>
        <w:pStyle w:val="Heading1"/>
        <w:pageBreakBefore/>
      </w:pPr>
      <w:r>
        <w:t>Реперный метод на понятном примере</w:t>
      </w:r>
    </w:p>
    <w:p>
      <w:pPr/>
      <w:r>
        <w:t>Представим фразу в отчёте: «Новый материал устойчивее прежнего». Она звучит содержательно, но оставляет открытыми важнейшие вопросы. Что именно называют устойчивостью? С чем сравнивают образец? При какой температуре, нагрузке и длительности испытания? Где находятся результаты измерений? Пока эти связи не установлены, одинаковые слова могут скрывать разные утверждения.</w:t>
      </w:r>
    </w:p>
    <w:p>
      <w:pPr/>
      <w:r>
        <w:t>Реперный подход предлагает связать утверждение с его опорами. Репер можно понимать как структурированную точку отсчёта, которая позволяет сопоставлять объект, его отношения и условия рассмотрения. В формализме проекта взаимосвязанные компоненты R, I, U сопровождаются основанием D. Для внешнего читателя существенен практический смысл: вывод получает определённую область применения и проверяемую опору в источнике. [1, 5]</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10" w:type="dxa"/>
          <w:right w:w="110" w:type="dxa"/>
        </w:tblCellMar>
      </w:tblPr>
      <w:tblGrid>
        <w:gridCol w:w="3288"/>
        <w:gridCol w:w="6463"/>
      </w:tblGrid>
      <w:tr>
        <w:trPr>
          <w:tblHeader/>
          <w:cantSplit/>
        </w:trPr>
        <w:tc>
          <w:tcPr>
            <w:tcW w:type="dxa" w:w="3288"/>
            <w:vAlign w:val="center"/>
            <w:shd w:fill="E6EDF2"/>
          </w:tcPr>
          <w:p>
            <w:pPr>
              <w:pStyle w:val="TableText"/>
              <w:keepNext w:val="0"/>
              <w:spacing w:after="0"/>
            </w:pPr>
            <w:r>
              <w:rPr>
                <w:b/>
              </w:rPr>
              <w:t>Вопрос к утверждению</w:t>
            </w:r>
          </w:p>
        </w:tc>
        <w:tc>
          <w:tcPr>
            <w:tcW w:type="dxa" w:w="6463"/>
            <w:vAlign w:val="center"/>
            <w:shd w:fill="E6EDF2"/>
          </w:tcPr>
          <w:p>
            <w:pPr>
              <w:pStyle w:val="TableText"/>
              <w:keepNext w:val="0"/>
              <w:spacing w:after="0"/>
            </w:pPr>
            <w:r>
              <w:rPr>
                <w:b/>
              </w:rPr>
              <w:t>Что нужно сделать явным</w:t>
            </w:r>
          </w:p>
        </w:tc>
      </w:tr>
      <w:tr>
        <w:trPr>
          <w:cantSplit/>
        </w:trPr>
        <w:tc>
          <w:tcPr>
            <w:tcW w:type="dxa" w:w="3288"/>
            <w:vAlign w:val="center"/>
            <w:shd w:fill="FFFFFF"/>
          </w:tcPr>
          <w:p>
            <w:pPr>
              <w:pStyle w:val="TableText"/>
              <w:keepNext w:val="0"/>
              <w:spacing w:after="0"/>
            </w:pPr>
            <w:r>
              <w:rPr>
                <w:b w:val="0"/>
              </w:rPr>
              <w:t>О каком объекте идёт речь</w:t>
            </w:r>
          </w:p>
        </w:tc>
        <w:tc>
          <w:tcPr>
            <w:tcW w:type="dxa" w:w="6463"/>
            <w:vAlign w:val="center"/>
            <w:shd w:fill="FFFFFF"/>
          </w:tcPr>
          <w:p>
            <w:pPr>
              <w:pStyle w:val="TableText"/>
              <w:keepNext w:val="0"/>
              <w:spacing w:after="0"/>
            </w:pPr>
            <w:r>
              <w:rPr>
                <w:b w:val="0"/>
              </w:rPr>
              <w:t>Материал, образец, состояние и способ получения</w:t>
            </w:r>
          </w:p>
        </w:tc>
      </w:tr>
      <w:tr>
        <w:trPr>
          <w:cantSplit/>
        </w:trPr>
        <w:tc>
          <w:tcPr>
            <w:tcW w:type="dxa" w:w="3288"/>
            <w:vAlign w:val="center"/>
            <w:shd w:fill="F6F8FA"/>
          </w:tcPr>
          <w:p>
            <w:pPr>
              <w:pStyle w:val="TableText"/>
              <w:keepNext w:val="0"/>
              <w:spacing w:after="0"/>
            </w:pPr>
            <w:r>
              <w:rPr>
                <w:b w:val="0"/>
              </w:rPr>
              <w:t>Как понимается устойчивость</w:t>
            </w:r>
          </w:p>
        </w:tc>
        <w:tc>
          <w:tcPr>
            <w:tcW w:type="dxa" w:w="6463"/>
            <w:vAlign w:val="center"/>
            <w:shd w:fill="F6F8FA"/>
          </w:tcPr>
          <w:p>
            <w:pPr>
              <w:pStyle w:val="TableText"/>
              <w:keepNext w:val="0"/>
              <w:spacing w:after="0"/>
            </w:pPr>
            <w:r>
              <w:rPr>
                <w:b w:val="0"/>
              </w:rPr>
              <w:t>Измеряемая величина, единицы и правило сравнения</w:t>
            </w:r>
          </w:p>
        </w:tc>
      </w:tr>
      <w:tr>
        <w:trPr>
          <w:cantSplit/>
        </w:trPr>
        <w:tc>
          <w:tcPr>
            <w:tcW w:type="dxa" w:w="3288"/>
            <w:vAlign w:val="center"/>
            <w:shd w:fill="FFFFFF"/>
          </w:tcPr>
          <w:p>
            <w:pPr>
              <w:pStyle w:val="TableText"/>
              <w:keepNext w:val="0"/>
              <w:spacing w:after="0"/>
            </w:pPr>
            <w:r>
              <w:rPr>
                <w:b w:val="0"/>
              </w:rPr>
              <w:t>При каких условиях верен вывод</w:t>
            </w:r>
          </w:p>
        </w:tc>
        <w:tc>
          <w:tcPr>
            <w:tcW w:type="dxa" w:w="6463"/>
            <w:vAlign w:val="center"/>
            <w:shd w:fill="FFFFFF"/>
          </w:tcPr>
          <w:p>
            <w:pPr>
              <w:pStyle w:val="TableText"/>
              <w:keepNext w:val="0"/>
              <w:spacing w:after="0"/>
            </w:pPr>
            <w:r>
              <w:rPr>
                <w:b w:val="0"/>
              </w:rPr>
              <w:t>Температура, нагрузка, среда и длительность</w:t>
            </w:r>
          </w:p>
        </w:tc>
      </w:tr>
      <w:tr>
        <w:trPr>
          <w:cantSplit/>
        </w:trPr>
        <w:tc>
          <w:tcPr>
            <w:tcW w:type="dxa" w:w="3288"/>
            <w:vAlign w:val="center"/>
            <w:shd w:fill="F6F8FA"/>
          </w:tcPr>
          <w:p>
            <w:pPr>
              <w:pStyle w:val="TableText"/>
              <w:keepNext w:val="0"/>
              <w:spacing w:after="0"/>
            </w:pPr>
            <w:r>
              <w:rPr>
                <w:b w:val="0"/>
              </w:rPr>
              <w:t>На чём основано утверждение</w:t>
            </w:r>
          </w:p>
        </w:tc>
        <w:tc>
          <w:tcPr>
            <w:tcW w:type="dxa" w:w="6463"/>
            <w:vAlign w:val="center"/>
            <w:shd w:fill="F6F8FA"/>
          </w:tcPr>
          <w:p>
            <w:pPr>
              <w:pStyle w:val="TableText"/>
              <w:keepNext w:val="0"/>
              <w:spacing w:after="0"/>
            </w:pPr>
            <w:r>
              <w:rPr>
                <w:b w:val="0"/>
              </w:rPr>
              <w:t>Протокол, данные, источник и неопределённость</w:t>
            </w:r>
          </w:p>
        </w:tc>
      </w:tr>
    </w:tbl>
    <w:p>
      <w:pPr>
        <w:spacing w:after="20" w:before="0" w:line="40" w:lineRule="exact"/>
      </w:pPr>
      <w:r>
        <w:rPr>
          <w:sz w:val="4"/>
        </w:rPr>
      </w:r>
    </w:p>
    <w:p>
      <w:pPr/>
      <w:r>
        <w:t>После уточнения появляется проверяемая формулировка: «В указанном режиме испытания образец A сохранял заданное свойство дольше образца B; исходные данные и погрешности приведены в протоколе». Это учебный пример, а не сообщение об экспериментальном успехе проекта. Он показывает, как общий тезис превращается в задачу, которую другой исследователь может проверить.</w:t>
      </w:r>
    </w:p>
    <w:p>
      <w:pPr>
        <w:pStyle w:val="Heading2"/>
      </w:pPr>
      <w:r>
        <w:t>Зачем здесь геометрия</w:t>
      </w:r>
    </w:p>
    <w:p>
      <w:pPr/>
      <w:r>
        <w:t>Проективно-гармоническая линия исследует отношения, сохраняющиеся при определённых преобразованиях представления. Бытовая аналогия — схема, которую можно перерисовать, сохранив существенные связи. В математике допустимые преобразования и сохраняемые величины задаются точно. Поэтому два разных изображения могут выражать одну структуру, а внешне похожие схемы — разные отношения.</w:t>
      </w:r>
    </w:p>
    <w:p>
      <w:pPr/>
      <w:r>
        <w:t>KLT связано с авторской концепцией λ-истинности Курпишева. Геометрическая согласованность здесь требует отдельного сопоставления с основаниями конкретного утверждения. Например, сохранение двойного отношения при проективном преобразовании само по себе не проверяет химический опыт. Именно связь формальной структуры с источником делает реперный подход исследовательской задачей. [1, 8]</w:t>
      </w:r>
    </w:p>
    <w:p>
      <w:pPr>
        <w:pStyle w:val="Heading1"/>
        <w:pageBreakBefore/>
      </w:pPr>
      <w:r>
        <w:t>Как текст получает карту своих оснований</w:t>
      </w:r>
    </w:p>
    <w:p>
      <w:pPr/>
      <w:r>
        <w:t>В замысле KLT-RBD результат анализа должен позволять вернуться от вывода к конкретному фрагменту источника. Если программа указывает на разрыв рассуждения, читателю нужны сама цитата, её место в тексте и объяснение того, какой переход требует обоснования. Такая карта особенно полезна там, где одна и та же формулировка меняет смысл в разных главах или дисциплинах.</w:t>
      </w:r>
    </w:p>
    <w:p>
      <w:pPr>
        <w:pStyle w:val="Heading2"/>
      </w:pPr>
      <w:r>
        <w:t>KLT RBD и ARBD</w:t>
      </w:r>
    </w:p>
    <w:p>
      <w:pPr/>
      <w:r>
        <w:t>KLT-RBD организует память исследования: реперы, связи между ними, основания, версии и ограничения. ARBD развивает авторский корпус реперов и интерпретаций. В работе с Кантом это означает внимание к контексту произведения, переводу и различию между словами автора, исследовательским комментарием и собственной интерпретацией читателя. Несколько переводов одного произведения также нельзя автоматически считать независимыми наблюдениями. [7]</w:t>
      </w:r>
    </w:p>
    <w:p>
      <w:pPr/>
      <w:r>
        <w:t>Представим студенческую работу, в которой понятие «свобода» сначала используется как отсутствие внешнего принуждения, а затем — как самостоятельное основание морального действия. Учебная польза реперной карты состоит в том, чтобы показать место перехода и предложить уточнение. Различие значений может быть содержательным ходом автора; задача анализа — сделать его объяснимым. Этот пример иллюстрирует желаемый сценарий работы, а не отчёт о проведённом автоматическом испытании.</w:t>
      </w:r>
    </w:p>
    <w:p>
      <w:pPr/>
      <w:r>
        <w:t>Для преподавателя такая система задумана как помощник при подготовке развёрнутого чек-листа. Для исследователя — как средство сопоставления определений и оснований в большом корпусе. Для разработчика — как возможность связывать каждое машинное действие с явным входом, областью допустимости и результатом проверки. Полноту автоматического смыслового анализа предстоит подтверждать на независимо размеченных текстах.</w:t>
      </w:r>
    </w:p>
    <w:p>
      <w:pPr>
        <w:pStyle w:val="Heading2"/>
      </w:pPr>
      <w:r>
        <w:t>Что дала работа последних недель</w:t>
      </w:r>
    </w:p>
    <w:p>
      <w:pPr/>
      <w:r>
        <w:t>В сентябрьском выпуске представлены схемы Barbara, Celarent, Darii и Ferio в 2D и 3D. На них можно увидеть, какие включения и объекты-свидетели обеспечивают классическое логическое следование. В математическом сопровождении уточнено, почему обратимость изображения не превращает утверждение «все M суть P» в обратное утверждение. [7, 8]</w:t>
      </w:r>
    </w:p>
    <w:p>
      <w:pPr/>
      <w:r>
        <w:t>Эта линия встречается с исследованием ПН.2 в общем вопросе: достаточно ли наблюдаемой информации, чтобы различить возможные результаты? Скрытая структура операций может оставлять несколько допустимых вариантов. Для будущего анализатора полезно указывать, какое дополнительное основание или наблюдение поможет их различить. Физическая интерпретация этого математического вопроса остаётся отдельным направлением проверки. [5, 10]</w:t>
      </w:r>
    </w:p>
    <w:p>
      <w:pPr>
        <w:pStyle w:val="Heading1"/>
        <w:pageBreakBefore/>
      </w:pPr>
      <w:r>
        <w:t>KASVD как спектральный паспорт структуры</w:t>
      </w:r>
    </w:p>
    <w:p>
      <w:pPr>
        <w:pStyle w:val="Lead"/>
      </w:pPr>
      <w:r>
        <w:t>KASVD добавляет к проекту способ компактно описывать уже построенную реперную структуру и исследовать её изменения. Это новый вычислительный уровень между подробной картой связей и сравнением математических моделей.</w:t>
      </w:r>
    </w:p>
    <w:p>
      <w:pPr/>
      <w:r>
        <w:t>На вход математического ядра поступает конечный граф с заданными типами и весами связей. По объявленным правилам он преобразуется в матрицу из девяти чисел, расположенных в трёх строках и трёх столбцах. Сингулярное разложение выделяет три неотрицательных числа, описывающих независимые направления действия этой матрицы. Их соотношения образуют KASVD-паспорт; общий масштаб хранится отдельно. [1]</w:t>
      </w:r>
    </w:p>
    <w:p>
      <w:pPr/>
      <w:r>
        <w:t>Для наглядности возьмём две учебные диагональные матрицы. Первая имеет диагональ 4, 2, 1; вторая — 4, 2, 0. Их нормированные координаты равны соответственно (0,5; 0,25) и (0,5; 0). На рисунке видно, что вторая точка лежит на границе, где третье независимое направление отсутствует.</w:t>
      </w:r>
    </w:p>
    <w:p>
      <w:pPr>
        <w:keepNext/>
        <w:spacing w:after="40" w:line="240" w:lineRule="auto"/>
        <w:jc w:val="center"/>
      </w:pPr>
      <w:r>
        <w:drawing>
          <wp:inline xmlns:a="http://schemas.openxmlformats.org/drawingml/2006/main" xmlns:pic="http://schemas.openxmlformats.org/drawingml/2006/picture">
            <wp:extent cx="5976000" cy="2090868"/>
            <wp:docPr id="1" name="Picture 1" descr="Допустимая область KASVD с учебными точками A и B"/>
            <wp:cNvGraphicFramePr>
              <a:graphicFrameLocks noChangeAspect="1"/>
            </wp:cNvGraphicFramePr>
            <a:graphic>
              <a:graphicData uri="http://schemas.openxmlformats.org/drawingml/2006/picture">
                <pic:pic>
                  <pic:nvPicPr>
                    <pic:cNvPr id="0" name="kasvd_RU.png"/>
                    <pic:cNvPicPr/>
                  </pic:nvPicPr>
                  <pic:blipFill>
                    <a:blip r:embed="rId11"/>
                    <a:stretch>
                      <a:fillRect/>
                    </a:stretch>
                  </pic:blipFill>
                  <pic:spPr>
                    <a:xfrm>
                      <a:off x="0" y="0"/>
                      <a:ext cx="5976000" cy="2090868"/>
                    </a:xfrm>
                    <a:prstGeom prst="rect"/>
                  </pic:spPr>
                </pic:pic>
              </a:graphicData>
            </a:graphic>
          </wp:inline>
        </w:drawing>
      </w:r>
    </w:p>
    <w:p>
      <w:pPr>
        <w:pStyle w:val="Caption"/>
      </w:pPr>
      <w:r>
        <w:t>Учебная иллюстрация KASVD. Допустимая область задаётся условием 0 ≤ s₃ ≤ s₂ ≤ 1. Точки рассчитаны для приведённых матриц и не являются результатами анализа текстов или веществ.</w:t>
      </w:r>
    </w:p>
    <w:p>
      <w:pPr/>
      <w:r>
        <w:t>Такой паспорт позволяет исследовать изменение ранга, спектральные симметрии и устойчивость к небольшим возмущениям. Исчезновение направления требует внимательного разбора: оно может быть следствием зависимых данных или компенсации весов. По одному нулевому числу нельзя объявить смысловую ошибку в тексте.</w:t>
      </w:r>
    </w:p>
    <w:p>
      <w:pPr/>
      <w:r>
        <w:t>Практический интерес возникает при сравнении большого числа моделей: компактные признаки помогают отбирать структуры для дальнейшего изучения. Проверка их точного совпадения требует более подробной информации. Именно этот вопрос стал следующей темой математических работ проекта. [1, 3]</w:t>
      </w:r>
    </w:p>
    <w:p>
      <w:pPr>
        <w:pStyle w:val="Heading1"/>
        <w:pageBreakBefore/>
      </w:pPr>
      <w:r>
        <w:t>Что изменили новые математические результаты</w:t>
      </w:r>
    </w:p>
    <w:p>
      <w:pPr>
        <w:pStyle w:val="Heading2"/>
      </w:pPr>
      <w:r>
        <w:t>Сравнение должно зависеть от существенных связей</w:t>
      </w:r>
    </w:p>
    <w:p>
      <w:pPr/>
      <w:r>
        <w:t>Если одну и ту же математическую структуру записали двумя допустимыми способами, диагностический результат должен сохранять её существенные свойства. Работы Hodge–KASVD предлагают механизм такого согласования: для заданного класса выбирается гармонический представитель. Название связано с классической теорией Ходжа; в конечной модели это строго определённый способ выделить компоненту, сохраняющуюся после допустимых локальных поправок. [2, 9]</w:t>
      </w:r>
    </w:p>
    <w:p>
      <w:pPr/>
      <w:r>
        <w:t>В R4-H доказано, что при фиксированных комплексе, метрике и кодировщике результат не зависит от выбора представителя аддитивного класса. R4-I уточняет согласованные изменения нумерации, ориентации и координат. Это важно для воспроизводимости: изменение формы записи не должно незаметно менять предмет сравнения. Смена смысла меток или произвольная смена метрики требует нового обоснования. [2]</w:t>
      </w:r>
    </w:p>
    <w:p>
      <w:pPr>
        <w:pStyle w:val="Heading2"/>
      </w:pPr>
      <w:r>
        <w:t>Одинаковый спектр ещё требует проверки</w:t>
      </w:r>
    </w:p>
    <w:p>
      <w:pPr/>
      <w:r>
        <w:t>Можно сравнить это с двумя наборами предметов одинаковой массы: одно число помогает их сопоставить, но не перечисляет состав. В KASVD сходную роль играет спектр. В работах R4-J и R4-K показано, что совпадающие спектральные признаки могут принадлежать разным допустимым классам. Поэтому R4-K строит точную сигнатуру относительно явно заданной конечной группы преобразований.</w:t>
      </w:r>
    </w:p>
    <w:p>
      <w:pPr/>
      <w:r>
        <w:t>В этой фиксированной модели равенство канонических представителей точно характеризует принадлежность одной орбите группы. Сравнение можно сопровождать проверяемым преобразованием-свидетелем. Журнал R4-K содержит 42 успешных синтетических теста. Это документированный результат проверки реализации; в ходе подготовки данного дайджеста тесты заново не запускались. [3, 4]</w:t>
      </w:r>
    </w:p>
    <w:p>
      <w:pPr>
        <w:pStyle w:val="Heading2"/>
      </w:pPr>
      <w:r>
        <w:t>Связь с неассоциативной алгеброй</w:t>
      </w:r>
    </w:p>
    <w:p>
      <w:pPr/>
      <w:r>
        <w:t>Статья KASVD R4 использует одну и ту же матрицу как носитель реперной структуры и как блок специального семимерного семейства алгебр. Для этого семейства доказано: свойства Binary-Lie, Malcev и Sagle выполняются тогда и только тогда, когда матричный параметр равен нулю. Прежнее сообщение об открытости Sagle для данного семейства исправлено. Утверждение относится именно к исследованной конструкции. [1]</w:t>
      </w:r>
    </w:p>
    <w:p>
      <w:pPr/>
      <w:r>
        <w:t>Авторский вклад Ивана Борисовича Курпишева состоит в построении и исследовании этих связей внутри реперного метода. Классические SVD и теория Ходжа дают математические инструменты; проект задаёт собственные объекты, способы их сопряжения и вопросы о допустимых переходах. Так философский интерес к основаниям рассуждения получает конкретные доказательные задачи.</w:t>
      </w:r>
    </w:p>
    <w:p>
      <w:pPr>
        <w:pStyle w:val="Heading1"/>
        <w:pageBreakBefore/>
      </w:pPr>
      <w:r>
        <w:t>Последние недели в развитии проекта</w:t>
      </w:r>
    </w:p>
    <w:p>
      <w:pPr/>
      <w:r>
        <w:t>Сентябрьская работа подготовила разные части одной исследовательской архитектуры. Одни материалы уточняют геометрию рассуждения, другие — память источников, третьи — правила будущего испытания прогноза. На рубеже сентября и октября KASVD добавил средства спектрального и точного структурного сравнения.</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10" w:type="dxa"/>
          <w:right w:w="110" w:type="dxa"/>
        </w:tblCellMar>
      </w:tblPr>
      <w:tblGrid>
        <w:gridCol w:w="1587"/>
        <w:gridCol w:w="3855"/>
        <w:gridCol w:w="4309"/>
      </w:tblGrid>
      <w:tr>
        <w:trPr>
          <w:tblHeader/>
          <w:cantSplit/>
        </w:trPr>
        <w:tc>
          <w:tcPr>
            <w:tcW w:type="dxa" w:w="1587"/>
            <w:vAlign w:val="center"/>
            <w:shd w:fill="E6EDF2"/>
          </w:tcPr>
          <w:p>
            <w:pPr>
              <w:pStyle w:val="TableText"/>
              <w:keepNext w:val="0"/>
              <w:spacing w:after="0"/>
              <w:jc w:val="center"/>
            </w:pPr>
            <w:r>
              <w:rPr>
                <w:b/>
              </w:rPr>
              <w:t>Период</w:t>
            </w:r>
          </w:p>
        </w:tc>
        <w:tc>
          <w:tcPr>
            <w:tcW w:type="dxa" w:w="3855"/>
            <w:vAlign w:val="center"/>
            <w:shd w:fill="E6EDF2"/>
          </w:tcPr>
          <w:p>
            <w:pPr>
              <w:pStyle w:val="TableText"/>
              <w:keepNext w:val="0"/>
              <w:spacing w:after="0"/>
            </w:pPr>
            <w:r>
              <w:rPr>
                <w:b/>
              </w:rPr>
              <w:t>Документированный шаг</w:t>
            </w:r>
          </w:p>
        </w:tc>
        <w:tc>
          <w:tcPr>
            <w:tcW w:type="dxa" w:w="4309"/>
            <w:vAlign w:val="center"/>
            <w:shd w:fill="E6EDF2"/>
          </w:tcPr>
          <w:p>
            <w:pPr>
              <w:pStyle w:val="TableText"/>
              <w:keepNext w:val="0"/>
              <w:spacing w:after="0"/>
            </w:pPr>
            <w:r>
              <w:rPr>
                <w:b/>
              </w:rPr>
              <w:t>Значение для читателя</w:t>
            </w:r>
          </w:p>
        </w:tc>
      </w:tr>
      <w:tr>
        <w:trPr>
          <w:cantSplit/>
        </w:trPr>
        <w:tc>
          <w:tcPr>
            <w:tcW w:type="dxa" w:w="1587"/>
            <w:vAlign w:val="center"/>
            <w:shd w:fill="FFFFFF"/>
          </w:tcPr>
          <w:p>
            <w:pPr>
              <w:pStyle w:val="TableText"/>
              <w:keepNext w:val="0"/>
              <w:spacing w:after="0"/>
              <w:jc w:val="center"/>
            </w:pPr>
            <w:r>
              <w:rPr>
                <w:b w:val="0"/>
              </w:rPr>
              <w:t>11–18 сентября</w:t>
            </w:r>
          </w:p>
        </w:tc>
        <w:tc>
          <w:tcPr>
            <w:tcW w:type="dxa" w:w="3855"/>
            <w:vAlign w:val="center"/>
            <w:shd w:fill="FFFFFF"/>
          </w:tcPr>
          <w:p>
            <w:pPr>
              <w:pStyle w:val="TableText"/>
              <w:keepNext w:val="0"/>
              <w:spacing w:after="0"/>
            </w:pPr>
            <w:r>
              <w:rPr>
                <w:b w:val="0"/>
              </w:rPr>
              <w:t>Корпусная преемственность ARBD, атлас силлогизмов и журнал SE3</w:t>
            </w:r>
          </w:p>
        </w:tc>
        <w:tc>
          <w:tcPr>
            <w:tcW w:type="dxa" w:w="4309"/>
            <w:vAlign w:val="center"/>
            <w:shd w:fill="FFFFFF"/>
          </w:tcPr>
          <w:p>
            <w:pPr>
              <w:pStyle w:val="TableText"/>
              <w:keepNext w:val="0"/>
              <w:spacing w:after="0"/>
            </w:pPr>
            <w:r>
              <w:rPr>
                <w:b w:val="0"/>
              </w:rPr>
              <w:t>Виднее происхождение вывода и порядок проверки прогноза</w:t>
            </w:r>
          </w:p>
        </w:tc>
      </w:tr>
      <w:tr>
        <w:trPr>
          <w:cantSplit/>
        </w:trPr>
        <w:tc>
          <w:tcPr>
            <w:tcW w:type="dxa" w:w="1587"/>
            <w:vAlign w:val="center"/>
            <w:shd w:fill="F6F8FA"/>
          </w:tcPr>
          <w:p>
            <w:pPr>
              <w:pStyle w:val="TableText"/>
              <w:keepNext w:val="0"/>
              <w:spacing w:after="0"/>
              <w:jc w:val="center"/>
            </w:pPr>
            <w:r>
              <w:rPr>
                <w:b w:val="0"/>
              </w:rPr>
              <w:t>18–25 сентября</w:t>
            </w:r>
          </w:p>
        </w:tc>
        <w:tc>
          <w:tcPr>
            <w:tcW w:type="dxa" w:w="3855"/>
            <w:vAlign w:val="center"/>
            <w:shd w:fill="F6F8FA"/>
          </w:tcPr>
          <w:p>
            <w:pPr>
              <w:pStyle w:val="TableText"/>
              <w:keepNext w:val="0"/>
              <w:spacing w:after="0"/>
            </w:pPr>
            <w:r>
              <w:rPr>
                <w:b w:val="0"/>
              </w:rPr>
              <w:t>Работа с химическими источниками и подготовка приёмки Windows</w:t>
            </w:r>
          </w:p>
        </w:tc>
        <w:tc>
          <w:tcPr>
            <w:tcW w:type="dxa" w:w="4309"/>
            <w:vAlign w:val="center"/>
            <w:shd w:fill="F6F8FA"/>
          </w:tcPr>
          <w:p>
            <w:pPr>
              <w:pStyle w:val="TableText"/>
              <w:keepNext w:val="0"/>
              <w:spacing w:after="0"/>
            </w:pPr>
            <w:r>
              <w:rPr>
                <w:b w:val="0"/>
              </w:rPr>
              <w:t>Уточняются исходные данные и условия воспроизводимой установки</w:t>
            </w:r>
          </w:p>
        </w:tc>
      </w:tr>
      <w:tr>
        <w:trPr>
          <w:cantSplit/>
        </w:trPr>
        <w:tc>
          <w:tcPr>
            <w:tcW w:type="dxa" w:w="1587"/>
            <w:vAlign w:val="center"/>
            <w:shd w:fill="FFFFFF"/>
          </w:tcPr>
          <w:p>
            <w:pPr>
              <w:pStyle w:val="TableText"/>
              <w:keepNext w:val="0"/>
              <w:spacing w:after="0"/>
              <w:jc w:val="center"/>
            </w:pPr>
            <w:r>
              <w:rPr>
                <w:b w:val="0"/>
              </w:rPr>
              <w:t>27–29 сентября</w:t>
            </w:r>
          </w:p>
        </w:tc>
        <w:tc>
          <w:tcPr>
            <w:tcW w:type="dxa" w:w="3855"/>
            <w:vAlign w:val="center"/>
            <w:shd w:fill="FFFFFF"/>
          </w:tcPr>
          <w:p>
            <w:pPr>
              <w:pStyle w:val="TableText"/>
              <w:keepNext w:val="0"/>
              <w:spacing w:after="0"/>
            </w:pPr>
            <w:r>
              <w:rPr>
                <w:b w:val="0"/>
              </w:rPr>
              <w:t>Принятие источников, протокол RUN042 и программные контрольные точки</w:t>
            </w:r>
          </w:p>
        </w:tc>
        <w:tc>
          <w:tcPr>
            <w:tcW w:type="dxa" w:w="4309"/>
            <w:vAlign w:val="center"/>
            <w:shd w:fill="FFFFFF"/>
          </w:tcPr>
          <w:p>
            <w:pPr>
              <w:pStyle w:val="TableText"/>
              <w:keepNext w:val="0"/>
              <w:spacing w:after="0"/>
            </w:pPr>
            <w:r>
              <w:rPr>
                <w:b w:val="0"/>
              </w:rPr>
              <w:t>Разделены справочный архив, рабочие данные и фактические испытания</w:t>
            </w:r>
          </w:p>
        </w:tc>
      </w:tr>
      <w:tr>
        <w:trPr>
          <w:cantSplit/>
        </w:trPr>
        <w:tc>
          <w:tcPr>
            <w:tcW w:type="dxa" w:w="1587"/>
            <w:vAlign w:val="center"/>
            <w:shd w:fill="F6F8FA"/>
          </w:tcPr>
          <w:p>
            <w:pPr>
              <w:pStyle w:val="TableText"/>
              <w:keepNext w:val="0"/>
              <w:spacing w:after="0"/>
              <w:jc w:val="center"/>
            </w:pPr>
            <w:r>
              <w:rPr>
                <w:b w:val="0"/>
              </w:rPr>
              <w:t>1–2 октября</w:t>
            </w:r>
          </w:p>
        </w:tc>
        <w:tc>
          <w:tcPr>
            <w:tcW w:type="dxa" w:w="3855"/>
            <w:vAlign w:val="center"/>
            <w:shd w:fill="F6F8FA"/>
          </w:tcPr>
          <w:p>
            <w:pPr>
              <w:pStyle w:val="TableText"/>
              <w:keepNext w:val="0"/>
              <w:spacing w:after="0"/>
            </w:pPr>
            <w:r>
              <w:rPr>
                <w:b w:val="0"/>
              </w:rPr>
              <w:t>KASVD R4 и работы R4-C, R4-H–R4-K</w:t>
            </w:r>
          </w:p>
        </w:tc>
        <w:tc>
          <w:tcPr>
            <w:tcW w:type="dxa" w:w="4309"/>
            <w:vAlign w:val="center"/>
            <w:shd w:fill="F6F8FA"/>
          </w:tcPr>
          <w:p>
            <w:pPr>
              <w:pStyle w:val="TableText"/>
              <w:keepNext w:val="0"/>
              <w:spacing w:after="0"/>
            </w:pPr>
            <w:r>
              <w:rPr>
                <w:b w:val="0"/>
              </w:rPr>
              <w:t>Появились новые математические средства аудита и сравнения структур</w:t>
            </w:r>
          </w:p>
        </w:tc>
      </w:tr>
    </w:tbl>
    <w:p>
      <w:pPr>
        <w:spacing w:after="20" w:before="0" w:line="40" w:lineRule="exact"/>
      </w:pPr>
      <w:r>
        <w:rPr>
          <w:sz w:val="4"/>
        </w:rPr>
      </w:r>
    </w:p>
    <w:p>
      <w:pPr>
        <w:pStyle w:val="Heading2"/>
      </w:pPr>
      <w:r>
        <w:t>KLT MATDES и будущий прогноз материалов</w:t>
      </w:r>
    </w:p>
    <w:p>
      <w:pPr/>
      <w:r>
        <w:t>Материаловедческое направление ставит задачу поиска веществ и состояний с заданными свойствами. Для него мало сходства описаний: необходимо согласовать состав, структуру, фазу, метод измерения и условия процесса. Только после этого сравнение становится содержательным. KASVD может войти в такой анализ как математический компонент, а предметные основания останутся обязательной частью модели. [3, 6]</w:t>
      </w:r>
    </w:p>
    <w:p>
      <w:pPr/>
      <w:r>
        <w:t>Журнал SE3 закрепляет важную последовательность: сначала записывают прогноз, модель, условия и горизонт, затем отдельно принимают результат наблюдения. Сохраняется и промах. Это делает будущую проверку понятной внешнему исследователю: можно увидеть, что именно было предсказано до появления результата. В подготовленном досье проверки были синтетическими. [7]</w:t>
      </w:r>
    </w:p>
    <w:p>
      <w:pPr>
        <w:pStyle w:val="Heading2"/>
      </w:pPr>
      <w:r>
        <w:t>Программы и математическое ядро</w:t>
      </w:r>
    </w:p>
    <w:p>
      <w:pPr/>
      <w:r>
        <w:t>Параллельно развиваются сетевой анализатор и автономные сборки. Контрольные точки конца сентября описывают резервный экспорт, восстановление данных и задачи приёмки. Побайтовая проверка файла и установка на реальном устройстве — разные этапы. Последние модули KASVD подготовлены как проверяемое математическое ядро; рассмотренные документы не подтверждают их внедрение во все сайты, APK и Windows-сборки. [3, 6]</w:t>
      </w:r>
    </w:p>
    <w:p>
      <w:pPr/>
      <w:r>
        <w:t>В такой последовательности есть практический смысл: читатель может следить за развитием конкретных компонентов и понимать, какие возможности уже описаны математически, какие реализованы в исследовательском коде, а какие ещё ждут предметного испытания.</w:t>
      </w:r>
    </w:p>
    <w:p>
      <w:pPr>
        <w:pStyle w:val="Heading1"/>
        <w:pageBreakBefore/>
      </w:pPr>
      <w:r>
        <w:t>Кому полезен проект и как принять участие</w:t>
      </w:r>
    </w:p>
    <w:p>
      <w:pPr/>
      <w:r>
        <w:t>Преподавателям и учителям проект предлагает тему для работы с культурой доказательства. Можно начать с небольшого текста: выделить ключевое утверждение, восстановить его основания, отметить смену значений и сформулировать проверяемый вопрос. Полученная карта рассуждения способна стать предметом совместного обсуждения со студентом.</w:t>
      </w:r>
    </w:p>
    <w:p>
      <w:pPr/>
      <w:r>
        <w:t>Исследователям интересна возможность сопоставлять основания в разных источниках и отделять математическую модель от её предметной интерпретации. Математик может проверить конкретную теорему или найти контрпример. Специалист по химии — предложить однородный набор измерений. Исследователь языка — оценить, насколько воспроизводимо разные эксперты строят реперную карту одного текста. Это направления сотрудничества, а не обещание уже измеренного эффекта.</w:t>
      </w:r>
    </w:p>
    <w:p>
      <w:pPr/>
      <w:r>
        <w:t>Разработчикам адресован вопрос о том, как сделать аналитическую программу проверяемой по всей цепочке. R4-C связывает отдельные вычислительные шаги с типами данных, областями определения, основаниями и контролем ошибки. Для пользователя итоговый смысл прост: можно выяснить, почему программа допустила определённый вывод и чего ей не хватает для следующего шага. [5]</w:t>
      </w:r>
    </w:p>
    <w:p>
      <w:pPr>
        <w:pStyle w:val="Heading2"/>
      </w:pPr>
      <w:r>
        <w:t>Ближайшая содержательная задача</w:t>
      </w:r>
    </w:p>
    <w:p>
      <w:pPr/>
      <w:r>
        <w:t>Для KASVD следующий шаг — связать точное математическое ядро с графом конкретного источника. Требуется проверить извлечение связей, объяснить выбор допустимых преобразований и оценить информацию, теряющуюся при матричном кодировании. Затем можно переходить к независимым корпусам и заранее зафиксированным испытаниям. Эти задачи определяют путь к прикладной предсказательной системе. [3]</w:t>
      </w:r>
    </w:p>
    <w:p>
      <w:pPr>
        <w:pStyle w:val="Heading2"/>
      </w:pPr>
      <w:r>
        <w:t>Как читать текущие результаты</w:t>
      </w:r>
    </w:p>
    <w:p>
      <w:pPr/>
      <w:r>
        <w:t>В проекте уже есть математические утверждения с явно заданными условиями и программные проверки на синтетических данных. Независимая проверка прогнозирования реальных событий остаётся предстоящей работой. Поэтому сохраняются SCIENCE=ABSTAIN, EXT_RUN=NOT_RUN, truth_layer_promotion=0; химическая гипотеза DHC_chem имеет статус OPEN-NOT-CONFIRMED. ABSTAIN означает, что для конкретного научного вывода пока недостаточно оснований. Эти обозначения помогают точно понимать этап исследования.</w:t>
      </w:r>
    </w:p>
    <w:p>
      <w:pPr>
        <w:pStyle w:val="Heading2"/>
      </w:pPr>
      <w:r>
        <w:t>Приглашение к знакомству и совместной проверке</w:t>
      </w:r>
    </w:p>
    <w:p>
      <w:pPr/>
      <w:r>
        <w:t>Начать можно с авторского архива kurpishev.com: выбрать близкое направление, прочитать статью и сформулировать вопрос к её основаниям. Проекту полезны содержательные рецензии, проверяемые контрпримеры, предложения по корпусам и воспроизводимым испытаниям. Для обсуждения с автором: me@kurpishev.ru.</w:t>
      </w:r>
    </w:p>
    <w:p>
      <w:pPr/>
      <w:r>
        <w:t>«ЛОГИКА КУРПИШЕВА 2» развивается как программа исследования того, как знание получает опору и становится доступным для проверки. KASVD делает один из её математических участков вычислимым. Участие специалистов разных дисциплин поможет установить, где эти конструкции дают полезный результат и какие новые вопросы они открывают.</w:t>
      </w:r>
    </w:p>
    <w:p>
      <w:pPr>
        <w:pStyle w:val="Heading1"/>
        <w:pageBreakBefore/>
      </w:pPr>
      <w:r>
        <w:t>Материалы для дальнейшего знакомства</w:t>
      </w:r>
    </w:p>
    <w:p>
      <w:pPr/>
      <w:r>
        <w:t>Ниже приведены источники результатов и путь к более подробному чтению. Датированные материалы проекта описывают авторские доказательства и проверки в указанных пределах; их перечисление не означает независимого рецензирования.</w:t>
      </w:r>
    </w:p>
    <w:p>
      <w:pPr>
        <w:pStyle w:val="Reference"/>
      </w:pPr>
      <w:r>
        <w:t>[1] Курпишев И. Б. Спектральная геометрия KASVD и семимерные антикоммутативные алгебры. Матричный мост для реперных артефактов KLT-RBD. R4, 01.10.2026. KASVD_​R4_​RU.tex, §§2–5, 8, 11–12.</w:t>
      </w:r>
    </w:p>
    <w:p>
      <w:pPr>
        <w:pStyle w:val="Reference"/>
      </w:pPr>
      <w:r>
        <w:t>[2] Курпишев И. Б. Hodge–KASVD Descent on Additive Obstruction Cohomology, R4-H; Equivariant Hodge–KASVD Descent, R4-I. Отчёты v1.0 от 02.10.2026. Условия выбора представителя и допустимых преобразований.</w:t>
      </w:r>
    </w:p>
    <w:p>
      <w:pPr>
        <w:pStyle w:val="Reference"/>
      </w:pPr>
      <w:r>
        <w:t>[3] Курпишев И. Б. Quotient Spectral Geometry, R4-J; Полная сигнатура реперных препятствий, R4-K. 02.10.2026. R4K_​REPORT_​RU.tex, особенно §§3, 9–11. Полнота в фиксированной модели и пределы включения в программы.</w:t>
      </w:r>
    </w:p>
    <w:p>
      <w:pPr>
        <w:pStyle w:val="Reference"/>
      </w:pPr>
      <w:r>
        <w:t>[4] R4K_​SELFTEST.txt. Журнал 42 синтетических тестов, 02.10.2026. Здесь приводится результат сохранённого журнала, без повторного исполнения.</w:t>
      </w:r>
    </w:p>
    <w:p>
      <w:pPr>
        <w:pStyle w:val="Reference"/>
      </w:pPr>
      <w:r>
        <w:t>[5] Курпишев И. Б. Unified Mathematical Program Analysis Kernel. R4-C, v1.0, 01.10.2026. LK2_​R4C_​UNIFIED_​MATHEMATICAL_​PROGRAM_​ANALYSIS_​REPORT_​v1_​0.md. Типы, основания, ошибка и идентифицируемость.</w:t>
      </w:r>
    </w:p>
    <w:p>
      <w:pPr>
        <w:pStyle w:val="Reference"/>
      </w:pPr>
      <w:r>
        <w:t>[6] Контрольные точки KLT_​M4_​SOURCE_​ADOPTION_​RU_​20260927_​v1_​1.md, CONTINUE_​RUN042.md, KLT_​M4_​RELEASE_​REPORT_​RU_​20260929_​v1_​0.md и KLT6_​1_​05_​5_​RECHECK_​RU.md. Источники и инженерное состояние конца сентября.</w:t>
      </w:r>
    </w:p>
    <w:p>
      <w:pPr>
        <w:pStyle w:val="Reference"/>
      </w:pPr>
      <w:r>
        <w:t>[7] Дайджесты проекта от 18 и 25 сентября 2026. Документальная ретроспектива, включая корпус ARBD и досье SE3. Сведения сентября в настоящем выпуске пересказаны по этим ранее подготовленным обзорам; полный повторный аудит их первичных материалов не выполнялся.</w:t>
      </w:r>
    </w:p>
    <w:p>
      <w:pPr>
        <w:pStyle w:val="Reference"/>
      </w:pPr>
      <w:r>
        <w:t>[8] Категорические силлогизмы в 2D и 3D. KLT–SYL–DK v1.1, 17.09.2026; KLT_​M2_​CONTINUE_​SYL_​V1_​1_​FULL.md. См. представление и источники в дайджесте от 18.09.2026.</w:t>
      </w:r>
    </w:p>
    <w:p>
      <w:pPr>
        <w:pStyle w:val="Reference"/>
      </w:pPr>
      <w:r>
        <w:t xml:space="preserve">[9] Lim L.-H. Hodge Laplacians on graphs. arXiv:1507.05379v4, 2019. Классический математический контекст. </w:t>
      </w:r>
      <w:hyperlink r:id="rId12">
        <w:r>
          <w:rPr>
            <w:rFonts w:ascii="Nimbus Roman" w:hAnsi="Nimbus Roman" w:eastAsia="Nimbus Roman"/>
            <w:color w:val="204D72"/>
            <w:sz w:val="19"/>
          </w:rPr>
          <w:t>https://arxiv.org/abs/1507.05379v4</w:t>
        </w:r>
      </w:hyperlink>
      <w:r/>
    </w:p>
    <w:p>
      <w:pPr>
        <w:pStyle w:val="Reference"/>
      </w:pPr>
      <w:r>
        <w:t xml:space="preserve">[10] Авторский научный архив. Раздел о принципе неопределённости Курпишева ПН.2. </w:t>
      </w:r>
      <w:hyperlink r:id="rId13">
        <w:r>
          <w:rPr>
            <w:rFonts w:ascii="Nimbus Roman" w:hAnsi="Nimbus Roman" w:eastAsia="Nimbus Roman"/>
            <w:color w:val="204D72"/>
            <w:sz w:val="19"/>
          </w:rPr>
          <w:t>https://kurpishev.com/.</w:t>
        </w:r>
      </w:hyperlink>
      <w:r>
        <w:t xml:space="preserve"> Дата обращения 04.10.2026.</w:t>
      </w:r>
    </w:p>
    <w:p>
      <w:pPr>
        <w:pStyle w:val="Heading2"/>
      </w:pPr>
      <w:r>
        <w:t>Навигация по проекту</w:t>
      </w:r>
    </w:p>
    <w:p>
      <w:pPr>
        <w:spacing w:after="80"/>
      </w:pPr>
      <w:hyperlink r:id="rId14">
        <w:r>
          <w:rPr>
            <w:rFonts w:ascii="Nimbus Roman" w:hAnsi="Nimbus Roman" w:eastAsia="Nimbus Roman"/>
            <w:color w:val="204D72"/>
            <w:sz w:val="21"/>
          </w:rPr>
          <w:t>Авторский научный архив и публикации</w:t>
        </w:r>
      </w:hyperlink>
    </w:p>
    <w:p>
      <w:pPr>
        <w:spacing w:after="80"/>
      </w:pPr>
      <w:hyperlink r:id="rId15">
        <w:r>
          <w:rPr>
            <w:rFonts w:ascii="Nimbus Roman" w:hAnsi="Nimbus Roman" w:eastAsia="Nimbus Roman"/>
            <w:color w:val="204D72"/>
            <w:sz w:val="21"/>
          </w:rPr>
          <w:t>KLT RBDv6 Analyzer</w:t>
        </w:r>
      </w:hyperlink>
    </w:p>
    <w:p>
      <w:pPr>
        <w:spacing w:after="80"/>
      </w:pPr>
      <w:hyperlink r:id="rId16">
        <w:r>
          <w:rPr>
            <w:rFonts w:ascii="Nimbus Roman" w:hAnsi="Nimbus Roman" w:eastAsia="Nimbus Roman"/>
            <w:color w:val="204D72"/>
            <w:sz w:val="21"/>
          </w:rPr>
          <w:t>KLT MATDES</w:t>
        </w:r>
      </w:hyperlink>
    </w:p>
    <w:p>
      <w:pPr>
        <w:pStyle w:val="Caption"/>
      </w:pPr>
      <w:r>
        <w:t>Адреса программ приведены для знакомства; этот выпуск не является актом их браузерной или аппаратной приёмки. Выпуск от 02.10.2026 переработан 04.10.2026. Результаты R4-K, зафиксированные вечером 2 октября, включены в расширенную редакцию. Учебные примеры специально созданы для объяснения метода.</w:t>
      </w:r>
    </w:p>
    <w:sectPr w:rsidR="00FC693F" w:rsidRPr="0006063C" w:rsidSect="00034616">
      <w:headerReference w:type="default" r:id="rId9"/>
      <w:footerReference w:type="default" r:id="rId10"/>
      <w:pgSz w:w="11906" w:h="16838"/>
      <w:pgMar w:top="1020" w:right="1077" w:bottom="1020" w:left="1077"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v1.2 • RU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ЛОГИКА КУРПИШЕВА 2 • Дайджест • 02.10.2026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06" w:lineRule="exact" w:after="140"/>
    </w:pPr>
    <w:rPr>
      <w:rFonts w:ascii="Nimbus Roman" w:hAnsi="Nimbus Roman" w:eastAsia="Nimbus Roman" w:cs="Nimbus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eastAsia="DejaVu Sans" w:cs="DejaVu Sans"/>
      <w:b w:val="0"/>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eastAsia="DejaVu Sans" w:cs="DejaVu Sans"/>
      <w:b w:val="0"/>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80" w:line="460" w:lineRule="exact"/>
      <w:outlineLvl w:val="0"/>
    </w:pPr>
    <w:rPr>
      <w:rFonts w:ascii="DejaVu Sans" w:hAnsi="DejaVu Sans" w:eastAsia="DejaVu Sans" w:cs="DejaVu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00" w:after="160" w:line="340" w:lineRule="exact"/>
      <w:outlineLvl w:val="1"/>
    </w:pPr>
    <w:rPr>
      <w:rFonts w:ascii="DejaVu Sans" w:hAnsi="DejaVu Sans" w:eastAsia="DejaVu Sans" w:cs="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620" w:lineRule="exact" w:before="0"/>
      <w:contextualSpacing/>
    </w:pPr>
    <w:rPr>
      <w:rFonts w:ascii="DejaVu Sans" w:hAnsi="DejaVu Sans" w:eastAsia="DejaVu Sans" w:cs="DejaVu Sans"/>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380" w:lineRule="exact"/>
    </w:pPr>
    <w:rPr>
      <w:rFonts w:ascii="DejaVu Sans" w:hAnsi="DejaVu Sans" w:eastAsia="DejaVu Sans" w:cs="DejaVu Sans"/>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44" w:lineRule="exact" w:after="160"/>
    </w:pPr>
    <w:rPr>
      <w:rFonts w:ascii="DejaVu Sans" w:hAnsi="DejaVu Sans" w:eastAsia="DejaVu Sans" w:cs="DejaVu Sans"/>
      <w:b w:val="0"/>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keepNext w:val="0"/>
      <w:spacing w:after="140" w:line="252" w:lineRule="exact"/>
    </w:pPr>
    <w:rPr>
      <w:rFonts w:ascii="Nimbus Roman" w:hAnsi="Nimbus Roman" w:eastAsia="Nimbus Roman" w:cs="Nimbus Roman"/>
      <w:b w:val="0"/>
      <w:color w:val="000000"/>
      <w:sz w:val="19"/>
    </w:rPr>
  </w:style>
  <w:style w:type="paragraph" w:customStyle="1" w:styleId="TableText">
    <w:name w:val="Table Text"/>
    <w:pPr>
      <w:keepNext w:val="0"/>
      <w:spacing w:line="266" w:lineRule="exact"/>
    </w:pPr>
    <w:rPr>
      <w:rFonts w:ascii="Nimbus Roman" w:hAnsi="Nimbus Roman" w:eastAsia="Nimbus Roman" w:cs="Nimbus Roman"/>
      <w:b w:val="0"/>
      <w:color w:val="000000"/>
      <w:sz w:val="20"/>
    </w:rPr>
  </w:style>
  <w:style w:type="paragraph" w:customStyle="1" w:styleId="Metadata">
    <w:name w:val="Metadata"/>
    <w:pPr>
      <w:keepNext w:val="0"/>
      <w:spacing w:after="100" w:line="250" w:lineRule="exact"/>
    </w:pPr>
    <w:rPr>
      <w:rFonts w:ascii="Nimbus Roman" w:hAnsi="Nimbus Roman" w:eastAsia="Nimbus Roman" w:cs="Nimbus Roman"/>
      <w:b w:val="0"/>
      <w:color w:val="000000"/>
      <w:sz w:val="18"/>
    </w:rPr>
  </w:style>
  <w:style w:type="paragraph" w:customStyle="1" w:styleId="Lead">
    <w:name w:val="Lead"/>
    <w:pPr>
      <w:keepNext w:val="0"/>
      <w:spacing w:after="200" w:line="330" w:lineRule="exact"/>
    </w:pPr>
    <w:rPr>
      <w:rFonts w:ascii="Nimbus Roman" w:hAnsi="Nimbus Roman" w:eastAsia="Nimbus Roman" w:cs="Nimbus Roman"/>
      <w:b w:val="0"/>
      <w:color w:val="00000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arxiv.org/abs/1507.05379v4" TargetMode="External"/><Relationship Id="rId13" Type="http://schemas.openxmlformats.org/officeDocument/2006/relationships/hyperlink" Target="https://kurpishev.com/." TargetMode="External"/><Relationship Id="rId14" Type="http://schemas.openxmlformats.org/officeDocument/2006/relationships/hyperlink" Target="https://kurpishev.com/" TargetMode="External"/><Relationship Id="rId15" Type="http://schemas.openxmlformats.org/officeDocument/2006/relationships/hyperlink" Target="https://klt-rbdv6-analyzer.workspace-406992.chatgpt.site/" TargetMode="External"/><Relationship Id="rId16" Type="http://schemas.openxmlformats.org/officeDocument/2006/relationships/hyperlink" Target="https://klt-matdes.workspace-406992.chatgpt.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ЛОГИКА КУРПИШЕВА 2 — Как устроены основания знания и проверяемого прогноза</dc:title>
  <dc:subject>Научно-популярный дайджест • 2 октября 2026 • Выпуск 3</dc:subject>
  <dc:creator>Ivan Borisovich Kurpishev</dc:creator>
  <cp:keywords/>
  <dc:description>generated by python-docx</dc:description>
  <cp:lastModifiedBy/>
  <cp:revision>1</cp:revision>
  <dcterms:created xsi:type="dcterms:W3CDTF">2013-12-23T23:15:00Z</dcterms:created>
  <dcterms:modified xsi:type="dcterms:W3CDTF">2013-12-23T23:15:00Z</dcterms:modified>
  <cp:category/>
  <dc:language>ru-RU</dc:language>
</cp:coreProperties>
</file>