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LOGIC OF KURPISHEV 2</w:t>
      </w:r>
    </w:p>
    <w:p>
      <w:pPr>
        <w:pStyle w:val="Subtitle"/>
      </w:pPr>
      <w:r>
        <w:t>Understanding the grounds of knowledge and testable prediction</w:t>
      </w:r>
    </w:p>
    <w:p>
      <w:pPr>
        <w:pStyle w:val="Metadata"/>
      </w:pPr>
      <w:r>
        <w:t>Research digest for a general audience • 2 October 2026 • Issue 3</w:t>
      </w:r>
    </w:p>
    <w:p>
      <w:pPr>
        <w:pStyle w:val="Metadata"/>
      </w:pPr>
      <w:r>
        <w:t>Highlights of 25 September to 2 October and a look at recent weeks</w:t>
        <w:br/>
        <w:t>Expanded edition of 4 October 2026 • v1.2</w:t>
      </w:r>
    </w:p>
    <w:p>
      <w:pPr>
        <w:pStyle w:val="Metadata"/>
        <w:spacing w:after="320"/>
      </w:pPr>
      <w:r>
        <w:t>Scientific project by Ivan Borisovich Kurpishev</w:t>
        <w:br/>
        <w:t>Kaliningrad • kurpishev.com</w:t>
      </w:r>
    </w:p>
    <w:p>
      <w:pPr>
        <w:pStyle w:val="Heading1"/>
      </w:pPr>
      <w:r>
        <w:t>A project for readers who want to understand how conclusions are grounded</w:t>
      </w:r>
    </w:p>
    <w:p>
      <w:pPr>
        <w:pStyle w:val="Lead"/>
      </w:pPr>
      <w:r>
        <w:t>Behind a research paper, student essay or forecast lies a sequence of steps: from observation to concept, from concept to judgment, and from judgment to a decision. LOGIC OF KURPISHEV 2 aims to make that sequence visible, mathematically tractable and open to scrutiny.</w:t>
      </w:r>
    </w:p>
    <w:p>
      <w:pPr/>
      <w:r>
        <w:t>Readers now encounter enormous volumes of text and data. A convincing formulation is relatively easy to find. Establishing which objects it concerns, what supports it and what would make us revise it is much harder. Ivan Borisovich Kurpishev places this work at the centre of his research programme.</w:t>
      </w:r>
    </w:p>
    <w:p>
      <w:pPr/>
      <w:r>
        <w:t>The project connects logic and the philosophy of knowledge with projective geometry, nonassociative mathematics and analytical software. Its applied goal is a predictive reper-based projective-harmonic method for studying events and states. Mathematics, physics and chemistry are the principal scientific directions; education, biology and economics are among the prospective applications. Each field will require its own measurement model and tests using suitable data.</w:t>
      </w:r>
    </w:p>
    <w:p>
      <w:pPr/>
      <w:r>
        <w:t>In recent weeks the programme has gained a more explicit computational form. Work continues on KLT-RBD, the authorial reper database ARBD, the text analyzer and the materials research direction KLT-MATDES. The central new topic of this issue is KASVD: a research engine that converts a specified network of relationships into a compact matrix and spectral passport. [1–5]</w:t>
      </w:r>
    </w:p>
    <w:p>
      <w:pPr/>
      <w:r>
        <w:t>This issue follows the path of an investigation. We begin with an accessible example, introduce the tools and then discuss the mathematical advances. Readers can see what has been built, where it may be useful and what work the project invites future participants to undertake.</w:t>
      </w:r>
    </w:p>
    <w:p>
      <w:pPr/>
      <w:r>
        <w:t>An interest in how people justify their conclusions is enough to begin. Formal training becomes useful for those who wish to move from this overview to the papers, underlying data and computational checks.</w:t>
      </w:r>
    </w:p>
    <w:p>
      <w:pPr>
        <w:pStyle w:val="Heading1"/>
        <w:pageBreakBefore/>
      </w:pPr>
      <w:r>
        <w:t>The reper method through a simple example</w:t>
      </w:r>
    </w:p>
    <w:p>
      <w:pPr/>
      <w:r>
        <w:t>Consider a sentence in a report: “The new material is more stable than the previous one.” It sounds informative, yet important questions remain. What does stability mean here? What is the comparison sample? At what temperature, load and test duration? Where are the measurements? Until these relationships are specified, identical words may conceal different claims.</w:t>
      </w:r>
    </w:p>
    <w:p>
      <w:pPr/>
      <w:r>
        <w:t>The reper approach connects a claim with its reference points. A reper can be understood as a structured point of reference for relating an object, its relationships and the conditions under which it is considered. In the project’s formalism, interconnected components R, I and U are accompanied by ground D. The practical point is that a conclusion acquires a defined domain of applicability and support that can be checked in its source. [1, 5]</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10" w:type="dxa"/>
          <w:right w:w="110" w:type="dxa"/>
        </w:tblCellMar>
      </w:tblPr>
      <w:tblGrid>
        <w:gridCol w:w="3288"/>
        <w:gridCol w:w="6463"/>
      </w:tblGrid>
      <w:tr>
        <w:trPr>
          <w:tblHeader/>
          <w:cantSplit/>
        </w:trPr>
        <w:tc>
          <w:tcPr>
            <w:tcW w:type="dxa" w:w="3288"/>
            <w:vAlign w:val="center"/>
            <w:shd w:fill="E6EDF2"/>
          </w:tcPr>
          <w:p>
            <w:pPr>
              <w:pStyle w:val="TableText"/>
              <w:keepNext w:val="0"/>
              <w:spacing w:after="0"/>
            </w:pPr>
            <w:r>
              <w:rPr>
                <w:b/>
              </w:rPr>
              <w:t>Question about the claim</w:t>
            </w:r>
          </w:p>
        </w:tc>
        <w:tc>
          <w:tcPr>
            <w:tcW w:type="dxa" w:w="6463"/>
            <w:vAlign w:val="center"/>
            <w:shd w:fill="E6EDF2"/>
          </w:tcPr>
          <w:p>
            <w:pPr>
              <w:pStyle w:val="TableText"/>
              <w:keepNext w:val="0"/>
              <w:spacing w:after="0"/>
            </w:pPr>
            <w:r>
              <w:rPr>
                <w:b/>
              </w:rPr>
              <w:t>What must be made explicit</w:t>
            </w:r>
          </w:p>
        </w:tc>
      </w:tr>
      <w:tr>
        <w:trPr>
          <w:cantSplit/>
        </w:trPr>
        <w:tc>
          <w:tcPr>
            <w:tcW w:type="dxa" w:w="3288"/>
            <w:vAlign w:val="center"/>
            <w:shd w:fill="FFFFFF"/>
          </w:tcPr>
          <w:p>
            <w:pPr>
              <w:pStyle w:val="TableText"/>
              <w:keepNext w:val="0"/>
              <w:spacing w:after="0"/>
            </w:pPr>
            <w:r>
              <w:rPr>
                <w:b w:val="0"/>
              </w:rPr>
              <w:t>Which object is involved</w:t>
            </w:r>
          </w:p>
        </w:tc>
        <w:tc>
          <w:tcPr>
            <w:tcW w:type="dxa" w:w="6463"/>
            <w:vAlign w:val="center"/>
            <w:shd w:fill="FFFFFF"/>
          </w:tcPr>
          <w:p>
            <w:pPr>
              <w:pStyle w:val="TableText"/>
              <w:keepNext w:val="0"/>
              <w:spacing w:after="0"/>
            </w:pPr>
            <w:r>
              <w:rPr>
                <w:b w:val="0"/>
              </w:rPr>
              <w:t>Material, sample, state and preparation method</w:t>
            </w:r>
          </w:p>
        </w:tc>
      </w:tr>
      <w:tr>
        <w:trPr>
          <w:cantSplit/>
        </w:trPr>
        <w:tc>
          <w:tcPr>
            <w:tcW w:type="dxa" w:w="3288"/>
            <w:vAlign w:val="center"/>
            <w:shd w:fill="F6F8FA"/>
          </w:tcPr>
          <w:p>
            <w:pPr>
              <w:pStyle w:val="TableText"/>
              <w:keepNext w:val="0"/>
              <w:spacing w:after="0"/>
            </w:pPr>
            <w:r>
              <w:rPr>
                <w:b w:val="0"/>
              </w:rPr>
              <w:t>What stability means</w:t>
            </w:r>
          </w:p>
        </w:tc>
        <w:tc>
          <w:tcPr>
            <w:tcW w:type="dxa" w:w="6463"/>
            <w:vAlign w:val="center"/>
            <w:shd w:fill="F6F8FA"/>
          </w:tcPr>
          <w:p>
            <w:pPr>
              <w:pStyle w:val="TableText"/>
              <w:keepNext w:val="0"/>
              <w:spacing w:after="0"/>
            </w:pPr>
            <w:r>
              <w:rPr>
                <w:b w:val="0"/>
              </w:rPr>
              <w:t>Measured quantity, units and comparison rule</w:t>
            </w:r>
          </w:p>
        </w:tc>
      </w:tr>
      <w:tr>
        <w:trPr>
          <w:cantSplit/>
        </w:trPr>
        <w:tc>
          <w:tcPr>
            <w:tcW w:type="dxa" w:w="3288"/>
            <w:vAlign w:val="center"/>
            <w:shd w:fill="FFFFFF"/>
          </w:tcPr>
          <w:p>
            <w:pPr>
              <w:pStyle w:val="TableText"/>
              <w:keepNext w:val="0"/>
              <w:spacing w:after="0"/>
            </w:pPr>
            <w:r>
              <w:rPr>
                <w:b w:val="0"/>
              </w:rPr>
              <w:t>When the conclusion applies</w:t>
            </w:r>
          </w:p>
        </w:tc>
        <w:tc>
          <w:tcPr>
            <w:tcW w:type="dxa" w:w="6463"/>
            <w:vAlign w:val="center"/>
            <w:shd w:fill="FFFFFF"/>
          </w:tcPr>
          <w:p>
            <w:pPr>
              <w:pStyle w:val="TableText"/>
              <w:keepNext w:val="0"/>
              <w:spacing w:after="0"/>
            </w:pPr>
            <w:r>
              <w:rPr>
                <w:b w:val="0"/>
              </w:rPr>
              <w:t>Temperature, load, environment and duration</w:t>
            </w:r>
          </w:p>
        </w:tc>
      </w:tr>
      <w:tr>
        <w:trPr>
          <w:cantSplit/>
        </w:trPr>
        <w:tc>
          <w:tcPr>
            <w:tcW w:type="dxa" w:w="3288"/>
            <w:vAlign w:val="center"/>
            <w:shd w:fill="F6F8FA"/>
          </w:tcPr>
          <w:p>
            <w:pPr>
              <w:pStyle w:val="TableText"/>
              <w:keepNext w:val="0"/>
              <w:spacing w:after="0"/>
            </w:pPr>
            <w:r>
              <w:rPr>
                <w:b w:val="0"/>
              </w:rPr>
              <w:t>What supports the claim</w:t>
            </w:r>
          </w:p>
        </w:tc>
        <w:tc>
          <w:tcPr>
            <w:tcW w:type="dxa" w:w="6463"/>
            <w:vAlign w:val="center"/>
            <w:shd w:fill="F6F8FA"/>
          </w:tcPr>
          <w:p>
            <w:pPr>
              <w:pStyle w:val="TableText"/>
              <w:keepNext w:val="0"/>
              <w:spacing w:after="0"/>
            </w:pPr>
            <w:r>
              <w:rPr>
                <w:b w:val="0"/>
              </w:rPr>
              <w:t>Protocol, data, source and uncertainty</w:t>
            </w:r>
          </w:p>
        </w:tc>
      </w:tr>
    </w:tbl>
    <w:p>
      <w:pPr>
        <w:spacing w:after="20" w:before="0" w:line="40" w:lineRule="exact"/>
      </w:pPr>
      <w:r>
        <w:rPr>
          <w:sz w:val="4"/>
        </w:rPr>
      </w:r>
    </w:p>
    <w:p>
      <w:pPr/>
      <w:r>
        <w:t>Clarification produces a testable statement: “Under the specified test conditions, sample A retained the stated property longer than sample B; the protocol contains the underlying data and uncertainties.” This is a teaching example, not a report of experimental success by the project. It illustrates how a broad claim becomes something another researcher can examine.</w:t>
      </w:r>
    </w:p>
    <w:p>
      <w:pPr>
        <w:pStyle w:val="Heading2"/>
      </w:pPr>
      <w:r>
        <w:t>Why geometry is involved</w:t>
      </w:r>
    </w:p>
    <w:p>
      <w:pPr/>
      <w:r>
        <w:t>The projective-harmonic direction studies relationships preserved by particular changes of representation. An everyday analogy is a diagram redrawn while keeping its essential connections. Mathematics specifies the permitted transformations and preserved quantities precisely. Two different pictures may therefore express one structure, while visually similar diagrams may express different relationships.</w:t>
      </w:r>
    </w:p>
    <w:p>
      <w:pPr/>
      <w:r>
        <w:t>KLT is associated with Kurpishev’s authorial concept of lambda-truth. Geometric consistency must be related separately to the grounds of a particular claim. Preserving a cross-ratio under a projective transformation, for instance, does not itself verify a chemical experiment. Connecting formal structure to its source is a substantive research task. [1, 8]</w:t>
      </w:r>
    </w:p>
    <w:p>
      <w:pPr>
        <w:pStyle w:val="Heading1"/>
        <w:pageBreakBefore/>
      </w:pPr>
      <w:r>
        <w:t>Giving a text a map of its grounds</w:t>
      </w:r>
    </w:p>
    <w:p>
      <w:pPr/>
      <w:r>
        <w:t>In the KLT-RBD design, an analytical result should let a reader trace a conclusion back to a specific source passage. If a program identifies a gap in reasoning, readers need the passage, its location and an explanation of the step requiring support. Such a map is especially useful when the same expression changes meaning across chapters or disciplines.</w:t>
      </w:r>
    </w:p>
    <w:p>
      <w:pPr>
        <w:pStyle w:val="Heading2"/>
      </w:pPr>
      <w:r>
        <w:t>KLT RBD and ARBD</w:t>
      </w:r>
    </w:p>
    <w:p>
      <w:pPr/>
      <w:r>
        <w:t>KLT-RBD organises the memory of an investigation: repers, their relationships, grounds, versions and limitations. ARBD develops an authorial corpus of repers and interpretations. In the work on Kant, this entails attention to context, translation and the difference between the author’s words, scholarly commentary and a reader’s interpretation. Several translations of one work also cannot automatically be treated as independent observations. [7]</w:t>
      </w:r>
    </w:p>
    <w:p>
      <w:pPr/>
      <w:r>
        <w:t>Imagine a student essay in which “freedom” first means absence of external coercion and later means an independent ground of moral action. A reper map could help locate this transition and suggest clarification. The difference may be a deliberate and meaningful move by the writer; analysis should make it explainable. This example illustrates an intended use, rather than a completed automated trial.</w:t>
      </w:r>
    </w:p>
    <w:p>
      <w:pPr/>
      <w:r>
        <w:t>For a teacher, the system is conceived as an aid to preparing a detailed assessment checklist. For a researcher, it offers a way to compare definitions and grounds across a large corpus. For a developer, it offers a way to connect machine actions to explicit inputs, admissible domains and verification outcomes. The completeness of automated semantic analysis still needs testing on independently annotated texts.</w:t>
      </w:r>
    </w:p>
    <w:p>
      <w:pPr>
        <w:pStyle w:val="Heading2"/>
      </w:pPr>
      <w:r>
        <w:t>What recent work has contributed</w:t>
      </w:r>
    </w:p>
    <w:p>
      <w:pPr/>
      <w:r>
        <w:t>The September digest presented two- and three-dimensional diagrams of Barbara, Celarent, Darii and Ferio. They make visible the inclusions and witness objects supporting classical logical inference. The accompanying mathematics explains why reversing an image does not turn “all M are P” into the converse statement. [7, 8]</w:t>
      </w:r>
    </w:p>
    <w:p>
      <w:pPr/>
      <w:r>
        <w:t>This direction meets the PN.2 investigation at a shared question: does the observable information suffice to distinguish possible outcomes? A hidden structure of operations may leave several possibilities admissible. A future analyzer could usefully indicate which further ground or observation would distinguish them. Physical interpretation of this mathematical question remains a separate line of verification. [5, 10]</w:t>
      </w:r>
    </w:p>
    <w:p>
      <w:pPr>
        <w:pStyle w:val="Heading1"/>
        <w:pageBreakBefore/>
      </w:pPr>
      <w:r>
        <w:t>KASVD as a spectral passport of structure</w:t>
      </w:r>
    </w:p>
    <w:p>
      <w:pPr>
        <w:pStyle w:val="Lead"/>
      </w:pPr>
      <w:r>
        <w:t>KASVD adds a compact description of an already constructed reper structure and a way to investigate its changes. It supplies a new computational layer between a detailed relationship map and the comparison of mathematical models.</w:t>
      </w:r>
    </w:p>
    <w:p>
      <w:pPr/>
      <w:r>
        <w:t>The mathematical kernel receives a finite graph with specified relationship types and weights. Declared rules convert it into a matrix of nine numbers arranged in three rows and three columns. Singular value decomposition extracts three nonnegative numbers describing independent directions of that matrix’s action. Their ratios form the KASVD passport, while overall scale is recorded separately. [1]</w:t>
      </w:r>
    </w:p>
    <w:p>
      <w:pPr/>
      <w:r>
        <w:t>Consider two illustrative diagonal matrices. Their diagonals are 4, 2, 1 and 4, 2, 0. The normalised coordinates are respectively (0.5, 0.25) and (0.5, 0). The figure shows the second point on the boundary where a third independent direction is absent.</w:t>
      </w:r>
    </w:p>
    <w:p>
      <w:pPr>
        <w:keepNext/>
        <w:spacing w:after="40" w:line="240" w:lineRule="auto"/>
        <w:jc w:val="center"/>
      </w:pPr>
      <w:r>
        <w:drawing>
          <wp:inline xmlns:a="http://schemas.openxmlformats.org/drawingml/2006/main" xmlns:pic="http://schemas.openxmlformats.org/drawingml/2006/picture">
            <wp:extent cx="5976000" cy="2090868"/>
            <wp:docPr id="1" name="Picture 1" descr="KASVD admissible region with illustrative points A and B"/>
            <wp:cNvGraphicFramePr>
              <a:graphicFrameLocks noChangeAspect="1"/>
            </wp:cNvGraphicFramePr>
            <a:graphic>
              <a:graphicData uri="http://schemas.openxmlformats.org/drawingml/2006/picture">
                <pic:pic>
                  <pic:nvPicPr>
                    <pic:cNvPr id="0" name="kasvd_EN.png"/>
                    <pic:cNvPicPr/>
                  </pic:nvPicPr>
                  <pic:blipFill>
                    <a:blip r:embed="rId11"/>
                    <a:stretch>
                      <a:fillRect/>
                    </a:stretch>
                  </pic:blipFill>
                  <pic:spPr>
                    <a:xfrm>
                      <a:off x="0" y="0"/>
                      <a:ext cx="5976000" cy="2090868"/>
                    </a:xfrm>
                    <a:prstGeom prst="rect"/>
                  </pic:spPr>
                </pic:pic>
              </a:graphicData>
            </a:graphic>
          </wp:inline>
        </w:drawing>
      </w:r>
    </w:p>
    <w:p>
      <w:pPr>
        <w:pStyle w:val="Caption"/>
      </w:pPr>
      <w:r>
        <w:t>An illustrative KASVD example. The admissible region satisfies 0 ≤ s₃ ≤ s₂ ≤ 1. The points are calculated from the stated matrices; they are not results of analyzing texts or materials.</w:t>
      </w:r>
    </w:p>
    <w:p>
      <w:pPr/>
      <w:r>
        <w:t>This passport makes it possible to investigate changes in rank, spectral symmetries and stability under small perturbations. A disappearing direction calls for careful interpretation: dependent data or cancellation of weights may explain it. A single zero value cannot establish a semantic error in a text.</w:t>
      </w:r>
    </w:p>
    <w:p>
      <w:pPr/>
      <w:r>
        <w:t>A practical use arises when comparing many models: compact features help select structures for closer examination. Establishing their exact equivalence requires more detailed information. That question became the next subject of the project’s mathematical work. [1, 3]</w:t>
      </w:r>
    </w:p>
    <w:p>
      <w:pPr>
        <w:pStyle w:val="Heading1"/>
        <w:pageBreakBefore/>
      </w:pPr>
      <w:r>
        <w:t>What the new mathematical results change</w:t>
      </w:r>
    </w:p>
    <w:p>
      <w:pPr>
        <w:pStyle w:val="Heading2"/>
      </w:pPr>
      <w:r>
        <w:t>Comparison should reflect essential relationships</w:t>
      </w:r>
    </w:p>
    <w:p>
      <w:pPr/>
      <w:r>
        <w:t>When the same mathematical structure is written in two permitted ways, its diagnostic description should preserve the essential properties. The Hodge–KASVD work supplies a mechanism: select the harmonic representative of a specified class. The name refers to classical Hodge theory. In the finite model it is a precisely defined way to isolate the component that remains after admissible local corrections. [2, 9]</w:t>
      </w:r>
    </w:p>
    <w:p>
      <w:pPr/>
      <w:r>
        <w:t>R4-H proves independence from the chosen representative of an additive class when the complex, metric and encoder are fixed. R4-I specifies compatible changes of numbering, orientation and coordinates. This matters for reproducibility: a change of notation should not silently change the object being compared. Changing label meanings or arbitrarily changing the metric requires a new justification. [2]</w:t>
      </w:r>
    </w:p>
    <w:p>
      <w:pPr>
        <w:pStyle w:val="Heading2"/>
      </w:pPr>
      <w:r>
        <w:t>Matching spectra still need scrutiny</w:t>
      </w:r>
    </w:p>
    <w:p>
      <w:pPr/>
      <w:r>
        <w:t>Think of two collections of objects with the same total mass. One number helps compare them without listing their contents. A spectrum plays a similar role in KASVD. R4-J and R4-K show that matching spectral features may belong to different admissible classes. R4-K therefore constructs an exact signature relative to an explicitly specified finite group of transformations.</w:t>
      </w:r>
    </w:p>
    <w:p>
      <w:pPr/>
      <w:r>
        <w:t>Within this fixed model, equality of canonical representatives exactly characterises membership of the same group orbit. A comparison can include a verifiable transformation serving as a witness. The R4-K log records 42 successful synthetic tests. This is a documented implementation check; the tests were not rerun in preparing this digest. [3, 4]</w:t>
      </w:r>
    </w:p>
    <w:p>
      <w:pPr>
        <w:pStyle w:val="Heading2"/>
      </w:pPr>
      <w:r>
        <w:t>The connection with nonassociative algebra</w:t>
      </w:r>
    </w:p>
    <w:p>
      <w:pPr/>
      <w:r>
        <w:t>The KASVD R4 paper uses the same matrix as a carrier of reper structure and as a block in a special seven-dimensional family of algebras. For this family it proves that the Binary-Lie, Malcev and Sagle properties hold if and only if the matrix parameter is zero. The earlier statement that Sagle remained open for this family has been corrected. The result concerns precisely the construction studied. [1]</w:t>
      </w:r>
    </w:p>
    <w:p>
      <w:pPr/>
      <w:r>
        <w:t>Ivan Borisovich Kurpishev’s authorial contribution lies in constructing and studying these connections within the reper method. Classical SVD and Hodge theory provide tools; the project specifies its own objects, ways of connecting them and questions about admissible transitions. The philosophical interest in the grounds of reasoning thus leads to concrete proof obligations.</w:t>
      </w:r>
    </w:p>
    <w:p>
      <w:pPr>
        <w:pStyle w:val="Heading1"/>
        <w:pageBreakBefore/>
      </w:pPr>
      <w:r>
        <w:t>How the project has developed in recent weeks</w:t>
      </w:r>
    </w:p>
    <w:p>
      <w:pPr/>
      <w:r>
        <w:t>September’s work prepared different parts of one research architecture. Some materials refine the geometry of reasoning, others the memory of sources, and others the rules for future forecast testing. At the turn of September and October, KASVD added spectral and exact structural comparison.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10" w:type="dxa"/>
          <w:right w:w="110" w:type="dxa"/>
        </w:tblCellMar>
      </w:tblPr>
      <w:tblGrid>
        <w:gridCol w:w="1587"/>
        <w:gridCol w:w="3855"/>
        <w:gridCol w:w="4309"/>
      </w:tblGrid>
      <w:tr>
        <w:trPr>
          <w:tblHeader/>
          <w:cantSplit/>
        </w:trPr>
        <w:tc>
          <w:tcPr>
            <w:tcW w:type="dxa" w:w="1587"/>
            <w:vAlign w:val="center"/>
            <w:shd w:fill="E6EDF2"/>
          </w:tcPr>
          <w:p>
            <w:pPr>
              <w:pStyle w:val="TableText"/>
              <w:keepNext w:val="0"/>
              <w:spacing w:after="0"/>
              <w:jc w:val="center"/>
            </w:pPr>
            <w:r>
              <w:rPr>
                <w:b/>
              </w:rPr>
              <w:t>Period</w:t>
            </w:r>
          </w:p>
        </w:tc>
        <w:tc>
          <w:tcPr>
            <w:tcW w:type="dxa" w:w="3855"/>
            <w:vAlign w:val="center"/>
            <w:shd w:fill="E6EDF2"/>
          </w:tcPr>
          <w:p>
            <w:pPr>
              <w:pStyle w:val="TableText"/>
              <w:keepNext w:val="0"/>
              <w:spacing w:after="0"/>
            </w:pPr>
            <w:r>
              <w:rPr>
                <w:b/>
              </w:rPr>
              <w:t>Documented step</w:t>
            </w:r>
          </w:p>
        </w:tc>
        <w:tc>
          <w:tcPr>
            <w:tcW w:type="dxa" w:w="4309"/>
            <w:vAlign w:val="center"/>
            <w:shd w:fill="E6EDF2"/>
          </w:tcPr>
          <w:p>
            <w:pPr>
              <w:pStyle w:val="TableText"/>
              <w:keepNext w:val="0"/>
              <w:spacing w:after="0"/>
            </w:pPr>
            <w:r>
              <w:rPr>
                <w:b/>
              </w:rPr>
              <w:t>Why it matters to readers</w:t>
            </w:r>
          </w:p>
        </w:tc>
      </w:tr>
      <w:tr>
        <w:trPr>
          <w:cantSplit/>
        </w:trPr>
        <w:tc>
          <w:tcPr>
            <w:tcW w:type="dxa" w:w="1587"/>
            <w:vAlign w:val="center"/>
            <w:shd w:fill="FFFFFF"/>
          </w:tcPr>
          <w:p>
            <w:pPr>
              <w:pStyle w:val="TableText"/>
              <w:keepNext w:val="0"/>
              <w:spacing w:after="0"/>
              <w:jc w:val="center"/>
            </w:pPr>
            <w:r>
              <w:rPr>
                <w:b w:val="0"/>
              </w:rPr>
              <w:t>11–18 September</w:t>
            </w:r>
          </w:p>
        </w:tc>
        <w:tc>
          <w:tcPr>
            <w:tcW w:type="dxa" w:w="3855"/>
            <w:vAlign w:val="center"/>
            <w:shd w:fill="FFFFFF"/>
          </w:tcPr>
          <w:p>
            <w:pPr>
              <w:pStyle w:val="TableText"/>
              <w:keepNext w:val="0"/>
              <w:spacing w:after="0"/>
            </w:pPr>
            <w:r>
              <w:rPr>
                <w:b w:val="0"/>
              </w:rPr>
              <w:t>ARBD corpus continuity, syllogism atlas and SE3 journal</w:t>
            </w:r>
          </w:p>
        </w:tc>
        <w:tc>
          <w:tcPr>
            <w:tcW w:type="dxa" w:w="4309"/>
            <w:vAlign w:val="center"/>
            <w:shd w:fill="FFFFFF"/>
          </w:tcPr>
          <w:p>
            <w:pPr>
              <w:pStyle w:val="TableText"/>
              <w:keepNext w:val="0"/>
              <w:spacing w:after="0"/>
            </w:pPr>
            <w:r>
              <w:rPr>
                <w:b w:val="0"/>
              </w:rPr>
              <w:t>The origin of a conclusion and order of forecast checking become clearer</w:t>
            </w:r>
          </w:p>
        </w:tc>
      </w:tr>
      <w:tr>
        <w:trPr>
          <w:cantSplit/>
        </w:trPr>
        <w:tc>
          <w:tcPr>
            <w:tcW w:type="dxa" w:w="1587"/>
            <w:vAlign w:val="center"/>
            <w:shd w:fill="F6F8FA"/>
          </w:tcPr>
          <w:p>
            <w:pPr>
              <w:pStyle w:val="TableText"/>
              <w:keepNext w:val="0"/>
              <w:spacing w:after="0"/>
              <w:jc w:val="center"/>
            </w:pPr>
            <w:r>
              <w:rPr>
                <w:b w:val="0"/>
              </w:rPr>
              <w:t>18–25 September</w:t>
            </w:r>
          </w:p>
        </w:tc>
        <w:tc>
          <w:tcPr>
            <w:tcW w:type="dxa" w:w="3855"/>
            <w:vAlign w:val="center"/>
            <w:shd w:fill="F6F8FA"/>
          </w:tcPr>
          <w:p>
            <w:pPr>
              <w:pStyle w:val="TableText"/>
              <w:keepNext w:val="0"/>
              <w:spacing w:after="0"/>
            </w:pPr>
            <w:r>
              <w:rPr>
                <w:b w:val="0"/>
              </w:rPr>
              <w:t>Chemistry source work and Windows acceptance preparation</w:t>
            </w:r>
          </w:p>
        </w:tc>
        <w:tc>
          <w:tcPr>
            <w:tcW w:type="dxa" w:w="4309"/>
            <w:vAlign w:val="center"/>
            <w:shd w:fill="F6F8FA"/>
          </w:tcPr>
          <w:p>
            <w:pPr>
              <w:pStyle w:val="TableText"/>
              <w:keepNext w:val="0"/>
              <w:spacing w:after="0"/>
            </w:pPr>
            <w:r>
              <w:rPr>
                <w:b w:val="0"/>
              </w:rPr>
              <w:t>Inputs and conditions for reproducible installation are clarified</w:t>
            </w:r>
          </w:p>
        </w:tc>
      </w:tr>
      <w:tr>
        <w:trPr>
          <w:cantSplit/>
        </w:trPr>
        <w:tc>
          <w:tcPr>
            <w:tcW w:type="dxa" w:w="1587"/>
            <w:vAlign w:val="center"/>
            <w:shd w:fill="FFFFFF"/>
          </w:tcPr>
          <w:p>
            <w:pPr>
              <w:pStyle w:val="TableText"/>
              <w:keepNext w:val="0"/>
              <w:spacing w:after="0"/>
              <w:jc w:val="center"/>
            </w:pPr>
            <w:r>
              <w:rPr>
                <w:b w:val="0"/>
              </w:rPr>
              <w:t>27–29 September</w:t>
            </w:r>
          </w:p>
        </w:tc>
        <w:tc>
          <w:tcPr>
            <w:tcW w:type="dxa" w:w="3855"/>
            <w:vAlign w:val="center"/>
            <w:shd w:fill="FFFFFF"/>
          </w:tcPr>
          <w:p>
            <w:pPr>
              <w:pStyle w:val="TableText"/>
              <w:keepNext w:val="0"/>
              <w:spacing w:after="0"/>
            </w:pPr>
            <w:r>
              <w:rPr>
                <w:b w:val="0"/>
              </w:rPr>
              <w:t>Source adoption, RUN042 protocol and software checkpoints</w:t>
            </w:r>
          </w:p>
        </w:tc>
        <w:tc>
          <w:tcPr>
            <w:tcW w:type="dxa" w:w="4309"/>
            <w:vAlign w:val="center"/>
            <w:shd w:fill="FFFFFF"/>
          </w:tcPr>
          <w:p>
            <w:pPr>
              <w:pStyle w:val="TableText"/>
              <w:keepNext w:val="0"/>
              <w:spacing w:after="0"/>
            </w:pPr>
            <w:r>
              <w:rPr>
                <w:b w:val="0"/>
              </w:rPr>
              <w:t>Reference archives, working data and actual trials are distinguished</w:t>
            </w:r>
          </w:p>
        </w:tc>
      </w:tr>
      <w:tr>
        <w:trPr>
          <w:cantSplit/>
        </w:trPr>
        <w:tc>
          <w:tcPr>
            <w:tcW w:type="dxa" w:w="1587"/>
            <w:vAlign w:val="center"/>
            <w:shd w:fill="F6F8FA"/>
          </w:tcPr>
          <w:p>
            <w:pPr>
              <w:pStyle w:val="TableText"/>
              <w:keepNext w:val="0"/>
              <w:spacing w:after="0"/>
              <w:jc w:val="center"/>
            </w:pPr>
            <w:r>
              <w:rPr>
                <w:b w:val="0"/>
              </w:rPr>
              <w:t>1–2 October</w:t>
            </w:r>
          </w:p>
        </w:tc>
        <w:tc>
          <w:tcPr>
            <w:tcW w:type="dxa" w:w="3855"/>
            <w:vAlign w:val="center"/>
            <w:shd w:fill="F6F8FA"/>
          </w:tcPr>
          <w:p>
            <w:pPr>
              <w:pStyle w:val="TableText"/>
              <w:keepNext w:val="0"/>
              <w:spacing w:after="0"/>
            </w:pPr>
            <w:r>
              <w:rPr>
                <w:b w:val="0"/>
              </w:rPr>
              <w:t>KASVD R4 and R4-C, R4-H–R4-K</w:t>
            </w:r>
          </w:p>
        </w:tc>
        <w:tc>
          <w:tcPr>
            <w:tcW w:type="dxa" w:w="4309"/>
            <w:vAlign w:val="center"/>
            <w:shd w:fill="F6F8FA"/>
          </w:tcPr>
          <w:p>
            <w:pPr>
              <w:pStyle w:val="TableText"/>
              <w:keepNext w:val="0"/>
              <w:spacing w:after="0"/>
            </w:pPr>
            <w:r>
              <w:rPr>
                <w:b w:val="0"/>
              </w:rPr>
              <w:t>New mathematical tools for audit and structural comparison</w:t>
            </w:r>
          </w:p>
        </w:tc>
      </w:tr>
    </w:tbl>
    <w:p>
      <w:pPr>
        <w:spacing w:after="20" w:before="0" w:line="40" w:lineRule="exact"/>
      </w:pPr>
      <w:r>
        <w:rPr>
          <w:sz w:val="4"/>
        </w:rPr>
      </w:r>
    </w:p>
    <w:p>
      <w:pPr>
        <w:pStyle w:val="Heading2"/>
      </w:pPr>
      <w:r>
        <w:t>KLT MATDES and future materials prediction</w:t>
      </w:r>
    </w:p>
    <w:p>
      <w:pPr/>
      <w:r>
        <w:t>The materials direction seeks substances and states with specified properties. Similar descriptions are insufficient: composition, structure, phase, measurement method and process conditions must be aligned. Only then does comparison become meaningful. KASVD may contribute a mathematical component, while domain-specific grounds remain an essential part of the model. [3, 6]</w:t>
      </w:r>
    </w:p>
    <w:p>
      <w:pPr/>
      <w:r>
        <w:t>The SE3 journal fixes an important sequence: record the forecast, model, conditions and horizon first, then admit the observed outcome separately. A miss is retained too. An external researcher can consequently see what was predicted before the result became available. The checks documented in the dossier used synthetic data. [7]</w:t>
      </w:r>
    </w:p>
    <w:p>
      <w:pPr>
        <w:pStyle w:val="Heading2"/>
      </w:pPr>
      <w:r>
        <w:t>Applications and the mathematical kernel</w:t>
      </w:r>
    </w:p>
    <w:p>
      <w:pPr/>
      <w:r>
        <w:t>Work also continues on the online analyzer and standalone builds. Late-September checkpoints describe backup export, data restoration and acceptance tasks. Byte-level file checking and installation on a real device are different stages. The latest KASVD modules have been prepared as a verifiable mathematical kernel; the documents reviewed do not confirm deployment across all websites, APKs and Windows builds. [3, 6]</w:t>
      </w:r>
    </w:p>
    <w:p>
      <w:pPr/>
      <w:r>
        <w:t>This sequence has practical value. Readers can follow particular components and understand which capabilities have mathematical descriptions, which exist in research code and which still await domain-specific testing.</w:t>
      </w:r>
    </w:p>
    <w:p>
      <w:pPr>
        <w:pStyle w:val="Heading1"/>
        <w:pageBreakBefore/>
      </w:pPr>
      <w:r>
        <w:t>Who may find the project useful and how to participate</w:t>
      </w:r>
    </w:p>
    <w:p>
      <w:pPr/>
      <w:r>
        <w:t>For teachers and lecturers, the project offers a way to work on the practice of justification. Begin with a short text: identify its key claim, reconstruct the grounds, mark shifts in meaning and formulate a testable question. The resulting reasoning map can become the basis of a discussion with a student.</w:t>
      </w:r>
    </w:p>
    <w:p>
      <w:pPr/>
      <w:r>
        <w:t>Researchers may find value in comparing grounds across sources and separating a mathematical model from its domain interpretation. A mathematician can check a theorem or seek a counterexample. A chemist can propose a homogeneous set of measurements. A language researcher can assess how reproducibly different experts construct a reper map of one text. These are directions for collaboration, rather than promises of an already measured benefit.</w:t>
      </w:r>
    </w:p>
    <w:p>
      <w:pPr/>
      <w:r>
        <w:t>Developers face the question of making an analytical program checkable throughout its chain of operations. R4-C connects individual computational steps to data types, domains, grounds and error control. For users, the practical meaning is straightforward: they can investigate why a program admitted a conclusion and what it lacks for the next step. [5]</w:t>
      </w:r>
    </w:p>
    <w:p>
      <w:pPr>
        <w:pStyle w:val="Heading2"/>
      </w:pPr>
      <w:r>
        <w:t>The next substantive task</w:t>
      </w:r>
    </w:p>
    <w:p>
      <w:pPr/>
      <w:r>
        <w:t>KASVD next needs to connect its exact mathematical kernel to the graph of a specific source. Work must examine relationship extraction, justify the permitted transformations and assess information lost in matrix encoding. Independent corpora and trials with rules fixed in advance can then follow. These tasks define the path toward an applied predictive system. [3]</w:t>
      </w:r>
    </w:p>
    <w:p>
      <w:pPr>
        <w:pStyle w:val="Heading2"/>
      </w:pPr>
      <w:r>
        <w:t>How to read the current results</w:t>
      </w:r>
    </w:p>
    <w:p>
      <w:pPr/>
      <w:r>
        <w:t>The project already contains mathematical statements with explicit assumptions and software checks using synthetic data. Independent testing of predictions of real events remains ahead. The statuses therefore remain SCIENCE=ABSTAIN, EXT_RUN=NOT_RUN and truth_layer_promotion=0; the chemical hypothesis DHC_chem is OPEN-NOT-CONFIRMED. ABSTAIN means that grounds for a particular scientific conclusion are currently insufficient. These labels identify the research stage precisely.</w:t>
      </w:r>
    </w:p>
    <w:p>
      <w:pPr>
        <w:pStyle w:val="Heading2"/>
      </w:pPr>
      <w:r>
        <w:t>An invitation to explore and examine the work</w:t>
      </w:r>
    </w:p>
    <w:p>
      <w:pPr/>
      <w:r>
        <w:t>A starting point is the author’s archive at kurpishev.com. Choose a relevant direction, read a paper and formulate a question about its grounds. Substantive reviews, checkable counterexamples, corpus proposals and reproducible test designs are useful contributions. To discuss them with the author, contact me@kurpishev.ru.</w:t>
      </w:r>
    </w:p>
    <w:p>
      <w:pPr/>
      <w:r>
        <w:t>LOGIC OF KURPISHEV 2 is developing as a programme investigating how knowledge gains support and becomes open to examination. KASVD makes one of its mathematical components computable. Participation across disciplines can help establish where these constructions produce useful results and what further questions they raise.</w:t>
      </w:r>
    </w:p>
    <w:p>
      <w:pPr>
        <w:pStyle w:val="Heading1"/>
        <w:pageBreakBefore/>
      </w:pPr>
      <w:r>
        <w:t>Sources and further exploration</w:t>
      </w:r>
    </w:p>
    <w:p>
      <w:pPr/>
      <w:r>
        <w:t>These sources document the results and provide routes to more detailed reading. Dated project materials describe the author’s proofs and checks within stated limits; listing them does not imply independent peer review.</w:t>
      </w:r>
    </w:p>
    <w:p>
      <w:pPr>
        <w:pStyle w:val="Reference"/>
      </w:pPr>
      <w:r>
        <w:t>[1] Kurpishev I. B. Spectral Geometry of KASVD and Seven-Dimensional Anticommutative Algebras. A Matrix Bridge for KLT-RBD Reper Artifacts. R4, 1 October 2026. KASVD_​R4_​RU.tex, §§2–5, 8, 11–12.</w:t>
      </w:r>
    </w:p>
    <w:p>
      <w:pPr>
        <w:pStyle w:val="Reference"/>
      </w:pPr>
      <w:r>
        <w:t>[2] Kurpishev I. B. Hodge–KASVD Descent on Additive Obstruction Cohomology, R4-H; Equivariant Hodge–KASVD Descent, R4-I. Reports v1.0, 2 October 2026. Assumptions for representative selection and admissible transformations.</w:t>
      </w:r>
    </w:p>
    <w:p>
      <w:pPr>
        <w:pStyle w:val="Reference"/>
      </w:pPr>
      <w:r>
        <w:t>[3] Kurpishev I. B. Quotient Spectral Geometry, R4-J; Complete Signature of Reper Obstructions, R4-K. 2 October 2026. R4K_​REPORT_​RU.tex, particularly §§3, 9–11. Completeness in a fixed model and limits on software integration.</w:t>
      </w:r>
    </w:p>
    <w:p>
      <w:pPr>
        <w:pStyle w:val="Reference"/>
      </w:pPr>
      <w:r>
        <w:t>[4] R4K_​SELFTEST.txt. Log of 42 synthetic tests, 2 October 2026. The digest reports the saved log without rerunning the tests.</w:t>
      </w:r>
    </w:p>
    <w:p>
      <w:pPr>
        <w:pStyle w:val="Reference"/>
      </w:pPr>
      <w:r>
        <w:t>[5] Kurpishev I. B. Unified Mathematical Program Analysis Kernel. R4-C, v1.0, 1 October 2026. LK2_​R4C_​UNIFIED_​MATHEMATICAL_​PROGRAM_​ANALYSIS_​REPORT_​v1_​0.md. Types, grounds, error and identifiability.</w:t>
      </w:r>
    </w:p>
    <w:p>
      <w:pPr>
        <w:pStyle w:val="Reference"/>
      </w:pPr>
      <w:r>
        <w:t>[6] Project checkpoints KLT_​M4_​SOURCE_​ADOPTION_​RU_​20260927_​v1_​1.md, CONTINUE_​RUN042.md, KLT_​M4_​RELEASE_​REPORT_​RU_​20260929_​v1_​0.md and KLT6_​1_​05_​5_​RECHECK_​RU.md. Sources and engineering status in late September.</w:t>
      </w:r>
    </w:p>
    <w:p>
      <w:pPr>
        <w:pStyle w:val="Reference"/>
      </w:pPr>
      <w:r>
        <w:t>[7] Project digests dated 18 and 25 September 2026. Documentary retrospective including the ARBD corpus and SE3 dossier. September developments are retold from these earlier reviews; a complete new audit of their primary sources was not performed.</w:t>
      </w:r>
    </w:p>
    <w:p>
      <w:pPr>
        <w:pStyle w:val="Reference"/>
      </w:pPr>
      <w:r>
        <w:t>[8] Categorical Syllogisms in 2D and 3D. KLT–SYL–DK v1.1, 17 September 2026; KLT_​M2_​CONTINUE_​SYL_​V1_​1_​FULL.md. See the account and source references in the 18 September digest.</w:t>
      </w:r>
    </w:p>
    <w:p>
      <w:pPr>
        <w:pStyle w:val="Reference"/>
      </w:pPr>
      <w:r>
        <w:t xml:space="preserve">[9] Lim L.-H. Hodge Laplacians on graphs. arXiv:1507.05379v4, 2019. Classical mathematical context. </w:t>
      </w:r>
      <w:hyperlink r:id="rId12">
        <w:r>
          <w:rPr>
            <w:rFonts w:ascii="Nimbus Roman" w:hAnsi="Nimbus Roman" w:eastAsia="Nimbus Roman"/>
            <w:color w:val="204D72"/>
            <w:sz w:val="19"/>
          </w:rPr>
          <w:t>https://arxiv.org/abs/1507.05379v4</w:t>
        </w:r>
      </w:hyperlink>
      <w:r/>
    </w:p>
    <w:p>
      <w:pPr>
        <w:pStyle w:val="Reference"/>
      </w:pPr>
      <w:r>
        <w:t xml:space="preserve">[10] Author’s research archive. Section on Kurpishev’s uncertainty principle PN.2. </w:t>
      </w:r>
      <w:hyperlink r:id="rId13">
        <w:r>
          <w:rPr>
            <w:rFonts w:ascii="Nimbus Roman" w:hAnsi="Nimbus Roman" w:eastAsia="Nimbus Roman"/>
            <w:color w:val="204D72"/>
            <w:sz w:val="19"/>
          </w:rPr>
          <w:t>https://kurpishev.com/.</w:t>
        </w:r>
      </w:hyperlink>
      <w:r>
        <w:t xml:space="preserve"> Accessed 4 October 2026.</w:t>
      </w:r>
    </w:p>
    <w:p>
      <w:pPr>
        <w:pStyle w:val="Heading2"/>
      </w:pPr>
      <w:r>
        <w:t>Project navigation</w:t>
      </w:r>
    </w:p>
    <w:p>
      <w:pPr>
        <w:spacing w:after="80"/>
      </w:pPr>
      <w:hyperlink r:id="rId14">
        <w:r>
          <w:rPr>
            <w:rFonts w:ascii="Nimbus Roman" w:hAnsi="Nimbus Roman" w:eastAsia="Nimbus Roman"/>
            <w:color w:val="204D72"/>
            <w:sz w:val="21"/>
          </w:rPr>
          <w:t>Author’s research archive and publications</w:t>
        </w:r>
      </w:hyperlink>
    </w:p>
    <w:p>
      <w:pPr>
        <w:spacing w:after="80"/>
      </w:pPr>
      <w:hyperlink r:id="rId15">
        <w:r>
          <w:rPr>
            <w:rFonts w:ascii="Nimbus Roman" w:hAnsi="Nimbus Roman" w:eastAsia="Nimbus Roman"/>
            <w:color w:val="204D72"/>
            <w:sz w:val="21"/>
          </w:rPr>
          <w:t>KLT RBDv6 Analyzer</w:t>
        </w:r>
      </w:hyperlink>
    </w:p>
    <w:p>
      <w:pPr>
        <w:spacing w:after="80"/>
      </w:pPr>
      <w:hyperlink r:id="rId16">
        <w:r>
          <w:rPr>
            <w:rFonts w:ascii="Nimbus Roman" w:hAnsi="Nimbus Roman" w:eastAsia="Nimbus Roman"/>
            <w:color w:val="204D72"/>
            <w:sz w:val="21"/>
          </w:rPr>
          <w:t>KLT MATDES</w:t>
        </w:r>
      </w:hyperlink>
    </w:p>
    <w:p>
      <w:pPr>
        <w:pStyle w:val="Caption"/>
      </w:pPr>
      <w:r>
        <w:t>Application addresses are provided for exploration; this issue is not a browser or device acceptance report. The issue dated 2 October was rewritten on 4 October 2026. R4-K results recorded on the evening of 2 October are included in this expanded edition. Teaching examples were created specifically to explain the method.</w:t>
      </w:r>
    </w:p>
    <w:sectPr w:rsidR="00FC693F" w:rsidRPr="0006063C" w:rsidSect="00034616">
      <w:headerReference w:type="default" r:id="rId9"/>
      <w:footerReference w:type="default" r:id="rId10"/>
      <w:pgSz w:w="11906" w:h="16838"/>
      <w:pgMar w:top="1020" w:right="1077" w:bottom="1020" w:left="1077"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v1.2 • EN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LOGIC OF KURPISHEV 2 • Digest • 2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06" w:lineRule="exact" w:after="140"/>
    </w:pPr>
    <w:rPr>
      <w:rFonts w:ascii="Nimbus Roman" w:hAnsi="Nimbus Roman" w:eastAsia="Nimbus Roman" w:cs="Nimbus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80" w:line="460" w:lineRule="exact"/>
      <w:outlineLvl w:val="0"/>
    </w:pPr>
    <w:rPr>
      <w:rFonts w:ascii="DejaVu Sans" w:hAnsi="DejaVu Sans" w:eastAsia="DejaVu Sans" w:cs="DejaVu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00" w:after="160" w:line="340" w:lineRule="exact"/>
      <w:outlineLvl w:val="1"/>
    </w:pPr>
    <w:rPr>
      <w:rFonts w:ascii="DejaVu Sans" w:hAnsi="DejaVu Sans" w:eastAsia="DejaVu Sans" w:cs="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620" w:lineRule="exact" w:before="0"/>
      <w:contextualSpacing/>
    </w:pPr>
    <w:rPr>
      <w:rFonts w:ascii="DejaVu Sans" w:hAnsi="DejaVu Sans" w:eastAsia="DejaVu Sans" w:cs="DejaVu Sans"/>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380" w:lineRule="exact"/>
    </w:pPr>
    <w:rPr>
      <w:rFonts w:ascii="DejaVu Sans" w:hAnsi="DejaVu Sans" w:eastAsia="DejaVu Sans" w:cs="DejaVu Sans"/>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4" w:lineRule="exact" w:after="160"/>
    </w:pPr>
    <w:rPr>
      <w:rFonts w:ascii="DejaVu Sans" w:hAnsi="DejaVu Sans" w:eastAsia="DejaVu Sans" w:cs="DejaVu Sans"/>
      <w:b w:val="0"/>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keepNext w:val="0"/>
      <w:spacing w:after="140" w:line="252" w:lineRule="exact"/>
    </w:pPr>
    <w:rPr>
      <w:rFonts w:ascii="Nimbus Roman" w:hAnsi="Nimbus Roman" w:eastAsia="Nimbus Roman" w:cs="Nimbus Roman"/>
      <w:b w:val="0"/>
      <w:color w:val="000000"/>
      <w:sz w:val="19"/>
    </w:rPr>
  </w:style>
  <w:style w:type="paragraph" w:customStyle="1" w:styleId="TableText">
    <w:name w:val="Table Text"/>
    <w:pPr>
      <w:keepNext w:val="0"/>
      <w:spacing w:line="266" w:lineRule="exact"/>
    </w:pPr>
    <w:rPr>
      <w:rFonts w:ascii="Nimbus Roman" w:hAnsi="Nimbus Roman" w:eastAsia="Nimbus Roman" w:cs="Nimbus Roman"/>
      <w:b w:val="0"/>
      <w:color w:val="000000"/>
      <w:sz w:val="20"/>
    </w:rPr>
  </w:style>
  <w:style w:type="paragraph" w:customStyle="1" w:styleId="Metadata">
    <w:name w:val="Metadata"/>
    <w:pPr>
      <w:keepNext w:val="0"/>
      <w:spacing w:after="100" w:line="250" w:lineRule="exact"/>
    </w:pPr>
    <w:rPr>
      <w:rFonts w:ascii="Nimbus Roman" w:hAnsi="Nimbus Roman" w:eastAsia="Nimbus Roman" w:cs="Nimbus Roman"/>
      <w:b w:val="0"/>
      <w:color w:val="000000"/>
      <w:sz w:val="18"/>
    </w:rPr>
  </w:style>
  <w:style w:type="paragraph" w:customStyle="1" w:styleId="Lead">
    <w:name w:val="Lead"/>
    <w:pPr>
      <w:keepNext w:val="0"/>
      <w:spacing w:after="200" w:line="330" w:lineRule="exact"/>
    </w:pPr>
    <w:rPr>
      <w:rFonts w:ascii="Nimbus Roman" w:hAnsi="Nimbus Roman" w:eastAsia="Nimbus Roman" w:cs="Nimbus Roman"/>
      <w:b w:val="0"/>
      <w:color w:val="00000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arxiv.org/abs/1507.05379v4" TargetMode="External"/><Relationship Id="rId13" Type="http://schemas.openxmlformats.org/officeDocument/2006/relationships/hyperlink" Target="https://kurpishev.com/." TargetMode="External"/><Relationship Id="rId14" Type="http://schemas.openxmlformats.org/officeDocument/2006/relationships/hyperlink" Target="https://kurpishev.com/" TargetMode="External"/><Relationship Id="rId15" Type="http://schemas.openxmlformats.org/officeDocument/2006/relationships/hyperlink" Target="https://klt-rbdv6-analyzer.workspace-406992.chatgpt.site/" TargetMode="External"/><Relationship Id="rId16" Type="http://schemas.openxmlformats.org/officeDocument/2006/relationships/hyperlink" Target="https://klt-matdes.workspace-406992.chatgpt.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LOGIC OF KURPISHEV 2 — Understanding the grounds of knowledge and testable prediction</dc:title>
  <dc:subject>Research digest for a general audience • 2 October 2026 • Issue 3</dc:subject>
  <dc:creator>Ivan Borisovich Kurpishev</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