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23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30"/>
              </w:rPr>
              <w:t>KLT 4.14</w:t>
            </w:r>
          </w:p>
        </w:tc>
        <w:tc>
          <w:tcPr>
            <w:tcW w:type="dxa" w:w="590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26"/>
              </w:rPr>
              <w:t>ИТОГОВЫЙ ЛЯМБДА-ЧЕК-ЛИСТ</w:t>
            </w:r>
          </w:p>
        </w:tc>
        <w:tc>
          <w:tcPr>
            <w:tcW w:type="dxa" w:w="316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A4 / DOCX</w:t>
              <w:br/>
              <w:t>Kurpishev Lambda Truth</w:t>
            </w:r>
          </w:p>
        </w:tc>
      </w:tr>
    </w:tbl>
    <w:p>
      <w:pPr>
        <w:spacing w:after="40"/>
      </w:pPr>
    </w:p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1. Паспорт проверки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Проверяемая работа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Тип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DOC/DOCX λ-анализ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Автор / проверяемый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Объём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Проверяющий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E-mail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2. Reпер, lambda-расчёт и шкалы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619"/>
        <w:gridCol w:w="3619"/>
        <w:gridCol w:w="3619"/>
      </w:tblGrid>
      <w:tr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Компонент</w:t>
            </w:r>
          </w:p>
        </w:tc>
        <w:tc>
          <w:tcPr>
            <w:tcW w:type="dxa" w:w="792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Интерпретация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8"/>
              </w:rPr>
              <w:t>Значение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U / limU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поле значений, понятия, тематическая рамка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I / limI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ведущая идея, тезис, смысловой пик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R / limR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реальное содержание: факты, примеры, материал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D</w:t>
            </w:r>
          </w:p>
        </w:tc>
        <w:tc>
          <w:tcPr>
            <w:tcW w:type="dxa" w:w="792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достаточное основание: связка тезис-факты-вывод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10"/>
        <w:gridCol w:w="1810"/>
        <w:gridCol w:w="1810"/>
        <w:gridCol w:w="1810"/>
        <w:gridCol w:w="1810"/>
        <w:gridCol w:w="1810"/>
      </w:tblGrid>
      <w:tr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lambda</w:t>
            </w:r>
          </w:p>
        </w:tc>
        <w:tc>
          <w:tcPr>
            <w:tcW w:type="dxa" w:w="17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Delta=|lambda+1|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Auth</w:t>
            </w:r>
          </w:p>
        </w:tc>
        <w:tc>
          <w:tcPr>
            <w:tcW w:type="dxa" w:w="1440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D*</w:t>
            </w:r>
          </w:p>
        </w:tc>
        <w:tc>
          <w:tcPr>
            <w:tcW w:type="dxa" w:w="201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100-балльная</w:t>
            </w:r>
          </w:p>
        </w:tc>
        <w:tc>
          <w:tcPr>
            <w:tcW w:type="dxa" w:w="1584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5-балльная</w:t>
            </w:r>
          </w:p>
        </w:tc>
      </w:tr>
      <w:tr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7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44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201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5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</w:tbl>
    <w:p>
      <w:pPr>
        <w:spacing w:after="40"/>
      </w:pPr>
      <w:r>
        <w:t>Формула: lambda=((U-R)(I-D))/((U-D)(I-R)); Delta=|lambda+1|; Auth=1/(1+Delta). Гармонический предел: lambda -&gt; -1.</w:t>
      </w:r>
    </w:p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3. Сравнение с модельным ответом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Модельный текст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не загружен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Итог сходства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</w:tr>
      <w:tr>
        <w:tc>
          <w:tcPr>
            <w:tcW w:type="dxa" w:w="2880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Jaccard n-грамм</w:t>
            </w:r>
          </w:p>
        </w:tc>
        <w:tc>
          <w:tcPr>
            <w:tcW w:type="dxa" w:w="518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Корректировка</w:t>
            </w:r>
          </w:p>
        </w:tc>
        <w:tc>
          <w:tcPr>
            <w:tcW w:type="dxa" w:w="288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не применялась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4. Критерии оценки текста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72"/>
        <w:gridCol w:w="2172"/>
        <w:gridCol w:w="2172"/>
        <w:gridCol w:w="2172"/>
        <w:gridCol w:w="2172"/>
      </w:tblGrid>
      <w:tr>
        <w:tc>
          <w:tcPr>
            <w:tcW w:type="dxa" w:w="2592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Критерий</w:t>
            </w:r>
          </w:p>
        </w:tc>
        <w:tc>
          <w:tcPr>
            <w:tcW w:type="dxa" w:w="100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Вес</w:t>
            </w:r>
          </w:p>
        </w:tc>
        <w:tc>
          <w:tcPr>
            <w:tcW w:type="dxa" w:w="1152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Оценка /100</w:t>
            </w:r>
          </w:p>
        </w:tc>
        <w:tc>
          <w:tcPr>
            <w:tcW w:type="dxa" w:w="1296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Зона</w:t>
            </w:r>
          </w:p>
        </w:tc>
        <w:tc>
          <w:tcPr>
            <w:tcW w:type="dxa" w:w="5328"/>
            <w:shd w:fill="1F4E79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color w:val="FFFFFF"/>
                <w:sz w:val="16"/>
              </w:rPr>
              <w:t>Комментарий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Раскрытие темы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Полнота раскрытия темы и соответствие поставленному вопросу.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Главная идея / limI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Ясность ведущей идеи и устойчивость тезиса.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Поле понятий / limU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12%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Ширина, точность и связность понятийного поля.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Фактическое содержание / limR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Факты, примеры, источники, данные и предметная опора.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Логика доказательства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14%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Связь тезисов, аргументов и вывода.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Композиция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10%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Структурная цельность, последовательность, завершённость.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Самостоятельность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8%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Признаки самостоятельной сборки и обработки материала.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Стиль и ясность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Понятность, речевая ясность.</w:t>
            </w:r>
          </w:p>
        </w:tc>
      </w:tr>
      <w:tr>
        <w:tc>
          <w:tcPr>
            <w:tcW w:type="dxa" w:w="259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Уместность материала</w:t>
            </w:r>
          </w:p>
        </w:tc>
        <w:tc>
          <w:tcPr>
            <w:tcW w:type="dxa" w:w="100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7%</w:t>
            </w:r>
          </w:p>
        </w:tc>
        <w:tc>
          <w:tcPr>
            <w:tcW w:type="dxa" w:w="1152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1296"/>
            <w:shd w:fill="FFFFFF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____</w:t>
            </w:r>
          </w:p>
        </w:tc>
        <w:tc>
          <w:tcPr>
            <w:tcW w:type="dxa" w:w="5328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5"/>
              </w:rPr>
              <w:t>Отсутствие нерелевантных, избыточных фрагментов.</w:t>
            </w:r>
          </w:p>
        </w:tc>
      </w:tr>
    </w:tbl>
    <w:p>
      <w:pPr>
        <w:spacing w:before="120" w:after="60"/>
      </w:pPr>
      <w:r>
        <w:rPr>
          <w:rFonts w:ascii="Arial" w:hAnsi="Arial" w:eastAsia="Arial"/>
          <w:b/>
          <w:color w:val="1F4E79"/>
          <w:sz w:val="21"/>
        </w:rPr>
        <w:t>5. Итог и замечания проверяющего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714"/>
        <w:gridCol w:w="2714"/>
        <w:gridCol w:w="2714"/>
        <w:gridCol w:w="2714"/>
      </w:tblGrid>
      <w:tr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Итог</w:t>
            </w:r>
          </w:p>
        </w:tc>
        <w:tc>
          <w:tcPr>
            <w:tcW w:type="dxa" w:w="936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</w:t>
            </w:r>
          </w:p>
        </w:tc>
        <w:tc>
          <w:tcPr>
            <w:tcW w:type="dxa" w:w="14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Статус</w:t>
            </w:r>
          </w:p>
        </w:tc>
        <w:tc>
          <w:tcPr>
            <w:tcW w:type="dxa" w:w="14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демонстрационный рекомендательный лист</w:t>
            </w:r>
          </w:p>
        </w:tc>
      </w:tr>
      <w:tr>
        <w:tc>
          <w:tcPr>
            <w:tcW w:type="dxa" w:w="2016"/>
            <w:shd w:fill="DDEBF7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Рекомендация</w:t>
            </w:r>
          </w:p>
        </w:tc>
        <w:tc>
          <w:tcPr>
            <w:tcW w:type="dxa" w:w="9360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>________________________</w:t>
            </w:r>
          </w:p>
        </w:tc>
        <w:tc>
          <w:tcPr>
            <w:tcW w:type="dxa" w:w="14"/>
          </w:tcPr>
          <w:p/>
        </w:tc>
        <w:tc>
          <w:tcPr>
            <w:tcW w:type="dxa" w:w="14"/>
          </w:tcPr>
          <w:p/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58"/>
      </w:tblGrid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/>
                <w:sz w:val="18"/>
              </w:rPr>
              <w:t>Замечания проверяющего / собственная оценка проверяющего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8"/>
              </w:rPr>
              <w:t xml:space="preserve"> </w:t>
            </w:r>
          </w:p>
        </w:tc>
      </w:tr>
      <w:tr>
        <w:tc>
          <w:tcPr>
            <w:tcW w:type="dxa" w:w="11376"/>
            <w:vAlign w:val="center"/>
          </w:tcPr>
          <w:p>
            <w:pPr>
              <w:jc w:val="left"/>
            </w:pPr>
            <w:r/>
            <w:r>
              <w:rPr>
                <w:rFonts w:ascii="Arial" w:hAnsi="Arial" w:eastAsia="Arial"/>
                <w:b w:val="0"/>
                <w:sz w:val="16"/>
              </w:rPr>
              <w:t>Дата: ____________________      Подпись: ____________________      E-mail: ____________________</w:t>
            </w:r>
          </w:p>
        </w:tc>
      </w:tr>
    </w:tbl>
    <w:p>
      <w:pPr>
        <w:spacing w:before="120"/>
      </w:pPr>
      <w:r>
        <w:rPr>
          <w:rFonts w:ascii="Arial" w:hAnsi="Arial" w:eastAsia="Arial"/>
          <w:color w:val="646464"/>
          <w:sz w:val="15"/>
        </w:rPr>
        <w:t>© 2026 Иван Борисович Курпишев. KLT / Kurpishev Lambda Truth, lambda-метод, Reпер, PIX/PEAKS и лямбда-чек-лист являются авторскими материалами И.Б. Курпишева. Демонстрационный результат не заменяет эксперта.</w:t>
      </w:r>
    </w:p>
    <w:sectPr w:rsidR="00FC693F" w:rsidRPr="0006063C" w:rsidSect="00034616">
      <w:pgSz w:w="12240" w:h="15840"/>
      <w:pgMar w:top="648" w:right="691" w:bottom="648" w:left="6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