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41414"/>
          <w:sz w:val="30"/>
        </w:rPr>
        <w:t>Депонируемые материалы, идентифицирующие базу данных</w:t>
      </w:r>
    </w:p>
    <w:p>
      <w:pPr>
        <w:jc w:val="center"/>
      </w:pPr>
      <w:r>
        <w:rPr>
          <w:sz w:val="18"/>
        </w:rPr>
        <w:t>Ivan Borisovich Kurpishev / Курпишев Иван Борисович</w:t>
        <w:br/>
        <w:t>Independent Researcher, Kaliningrad / Калининград, me@kurpishev.ru</w:t>
        <w:br/>
        <w:t>2026-05-12</w:t>
      </w:r>
    </w:p>
    <w:p>
      <w:pPr>
        <w:pStyle w:val="Heading1"/>
      </w:pPr>
      <w:r>
        <w:t>Титульный лист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2835"/>
            <w:vAlign w:val="top"/>
            <w:shd w:fill="D9EAF7"/>
          </w:tcPr>
          <w:p>
            <w:r/>
            <w:r>
              <w:rPr>
                <w:b/>
                <w:sz w:val="18"/>
              </w:rPr>
              <w:t>Поле</w:t>
            </w:r>
          </w:p>
        </w:tc>
        <w:tc>
          <w:tcPr>
            <w:tcW w:type="dxa" w:w="6236"/>
            <w:vAlign w:val="top"/>
            <w:shd w:fill="D9EAF7"/>
          </w:tcPr>
          <w:p>
            <w:r/>
            <w:r>
              <w:rPr>
                <w:b/>
                <w:sz w:val="18"/>
              </w:rPr>
              <w:t>Значение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Название базы данных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KLT-RBD-CHEM: реперно-базовая база данных химических объектов, реакций, материалов и доказательных связей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Краткое обозначение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KLT-RBD-CHEM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Регистрационная точка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KLT-RBD-CHEM-REGISTRY-FIPS-DEPOSIT-BUNDLE v1.3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Правообладатель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Курпишев Иван Борисович / Ivan Borisovich Kurpishev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Автор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Курпишев Иван Борисович / Ivan Borisovich Kurpishev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Год создания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2026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Назначение депонируемых материалов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Однозначная идентификация структуры, состава, логики и контрольных признаков базы данных.</w:t>
            </w:r>
          </w:p>
        </w:tc>
      </w:tr>
    </w:tbl>
    <w:p>
      <w:pPr>
        <w:pStyle w:val="Heading1"/>
      </w:pPr>
      <w:r>
        <w:t>1. Идентифицирующая формула</w:t>
      </w:r>
    </w:p>
    <w:p>
      <w:r>
        <w:rPr>
          <w:b/>
        </w:rPr>
        <w:t>C@C_chem -&gt; Rep_chem(R,I,U;D) -&gt; lambda/CGI -&gt; RBD-graph -&gt; registry deposit status.</w:t>
      </w:r>
    </w:p>
    <w:p>
      <w:r>
        <w:rPr>
          <w:b w:val="0"/>
        </w:rPr>
        <w:t>База данных фиксирует химию не как плоский справочник, а как совокупность самостоятельных информационных материалов, систематизированных для машинного поиска и обработки: химический объект, состояние, формула, реакция, материал, условие, источник, доказательное основание, статус связности и правило пересборки.</w:t>
      </w:r>
    </w:p>
    <w:p>
      <w:pPr>
        <w:pStyle w:val="Heading1"/>
      </w:pPr>
      <w:r>
        <w:t>2. Слои разработки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1134"/>
            <w:vAlign w:val="top"/>
            <w:shd w:fill="D9EAF7"/>
          </w:tcPr>
          <w:p>
            <w:r/>
            <w:r>
              <w:rPr>
                <w:b/>
                <w:sz w:val="18"/>
              </w:rPr>
              <w:t>Версия</w:t>
            </w:r>
          </w:p>
        </w:tc>
        <w:tc>
          <w:tcPr>
            <w:tcW w:type="dxa" w:w="2268"/>
            <w:vAlign w:val="top"/>
            <w:shd w:fill="D9EAF7"/>
          </w:tcPr>
          <w:p>
            <w:r/>
            <w:r>
              <w:rPr>
                <w:b/>
                <w:sz w:val="18"/>
              </w:rPr>
              <w:t>Модуль</w:t>
            </w:r>
          </w:p>
        </w:tc>
        <w:tc>
          <w:tcPr>
            <w:tcW w:type="dxa" w:w="5669"/>
            <w:vAlign w:val="top"/>
            <w:shd w:fill="D9EAF7"/>
          </w:tcPr>
          <w:p>
            <w:r/>
            <w:r>
              <w:rPr>
                <w:b/>
                <w:sz w:val="18"/>
              </w:rPr>
              <w:t>Содержание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v0.1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STRUCTURE</w:t>
            </w:r>
          </w:p>
        </w:tc>
        <w:tc>
          <w:tcPr>
            <w:tcW w:type="dxa" w:w="5669"/>
            <w:vAlign w:val="top"/>
          </w:tcPr>
          <w:p>
            <w:r/>
            <w:r>
              <w:rPr>
                <w:b w:val="0"/>
                <w:sz w:val="18"/>
              </w:rPr>
              <w:t>Первичный RBD-слой химии: C@C_chem, Rep_chem, домены, первые Reper-узлы.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v0.2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STRUCTURE+QUANT</w:t>
            </w:r>
          </w:p>
        </w:tc>
        <w:tc>
          <w:tcPr>
            <w:tcW w:type="dxa" w:w="5669"/>
            <w:vAlign w:val="top"/>
          </w:tcPr>
          <w:p>
            <w:r/>
            <w:r>
              <w:rPr>
                <w:b w:val="0"/>
                <w:sz w:val="18"/>
              </w:rPr>
              <w:t>Элементы, сбалансированные реакции, ионные уравнения, растворимость, safety-D.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v0.3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REACTION_ENGINE</w:t>
            </w:r>
          </w:p>
        </w:tc>
        <w:tc>
          <w:tcPr>
            <w:tcW w:type="dxa" w:w="5669"/>
            <w:vAlign w:val="top"/>
          </w:tcPr>
          <w:p>
            <w:r/>
            <w:r>
              <w:rPr>
                <w:b w:val="0"/>
                <w:sz w:val="18"/>
              </w:rPr>
              <w:t>Парсер формул, баланс массы/заряда, redox half-reactions, CGI rebuild.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v0.4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IONIC_REDOX_GRAPH</w:t>
            </w:r>
          </w:p>
        </w:tc>
        <w:tc>
          <w:tcPr>
            <w:tcW w:type="dxa" w:w="5669"/>
            <w:vAlign w:val="top"/>
          </w:tcPr>
          <w:p>
            <w:r/>
            <w:r>
              <w:rPr>
                <w:b w:val="0"/>
                <w:sz w:val="18"/>
              </w:rPr>
              <w:t>Ионные графы, spectator-ion reduction, oxidation numbers, half-reaction pairing.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v0.5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PERIODIC_STRUCTURE_GRAPH</w:t>
            </w:r>
          </w:p>
        </w:tc>
        <w:tc>
          <w:tcPr>
            <w:tcW w:type="dxa" w:w="5669"/>
            <w:vAlign w:val="top"/>
          </w:tcPr>
          <w:p>
            <w:r/>
            <w:r>
              <w:rPr>
                <w:b w:val="0"/>
                <w:sz w:val="18"/>
              </w:rPr>
              <w:t>Периодический граф элементов, группы, периоды, блоки, валентности, ионы.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v0.6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COMPOUND_MATERIALS_GRAPH</w:t>
            </w:r>
          </w:p>
        </w:tc>
        <w:tc>
          <w:tcPr>
            <w:tcW w:type="dxa" w:w="5669"/>
            <w:vAlign w:val="top"/>
          </w:tcPr>
          <w:p>
            <w:r/>
            <w:r>
              <w:rPr>
                <w:b w:val="0"/>
                <w:sz w:val="18"/>
              </w:rPr>
              <w:t>Соединения, соли, оксиды, кислоты, основания, минералы, материалы.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v0.7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SOLUBILITY_ACIDBASE_MATERIALS_ENGINE</w:t>
            </w:r>
          </w:p>
        </w:tc>
        <w:tc>
          <w:tcPr>
            <w:tcW w:type="dxa" w:w="5669"/>
            <w:vAlign w:val="top"/>
          </w:tcPr>
          <w:p>
            <w:r/>
            <w:r>
              <w:rPr>
                <w:b w:val="0"/>
                <w:sz w:val="18"/>
              </w:rPr>
              <w:t>Растворимость, pH, precipitate-check, амфотерность, коррозия.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v0.8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THERMO_KINETIC_MATERIALS_ENGINE</w:t>
            </w:r>
          </w:p>
        </w:tc>
        <w:tc>
          <w:tcPr>
            <w:tcW w:type="dxa" w:w="5669"/>
            <w:vAlign w:val="top"/>
          </w:tcPr>
          <w:p>
            <w:r/>
            <w:r>
              <w:rPr>
                <w:b w:val="0"/>
                <w:sz w:val="18"/>
              </w:rPr>
              <w:t>Термодинамика, кинетика, равновесия, температурные окна, material coupling.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v0.9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SPECTROSCOPY_ANALYTICS_EVIDENCE_ENGINE</w:t>
            </w:r>
          </w:p>
        </w:tc>
        <w:tc>
          <w:tcPr>
            <w:tcW w:type="dxa" w:w="5669"/>
            <w:vAlign w:val="top"/>
          </w:tcPr>
          <w:p>
            <w:r/>
            <w:r>
              <w:rPr>
                <w:b w:val="0"/>
                <w:sz w:val="18"/>
              </w:rPr>
              <w:t>Спектроскопия, аналитика, Evidence-D, uncertainty, substance identification.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v1.0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INTEGRATED_LAB_KNOWLEDGE_GRAPH</w:t>
            </w:r>
          </w:p>
        </w:tc>
        <w:tc>
          <w:tcPr>
            <w:tcW w:type="dxa" w:w="5669"/>
            <w:vAlign w:val="top"/>
          </w:tcPr>
          <w:p>
            <w:r/>
            <w:r>
              <w:rPr>
                <w:b w:val="0"/>
                <w:sz w:val="18"/>
              </w:rPr>
              <w:t>Единый лабораторный граф: вещество -&gt; формула -&gt; реакция -&gt; Evidence-D.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v1.1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PUBLICATION_ATLAS</w:t>
            </w:r>
          </w:p>
        </w:tc>
        <w:tc>
          <w:tcPr>
            <w:tcW w:type="dxa" w:w="5669"/>
            <w:vAlign w:val="top"/>
          </w:tcPr>
          <w:p>
            <w:r/>
            <w:r>
              <w:rPr>
                <w:b w:val="0"/>
                <w:sz w:val="18"/>
              </w:rPr>
              <w:t>Публикационный атлас, схемы, таблицы, маршруты публикации.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v1.2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SITE_MONOGRAPH_PUBLICATION_BUNDLE</w:t>
            </w:r>
          </w:p>
        </w:tc>
        <w:tc>
          <w:tcPr>
            <w:tcW w:type="dxa" w:w="5669"/>
            <w:vAlign w:val="top"/>
          </w:tcPr>
          <w:p>
            <w:r/>
            <w:r>
              <w:rPr>
                <w:b w:val="0"/>
                <w:sz w:val="18"/>
              </w:rPr>
              <w:t>Пакет сайта и монографии: HTML, DOCX/PDF, download-map, table index.</w:t>
            </w:r>
          </w:p>
        </w:tc>
      </w:tr>
      <w:tr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v1.3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REGISTRY_FIPS_DEPOSIT_BUNDLE</w:t>
            </w:r>
          </w:p>
        </w:tc>
        <w:tc>
          <w:tcPr>
            <w:tcW w:type="dxa" w:w="5669"/>
            <w:vAlign w:val="top"/>
          </w:tcPr>
          <w:p>
            <w:r/>
            <w:r>
              <w:rPr>
                <w:b w:val="0"/>
                <w:sz w:val="18"/>
              </w:rPr>
              <w:t>Регистрационный депозит для Роспатента/ФИПС: заявление, реферат, депонируемые материалы, согласия, опись.</w:t>
            </w:r>
          </w:p>
        </w:tc>
      </w:tr>
    </w:tbl>
    <w:p>
      <w:pPr>
        <w:pStyle w:val="Heading1"/>
      </w:pPr>
      <w:r>
        <w:t>3. Структура таблиц и информационных элементов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2268"/>
            <w:vAlign w:val="top"/>
            <w:shd w:fill="D9EAF7"/>
          </w:tcPr>
          <w:p>
            <w:r/>
            <w:r>
              <w:rPr>
                <w:b/>
                <w:sz w:val="18"/>
              </w:rPr>
              <w:t>Таблица/слой</w:t>
            </w:r>
          </w:p>
        </w:tc>
        <w:tc>
          <w:tcPr>
            <w:tcW w:type="dxa" w:w="2835"/>
            <w:vAlign w:val="top"/>
            <w:shd w:fill="D9EAF7"/>
          </w:tcPr>
          <w:p>
            <w:r/>
            <w:r>
              <w:rPr>
                <w:b/>
                <w:sz w:val="18"/>
              </w:rPr>
              <w:t>Назначение</w:t>
            </w:r>
          </w:p>
        </w:tc>
        <w:tc>
          <w:tcPr>
            <w:tcW w:type="dxa" w:w="3969"/>
            <w:vAlign w:val="top"/>
            <w:shd w:fill="D9EAF7"/>
          </w:tcPr>
          <w:p>
            <w:r/>
            <w:r>
              <w:rPr>
                <w:b/>
                <w:sz w:val="18"/>
              </w:rPr>
              <w:t>Идентифицирующие поля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chem_sources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Источники и основания данных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ID источника, тип, ссылка/описание, роль в D-основании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chem_elements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Химические элементы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Атомный номер, символ, период/группа, блок, масса seed-слоя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chem_atoms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Атомные Reper-узлы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Ядро, электронная конфигурация, заряд, состояние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chem_bonds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Химические связи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Тип связи, участники, валентность, условия устойчивости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chem_molecules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Молекулы и вещества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Формула, состав, класс, состояние, связи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chem_reactions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Реакции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Реактанты, продукты, условия, баланс, тип реакции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chem_ionic_redox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Ионные/ОВР переходы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Complete ionic, net ionic, spectator ions, half-reactions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chem_solubility_acidbase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Растворимость и кислотно-основной слой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pH, пары кислота/основание, precipitate, amphoteric logic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chem_materials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Материалы и деградация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Минералы, цементные фазы, коррозия, материал-условие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chem_thermo_kinetic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Термодинамика и кинетика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DeltaG, K, rate-law seed, температурные окна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chem_spectroscopy_evidence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Спектроскопия и Evidence-D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Методы анализа, признаки, неопределенность, привязка к Reper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chem_repers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Reper-четверки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R, I, U, D; domain; truth status; lambda/CGI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chem_edges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Графовые связи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source, target, relation_type, evidence, status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chem_gaps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Gap-узлы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Тип разрыва: domain, foundation, balance, charge, method, source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chem_cgi_lambda</w:t>
            </w:r>
          </w:p>
        </w:tc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Проверки связности</w:t>
            </w:r>
          </w:p>
        </w:tc>
        <w:tc>
          <w:tcPr>
            <w:tcW w:type="dxa" w:w="3969"/>
            <w:vAlign w:val="top"/>
          </w:tcPr>
          <w:p>
            <w:r/>
            <w:r>
              <w:rPr>
                <w:b w:val="0"/>
                <w:sz w:val="18"/>
              </w:rPr>
              <w:t>lambda, delta_truth, CGI, rebuild action</w:t>
            </w:r>
          </w:p>
        </w:tc>
      </w:tr>
    </w:tbl>
    <w:p>
      <w:pPr>
        <w:pStyle w:val="Heading1"/>
      </w:pPr>
      <w:r>
        <w:t>4. Примеры Reper-записей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1701"/>
            <w:vAlign w:val="top"/>
            <w:shd w:fill="D9EAF7"/>
          </w:tcPr>
          <w:p>
            <w:r/>
            <w:r>
              <w:rPr>
                <w:b/>
                <w:sz w:val="18"/>
              </w:rPr>
              <w:t>ID</w:t>
            </w:r>
          </w:p>
        </w:tc>
        <w:tc>
          <w:tcPr>
            <w:tcW w:type="dxa" w:w="2268"/>
            <w:vAlign w:val="top"/>
            <w:shd w:fill="D9EAF7"/>
          </w:tcPr>
          <w:p>
            <w:r/>
            <w:r>
              <w:rPr>
                <w:b/>
                <w:sz w:val="18"/>
              </w:rPr>
              <w:t>Объект</w:t>
            </w:r>
          </w:p>
        </w:tc>
        <w:tc>
          <w:tcPr>
            <w:tcW w:type="dxa" w:w="4535"/>
            <w:vAlign w:val="top"/>
            <w:shd w:fill="D9EAF7"/>
          </w:tcPr>
          <w:p>
            <w:r/>
            <w:r>
              <w:rPr>
                <w:b/>
                <w:sz w:val="18"/>
              </w:rPr>
              <w:t>Reper-содержание</w:t>
            </w:r>
          </w:p>
        </w:tc>
        <w:tc>
          <w:tcPr>
            <w:tcW w:type="dxa" w:w="1134"/>
            <w:vAlign w:val="top"/>
            <w:shd w:fill="D9EAF7"/>
          </w:tcPr>
          <w:p>
            <w:r/>
            <w:r>
              <w:rPr>
                <w:b/>
                <w:sz w:val="18"/>
              </w:rPr>
              <w:t>Статус</w:t>
            </w:r>
          </w:p>
        </w:tc>
      </w:tr>
      <w:tr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CHM-REP-H2O-0001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H2O</w:t>
            </w:r>
          </w:p>
        </w:tc>
        <w:tc>
          <w:tcPr>
            <w:tcW w:type="dxa" w:w="4535"/>
            <w:vAlign w:val="top"/>
          </w:tcPr>
          <w:p>
            <w:r/>
            <w:r>
              <w:rPr>
                <w:b w:val="0"/>
                <w:sz w:val="18"/>
              </w:rPr>
              <w:t>R: вещество вода; I: молекулярная структура H-O-H; U: фазы/растворы/реакции; D: формула, опытные признаки, справочный слой</w:t>
            </w:r>
          </w:p>
        </w:tc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valid seed</w:t>
            </w:r>
          </w:p>
        </w:tc>
      </w:tr>
      <w:tr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CHM-RXN-ACIDBASE-0001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HCl + NaOH -&gt; NaCl + H2O</w:t>
            </w:r>
          </w:p>
        </w:tc>
        <w:tc>
          <w:tcPr>
            <w:tcW w:type="dxa" w:w="4535"/>
            <w:vAlign w:val="top"/>
          </w:tcPr>
          <w:p>
            <w:r/>
            <w:r>
              <w:rPr>
                <w:b w:val="0"/>
                <w:sz w:val="18"/>
              </w:rPr>
              <w:t>R: нейтрализация; I: кислотно-основной переход; U: pH/ионная форма/соль; D: баланс массы и заряда</w:t>
            </w:r>
          </w:p>
        </w:tc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balanced</w:t>
            </w:r>
          </w:p>
        </w:tc>
      </w:tr>
      <w:tr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CHM-RDX-FE-CU-0001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Fe + Cu2+ -&gt; Fe2+ + Cu</w:t>
            </w:r>
          </w:p>
        </w:tc>
        <w:tc>
          <w:tcPr>
            <w:tcW w:type="dxa" w:w="4535"/>
            <w:vAlign w:val="top"/>
          </w:tcPr>
          <w:p>
            <w:r/>
            <w:r>
              <w:rPr>
                <w:b w:val="0"/>
                <w:sz w:val="18"/>
              </w:rPr>
              <w:t>R: замещение; I: перенос электронов; U: redox half-reactions; D: oxidation numbers + charge balance</w:t>
            </w:r>
          </w:p>
        </w:tc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redox checked</w:t>
            </w:r>
          </w:p>
        </w:tc>
      </w:tr>
      <w:tr>
        <w:tc>
          <w:tcPr>
            <w:tcW w:type="dxa" w:w="1701"/>
            <w:vAlign w:val="top"/>
          </w:tcPr>
          <w:p>
            <w:r/>
            <w:r>
              <w:rPr>
                <w:b w:val="0"/>
                <w:sz w:val="18"/>
              </w:rPr>
              <w:t>CHM-MAT-CORR-0001</w:t>
            </w:r>
          </w:p>
        </w:tc>
        <w:tc>
          <w:tcPr>
            <w:tcW w:type="dxa" w:w="2268"/>
            <w:vAlign w:val="top"/>
          </w:tcPr>
          <w:p>
            <w:r/>
            <w:r>
              <w:rPr>
                <w:b w:val="0"/>
                <w:sz w:val="18"/>
              </w:rPr>
              <w:t>Fe + O2 + H2O medium</w:t>
            </w:r>
          </w:p>
        </w:tc>
        <w:tc>
          <w:tcPr>
            <w:tcW w:type="dxa" w:w="4535"/>
            <w:vAlign w:val="top"/>
          </w:tcPr>
          <w:p>
            <w:r/>
            <w:r>
              <w:rPr>
                <w:b w:val="0"/>
                <w:sz w:val="18"/>
              </w:rPr>
              <w:t>R: коррозионный риск; I: material degradation; U: влажность/pH/температура; D: условия среды</w:t>
            </w:r>
          </w:p>
        </w:tc>
        <w:tc>
          <w:tcPr>
            <w:tcW w:type="dxa" w:w="1134"/>
            <w:vAlign w:val="top"/>
          </w:tcPr>
          <w:p>
            <w:r/>
            <w:r>
              <w:rPr>
                <w:b w:val="0"/>
                <w:sz w:val="18"/>
              </w:rPr>
              <w:t>requires domain</w:t>
            </w:r>
          </w:p>
        </w:tc>
      </w:tr>
    </w:tbl>
    <w:p>
      <w:pPr>
        <w:pStyle w:val="Heading1"/>
      </w:pPr>
      <w:r>
        <w:t>5. Машинные форматы</w:t>
      </w:r>
    </w:p>
    <w:p>
      <w:pPr>
        <w:pStyle w:val="ListBullet"/>
      </w:pPr>
      <w:r>
        <w:t>CSV/JSON: плоские таблицы и обменные индексы.</w:t>
      </w:r>
    </w:p>
    <w:p>
      <w:pPr>
        <w:pStyle w:val="ListBullet"/>
      </w:pPr>
      <w:r>
        <w:t>SQLite: машинно обрабатываемый реестр слоёв, документов, источников, QA и контрольных сумм.</w:t>
      </w:r>
    </w:p>
    <w:p>
      <w:pPr>
        <w:pStyle w:val="ListBullet"/>
      </w:pPr>
      <w:r>
        <w:t>XLSX: редакционная карта подачи, таблицы структуры и чек-листы.</w:t>
      </w:r>
    </w:p>
    <w:p>
      <w:pPr>
        <w:pStyle w:val="ListBullet"/>
      </w:pPr>
      <w:r>
        <w:t>DOCX/PDF: человекочитаемые материалы для проверки и подачи.</w:t>
      </w:r>
    </w:p>
    <w:p>
      <w:pPr>
        <w:pStyle w:val="ListBullet"/>
      </w:pPr>
      <w:r>
        <w:t>ZIP: транспортный архив с SHA256-контролем.</w:t>
      </w:r>
    </w:p>
    <w:p>
      <w:pPr>
        <w:pStyle w:val="Heading1"/>
      </w:pPr>
      <w:r>
        <w:t>6. Отличительные признаки базы данных</w:t>
      </w:r>
    </w:p>
    <w:p>
      <w:pPr>
        <w:pStyle w:val="ListBullet"/>
      </w:pPr>
      <w:r>
        <w:t>систематизация химических материалов через событие@состояние C@C_chem;</w:t>
      </w:r>
    </w:p>
    <w:p>
      <w:pPr>
        <w:pStyle w:val="ListBullet"/>
      </w:pPr>
      <w:r>
        <w:t>каждый объект снабжается Reper-четверкой R,I,U;D;</w:t>
      </w:r>
    </w:p>
    <w:p>
      <w:pPr>
        <w:pStyle w:val="ListBullet"/>
      </w:pPr>
      <w:r>
        <w:t>используется отдельный доказательный слой Evidence-D;</w:t>
      </w:r>
    </w:p>
    <w:p>
      <w:pPr>
        <w:pStyle w:val="ListBullet"/>
      </w:pPr>
      <w:r>
        <w:t>реакции связываются с балансом массы/заряда, ионной редукцией и ОВР-парами;</w:t>
      </w:r>
    </w:p>
    <w:p>
      <w:pPr>
        <w:pStyle w:val="ListBullet"/>
      </w:pPr>
      <w:r>
        <w:t>материалы и деградационные процессы связываются с pH, средой, температурой и кинетикой;</w:t>
      </w:r>
    </w:p>
    <w:p>
      <w:pPr>
        <w:pStyle w:val="ListBullet"/>
      </w:pPr>
      <w:r>
        <w:t>каждый переход получает gap/CGI-статус и правило пересборки при отсутствии домена или достаточного основания.</w:t>
      </w:r>
    </w:p>
    <w:p>
      <w:pPr>
        <w:pStyle w:val="Heading1"/>
      </w:pPr>
      <w:r>
        <w:t>7. Замечание о статье 1334 ГК РФ</w:t>
      </w:r>
    </w:p>
    <w:p>
      <w:r>
        <w:rPr>
          <w:b w:val="0"/>
        </w:rPr>
        <w:t>Настоящий пакет подготовлен как заявка на государственную регистрацию базы данных. Если заявитель дополнительно захочет заявлять специальную правовую охрану изготовителя базы данных по пункту 3 статьи 1334 ГК РФ, следует отдельно приложить материалы, подтверждающие количественное содержание не менее десяти тысяч самостоятельных информационных элементов и/или существенные затраты на создание базы. В текущем пакете такой режим не заявляется автоматически.</w:t>
      </w:r>
    </w:p>
    <w:p>
      <w:pPr>
        <w:pStyle w:val="Heading1"/>
      </w:pPr>
      <w:r>
        <w:t>8. Source-of-truth и legacy-связка</w:t>
      </w:r>
    </w:p>
    <w:p>
      <w:r>
        <w:rPr>
          <w:b w:val="0"/>
        </w:rPr>
        <w:t>Source-of-truth для текущей химической RBD-базы: KLT_RBD_CHEM_SITE_MONOGRAPH_PUBLICATION_BUNDLE_v1_2_PACKAGE.zip, а также производные DOCX/PDF/XLSX/SQLite/HTML/Markdown материалы v1.2. Точка v1.3 добавляет регистрационный контур ФИПС и не изменяет содержательную химию v1.2.</w:t>
      </w:r>
    </w:p>
    <w:p>
      <w:pPr>
        <w:pStyle w:val="Heading1"/>
      </w:pPr>
      <w:r>
        <w:t>9. Контроль идентичности</w:t>
      </w:r>
    </w:p>
    <w:p>
      <w:r>
        <w:rPr>
          <w:b w:val="0"/>
        </w:rPr>
        <w:t>Контроль идентичности обеспечивается manifest_v1_3.json, deposit_manifest_v1_3.csv/json, SHA256SUMS.txt и SQLite-индексом klt_rbd_chem_registry_fips_deposit_v1_3.sqlite.</w:t>
      </w:r>
    </w:p>
    <w:sectPr w:rsidR="00FC693F" w:rsidRPr="0006063C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ans" w:hAnsi="DejaVu Sans" w:eastAsia="DejaVu San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DejaVu Sans" w:hAnsi="DejaVu Sans" w:eastAsia="DejaVu Sans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DejaVu Sans" w:hAnsi="DejaVu Sans" w:eastAsia="DejaVu Sans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03_DEPOSIT_MATERIALS_IDENTIFYING_DB_KLT_RBD_CHEM_v1_3</dc:title>
  <dc:subject>KLT-RBD-CHEM-REGISTRY-FIPS-DEPOSIT-BUNDLE v1.3</dc:subject>
  <dc:creator>Курпишев Иван Борисович</dc:creator>
  <cp:keywords>KLT, RBD, CHEM, database, Rospatent, FIPS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