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Спектральная</w:t>
      </w:r>
      <w:r>
        <w:t xml:space="preserve"> </w:t>
      </w:r>
      <w:r>
        <w:t xml:space="preserve">геометрия</w:t>
      </w:r>
      <w:r>
        <w:t xml:space="preserve"> </w:t>
      </w:r>
      <w:r>
        <w:t xml:space="preserve">KASVD</w:t>
      </w:r>
      <w:r>
        <w:t xml:space="preserve"> </w:t>
      </w:r>
      <w:r>
        <w:t xml:space="preserve">и</w:t>
      </w:r>
      <w:r>
        <w:t xml:space="preserve"> </w:t>
      </w:r>
      <w:r>
        <w:t xml:space="preserve">семимерные</w:t>
      </w:r>
      <w:r>
        <w:t xml:space="preserve"> </w:t>
      </w:r>
      <w:r>
        <w:t xml:space="preserve">антикоммутативные</w:t>
      </w:r>
      <w:r>
        <w:t xml:space="preserve"> </w:t>
      </w:r>
      <w:r>
        <w:t xml:space="preserve">алгебры</w:t>
      </w:r>
    </w:p>
    <w:p>
      <w:pPr>
        <w:pStyle w:val="Subtitle"/>
      </w:pPr>
      <w:r>
        <w:t xml:space="preserve">Матричный</w:t>
      </w:r>
      <w:r>
        <w:t xml:space="preserve"> </w:t>
      </w:r>
      <w:r>
        <w:t xml:space="preserve">мост</w:t>
      </w:r>
      <w:r>
        <w:t xml:space="preserve"> </w:t>
      </w:r>
      <w:r>
        <w:t xml:space="preserve">для</w:t>
      </w:r>
      <w:r>
        <w:t xml:space="preserve"> </w:t>
      </w:r>
      <w:r>
        <w:t xml:space="preserve">реперных</w:t>
      </w:r>
      <w:r>
        <w:t xml:space="preserve"> </w:t>
      </w:r>
      <w:r>
        <w:t xml:space="preserve">артефактов</w:t>
      </w:r>
      <w:r>
        <w:t xml:space="preserve"> </w:t>
      </w:r>
      <w:r>
        <w:t xml:space="preserve">KLT-RBD</w:t>
      </w:r>
    </w:p>
    <w:p>
      <w:pPr>
        <w:pStyle w:val="Author"/>
      </w:pPr>
      <w:r>
        <w:t xml:space="preserve">Иван</w:t>
      </w:r>
      <w:r>
        <w:t xml:space="preserve"> </w:t>
      </w:r>
      <w:r>
        <w:t xml:space="preserve">Борисович</w:t>
      </w:r>
      <w:r>
        <w:t xml:space="preserve"> </w:t>
      </w:r>
      <w:r>
        <w:t xml:space="preserve">Курпишев</w:t>
      </w:r>
    </w:p>
    <w:p>
      <w:pPr>
        <w:pStyle w:val="Date"/>
      </w:pPr>
      <w:r>
        <w:t xml:space="preserve">Калининград,</w:t>
      </w:r>
      <w:r>
        <w:t xml:space="preserve"> </w:t>
      </w:r>
      <w:r>
        <w:t xml:space="preserve">2026</w:t>
      </w:r>
    </w:p>
    <w:bookmarkStart w:id="20" w:name="аннотация"/>
    <w:p>
      <w:pPr>
        <w:pStyle w:val="Heading1"/>
      </w:pPr>
      <w:r>
        <w:t xml:space="preserve">Аннотация</w:t>
      </w:r>
    </w:p>
    <w:p>
      <w:pPr>
        <w:pStyle w:val="FirstParagraph"/>
      </w:pPr>
      <w:r>
        <w:t xml:space="preserve">Строится строгий математический слой, связывающий конечный типизированный граф реперного артефакта с матрицей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M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, ее сингулярным спектром и стратифицированным пространством состояний KASVD. Параллельно рассматривается семимерная антикоммутативная алгебра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⊕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⊕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в которой та же матрица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задает смешанный центральный билинейный блок. Доказываются инвариантность нормализованного SVD-паспорта, rank-gap утверждение, критерий рождения ранга при rank-one обновлении, точное rank-one edit distance, формула размерности алгебры дериваций, а также жесткость относительно классов Binary-Lie, Malcev и Sagle: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B</m:t>
          </m:r>
          <m:r>
            <m:rPr>
              <m:sty m:val="p"/>
            </m:rPr>
            <m:t>i</m:t>
          </m:r>
          <m:r>
            <m:rPr>
              <m:sty m:val="p"/>
            </m:rPr>
            <m:t>n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y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e</m:t>
          </m:r>
          <m:r>
            <m:rPr>
              <m:sty m:val="p"/>
            </m:rPr>
            <m:t>⇔</m:t>
          </m:r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M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c</m:t>
          </m:r>
          <m:r>
            <m:rPr>
              <m:sty m:val="p"/>
            </m:rPr>
            <m:t>e</m:t>
          </m:r>
          <m:r>
            <m:rPr>
              <m:sty m:val="p"/>
            </m:rPr>
            <m:t>v</m:t>
          </m:r>
          <m:r>
            <m:rPr>
              <m:sty m:val="p"/>
            </m:rPr>
            <m:t>⇔</m:t>
          </m:r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S</m:t>
          </m:r>
          <m:r>
            <m:rPr>
              <m:sty m:val="p"/>
            </m:rPr>
            <m:t>a</m:t>
          </m:r>
          <m:r>
            <m:rPr>
              <m:sty m:val="p"/>
            </m:rPr>
            <m:t>g</m:t>
          </m:r>
          <m:r>
            <m:rPr>
              <m:sty m:val="p"/>
            </m:rPr>
            <m:t>l</m:t>
          </m:r>
          <m:r>
            <m:rPr>
              <m:sty m:val="p"/>
            </m:rPr>
            <m:t>e</m:t>
          </m:r>
          <m:r>
            <m:rPr>
              <m:sty m:val="p"/>
            </m:rPr>
            <m:t>⇔</m:t>
          </m:r>
          <m:r>
            <m:t>M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Вводится авторский вариационный функционал Курпишева на безопасной спектральной области. Отдельно формулируется математическая граница между доказанным спектрально-алгебраическим слоем и prospective/blind инфраструктурой KLT-RBD. Эмпирическая предсказательная валидация в данной статье не заявляется.</w:t>
      </w:r>
    </w:p>
    <w:p>
      <w:pPr>
        <w:pStyle w:val="BodyText"/>
      </w:pPr>
      <w:r>
        <w:rPr>
          <w:b/>
          <w:bCs/>
        </w:rPr>
        <w:t xml:space="preserve">Ключевые слова:</w:t>
      </w:r>
      <w:r>
        <w:t xml:space="preserve"> </w:t>
      </w:r>
      <w:r>
        <w:t xml:space="preserve">KASVD; KLT-RBD; Reper; сингулярное разложение; антикоммутативная алгебра; Binary-Lie; Malcev; Sagle; rank-one perturbation; вариационный принцип.</w:t>
      </w:r>
    </w:p>
    <w:p>
      <w:pPr>
        <w:pStyle w:val="BodyText"/>
      </w:pPr>
      <w:r>
        <w:rPr>
          <w:b/>
          <w:bCs/>
        </w:rPr>
        <w:t xml:space="preserve">MSC 2020:</w:t>
      </w:r>
      <w:r>
        <w:t xml:space="preserve"> </w:t>
      </w:r>
      <w:r>
        <w:t xml:space="preserve">17A30, 15A18, 15A60, 65F35.</w:t>
      </w:r>
    </w:p>
    <w:bookmarkEnd w:id="20"/>
    <w:bookmarkStart w:id="21" w:name="введение"/>
    <w:p>
      <w:pPr>
        <w:pStyle w:val="Heading1"/>
      </w:pPr>
      <w:r>
        <w:t xml:space="preserve">1. Введение</w:t>
      </w:r>
    </w:p>
    <w:p>
      <w:pPr>
        <w:pStyle w:val="FirstParagraph"/>
      </w:pPr>
      <w:r>
        <w:t xml:space="preserve">В проекте</w:t>
      </w:r>
      <w:r>
        <w:t xml:space="preserve"> </w:t>
      </w:r>
      <w:r>
        <w:t xml:space="preserve">“</w:t>
      </w:r>
      <w:r>
        <w:t xml:space="preserve">ЛОГИКА КУРПИШЕВА 2</w:t>
      </w:r>
      <w:r>
        <w:t xml:space="preserve">”</w:t>
      </w:r>
      <w:r>
        <w:t xml:space="preserve"> </w:t>
      </w:r>
      <w:r>
        <w:t xml:space="preserve">реперный объект записывается как</w:t>
      </w:r>
      <w:r>
        <w:t xml:space="preserve"> </w:t>
      </w:r>
      <m:oMath>
        <m:r>
          <m:rPr>
            <m:sty m:val="p"/>
          </m:rPr>
          <m:t>Rep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,</m:t>
            </m:r>
            <m:r>
              <m:t>I</m:t>
            </m:r>
            <m:r>
              <m:rPr>
                <m:sty m:val="p"/>
              </m:rPr>
              <m:t>,</m:t>
            </m:r>
            <m:r>
              <m:t>U</m:t>
            </m:r>
            <m:r>
              <m:rPr>
                <m:sty m:val="p"/>
              </m:rPr>
              <m:t>;</m:t>
            </m:r>
            <m:r>
              <m:t>D</m:t>
            </m:r>
          </m:e>
        </m:d>
      </m:oMath>
      <w:r>
        <w:t xml:space="preserve">, а KLT-RBD используется как машинно-проверяемая память источников, оснований, переходов, блокеров и статусов. Настоящая статья выделяет из этого корпуса самостоятельную математическую задачу: построить небольшой матричный носитель структуры, на котором можно строго различать ранг, спектральную симметрию, устойчивость к возмущениям и допустимые элементарные переходы.</w:t>
      </w:r>
    </w:p>
    <w:p>
      <w:pPr>
        <w:pStyle w:val="BodyText"/>
      </w:pPr>
      <w:r>
        <w:t xml:space="preserve">Центральный объект статьи - матрица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M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. Она возникает двумя независимыми способами. Во-первых, как оператор, собранный из типизированных ребер конечного Artifact-графа. Во-вторых, как смешанный билинейный блок семимерной антикоммутативной алгебры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. Эти два уровня не отождествляются семантически. Их математическая связь состоит в общем SVD-инварианте.</w:t>
      </w:r>
    </w:p>
    <w:p>
      <w:pPr>
        <w:pStyle w:val="BodyText"/>
      </w:pPr>
      <w:r>
        <w:t xml:space="preserve">Классическая часть статьи опирается на сингулярное разложение, теорему Эккарта-Янга-Мирского, стандартные оценки возмущений сингулярных чисел и известные определения классов Binary-Lie, Malcev и Sagle [1-6]. Авторская часть - Artifact-to-KASVD construction, KASVD state stratification и автомат переходов, применение одной матрицы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как связующего модуля для Artifact-оператора и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, а также вариационный функционал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J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21"/>
    <w:bookmarkStart w:id="26" w:name="artifact-оператор-и-kasvd"/>
    <w:p>
      <w:pPr>
        <w:pStyle w:val="Heading1"/>
      </w:pPr>
      <w:r>
        <w:t xml:space="preserve">2. Artifact-оператор и KASVD</w:t>
      </w:r>
    </w:p>
    <w:bookmarkStart w:id="22" w:name="определение-2.1.-матрица-артефакта"/>
    <w:p>
      <w:pPr>
        <w:pStyle w:val="Heading2"/>
      </w:pPr>
      <w:r>
        <w:t xml:space="preserve">Определение 2.1. Матрица артефакта</w:t>
      </w:r>
    </w:p>
    <w:p>
      <w:pPr>
        <w:pStyle w:val="FirstParagraph"/>
      </w:pPr>
      <w:r>
        <w:t xml:space="preserve">Пусть</w:t>
      </w:r>
      <w:r>
        <w:t xml:space="preserve"> </w:t>
      </w:r>
      <m:oMath>
        <m:sSub>
          <m:e>
            <m:r>
              <m:t>G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E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r>
              <m:t>τ</m:t>
            </m:r>
            <m:r>
              <m:rPr>
                <m:sty m:val="p"/>
              </m:rPr>
              <m:t>,</m:t>
            </m:r>
            <m:r>
              <m:t>w</m:t>
            </m:r>
          </m:e>
        </m:d>
      </m:oMath>
      <w:r>
        <w:t xml:space="preserve"> </w:t>
      </w:r>
      <w:r>
        <w:t xml:space="preserve">- конечный типизированный взвешенный граф. Фиксируем ортонормированные трехмерные пространства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span</m:t>
          </m:r>
          <m:r>
            <m:rPr>
              <m:sty m:val="p"/>
            </m:rPr>
            <m:t>{</m:t>
          </m:r>
          <m:r>
            <m:t>R</m:t>
          </m:r>
          <m:r>
            <m:rPr>
              <m:sty m:val="p"/>
            </m:rPr>
            <m:t>,</m:t>
          </m:r>
          <m:r>
            <m:t>I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r>
            <m:rPr>
              <m:sty m:val="p"/>
            </m:rPr>
            <m:t>span</m:t>
          </m:r>
          <m:r>
            <m:rPr>
              <m:sty m:val="p"/>
            </m:rPr>
            <m:t>{</m:t>
          </m:r>
          <m:r>
            <m:t>D</m:t>
          </m:r>
          <m:r>
            <m:rPr>
              <m:sty m:val="p"/>
            </m:rPr>
            <m:t>,</m:t>
          </m:r>
          <m:r>
            <m:t>P</m:t>
          </m:r>
          <m:r>
            <m:rPr>
              <m:sty m:val="p"/>
            </m:rPr>
            <m:t>,</m:t>
          </m:r>
          <m:r>
            <m:t>G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Здесь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и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являются аналитическими каналами proof/evidence и gap/blocker и не объявляются дополнительными компонентами Reper. Каждому ребру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сопоставим</w:t>
      </w:r>
      <w:r>
        <w:t xml:space="preserve"> </w:t>
      </w:r>
      <m:oMath>
        <m:sSub>
          <m:e>
            <m:r>
              <m:t>x</m:t>
            </m:r>
          </m:e>
          <m:sub>
            <m:r>
              <m:t>e</m:t>
            </m:r>
          </m:sub>
        </m:sSub>
        <m:r>
          <m:rPr>
            <m:sty m:val="p"/>
          </m:rPr>
          <m:t>∈</m:t>
        </m:r>
        <m:r>
          <m:t>X</m:t>
        </m:r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e</m:t>
            </m:r>
          </m:sub>
        </m:sSub>
        <m:r>
          <m:rPr>
            <m:sty m:val="p"/>
          </m:rPr>
          <m:t>∈</m:t>
        </m:r>
        <m:r>
          <m:t>Y</m:t>
        </m:r>
      </m:oMath>
      <w:r>
        <w:t xml:space="preserve"> </w:t>
      </w:r>
      <w:r>
        <w:t xml:space="preserve">и вес</w:t>
      </w:r>
      <w:r>
        <w:t xml:space="preserve"> </w:t>
      </w:r>
      <m:oMath>
        <m:r>
          <m:t>w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. Определим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e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sub>
            <m:sup>
              <m:r>
                <m:t>​</m:t>
              </m:r>
            </m:sup>
            <m:e>
              <m:r>
                <m:t>w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</m:e>
          </m:d>
          <m:sSub>
            <m:e>
              <m:r>
                <m:t>x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⊗</m:t>
          </m:r>
          <m:sSub>
            <m:e>
              <m:r>
                <m:t>y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e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sub>
            <m:sup>
              <m:r>
                <m:t>​</m:t>
              </m:r>
            </m:sup>
            <m:e>
              <m:r>
                <m:t>w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</m:e>
          </m:d>
          <m:sSub>
            <m:e>
              <m:r>
                <m:t>x</m:t>
              </m:r>
            </m:e>
            <m:sub>
              <m:r>
                <m:t>e</m:t>
              </m:r>
            </m:sub>
          </m:sSub>
          <m:sSubSup>
            <m:e>
              <m:r>
                <m:t>y</m:t>
              </m:r>
            </m:e>
            <m:sub>
              <m:r>
                <m:t>e</m:t>
              </m:r>
            </m:sub>
            <m:sup>
              <m:r>
                <m:t>T</m:t>
              </m:r>
            </m:sup>
          </m:sSubSup>
          <m:r>
            <m:rPr>
              <m:sty m:val="p"/>
            </m:rPr>
            <m:t>.</m:t>
          </m:r>
        </m:oMath>
      </m:oMathPara>
    </w:p>
    <w:bookmarkEnd w:id="22"/>
    <w:bookmarkStart w:id="23" w:name="определение-2.2.-kasvd-паспорт"/>
    <w:p>
      <w:pPr>
        <w:pStyle w:val="Heading2"/>
      </w:pPr>
      <w:r>
        <w:t xml:space="preserve">Определение 2.2. KASVD-паспорт</w:t>
      </w:r>
    </w:p>
    <w:p>
      <w:pPr>
        <w:pStyle w:val="FirstParagraph"/>
      </w:pPr>
      <w:r>
        <w:t xml:space="preserve">Пусть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и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sSub>
            <m:e>
              <m:r>
                <m:t>σ</m:t>
              </m:r>
            </m:e>
            <m:sub>
              <m:r>
                <m:t>2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r>
            <m:t>0</m:t>
          </m:r>
        </m:oMath>
      </m:oMathPara>
    </w:p>
    <w:p>
      <w:pPr>
        <w:pStyle w:val="FirstParagraph"/>
      </w:pPr>
      <w:r>
        <w:t xml:space="preserve">Эти величины являются его сингулярными числами. Положим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∥</m:t>
          </m:r>
          <m:r>
            <m:t>M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s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</m:num>
            <m:den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Тройку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SpecRep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ρ</m:t>
              </m:r>
              <m:r>
                <m:rPr>
                  <m:sty m:val="p"/>
                </m:rPr>
                <m:t>;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назовем спектральным паспортом, а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- KASVD-точкой. Она лежит в замкнутом треугольнике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23"/>
    <w:bookmarkStart w:id="24" w:name="предложение-2.3.-инвариантность-формы"/>
    <w:p>
      <w:pPr>
        <w:pStyle w:val="Heading2"/>
      </w:pPr>
      <w:r>
        <w:t xml:space="preserve">Предложение 2.3. Инвариантность формы</w:t>
      </w:r>
    </w:p>
    <w:p>
      <w:pPr>
        <w:pStyle w:val="FirstParagraph"/>
      </w:pPr>
      <w:r>
        <w:t xml:space="preserve">При преобразовании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↦</m:t>
          </m:r>
          <m:r>
            <m:t>c</m:t>
          </m:r>
          <m:r>
            <m:t>A</m:t>
          </m:r>
          <m:r>
            <m:t>M</m:t>
          </m:r>
          <m:sSup>
            <m:e>
              <m:r>
                <m:t>B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∈</m:t>
          </m:r>
          <m: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,</m:t>
          </m:r>
          <m:r>
            <m:t> </m:t>
          </m:r>
          <m:r>
            <m:t>c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KASVD-точка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сохраняется, а</w:t>
      </w:r>
      <w:r>
        <w:t xml:space="preserve"> </w:t>
      </w:r>
      <m:oMath>
        <m:r>
          <m:t>ρ</m:t>
        </m:r>
      </m:oMath>
      <w:r>
        <w:t xml:space="preserve"> </w:t>
      </w:r>
      <w:r>
        <w:t xml:space="preserve">умножается на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Ортогональные множители не меняют сингулярные числа, а умножение на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умножает все сингулярные числа на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c</m:t>
            </m:r>
          </m:e>
        </m:d>
      </m:oMath>
      <w:r>
        <w:t xml:space="preserve">. Отношения к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неизменны.</w:t>
      </w:r>
      <w:r>
        <w:t xml:space="preserve"> </w:t>
      </w:r>
      <m:oMath>
        <m:r>
          <m:rPr>
            <m:sty m:val="p"/>
          </m:rPr>
          <m:t>▫</m:t>
        </m:r>
      </m:oMath>
    </w:p>
    <w:bookmarkEnd w:id="24"/>
    <w:bookmarkStart w:id="25" w:name="теорема-2.4.-rank-gap"/>
    <w:p>
      <w:pPr>
        <w:pStyle w:val="Heading2"/>
      </w:pPr>
      <w:r>
        <w:t xml:space="preserve">Теорема 2.4. Rank-gap</w:t>
      </w:r>
    </w:p>
    <w:p>
      <w:pPr>
        <w:pStyle w:val="FirstParagraph"/>
      </w:pPr>
      <w:r>
        <w:t xml:space="preserve">Если активные ребра Artifact-графа используют не более двух независимых входных направлений в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или не более двух независимых выходных направлений в</w:t>
      </w:r>
      <w:r>
        <w:t xml:space="preserve"> </w:t>
      </w:r>
      <m:oMath>
        <m:r>
          <m:t>Y</m:t>
        </m:r>
      </m:oMath>
      <w:r>
        <w:t xml:space="preserve">, то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sSub>
            <m:e>
              <m:r>
                <m:t>M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≤</m:t>
          </m:r>
          <m:r>
            <m:t>2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M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В первом случае область существенного действия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имеет размерность не более двух; во втором случае образ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лежит в подпространстве размерности не более двух. В обоих случаях ранг не превосходит двух.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Обратное утверждение неверно:</w:t>
      </w:r>
      <w:r>
        <w:t xml:space="preserve"> </w:t>
      </w:r>
      <m:oMath>
        <m:sSub>
          <m:e>
            <m:r>
              <m:t>σ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может возникать из линейной зависимости или компенсации весов. Поэтому semantic gap, structural gap и spectral gap должны храниться отдельно.</w:t>
      </w:r>
    </w:p>
    <w:bookmarkEnd w:id="25"/>
    <w:bookmarkEnd w:id="26"/>
    <w:bookmarkStart w:id="30" w:name="rank-one-динамика"/>
    <w:p>
      <w:pPr>
        <w:pStyle w:val="Heading1"/>
      </w:pPr>
      <w:r>
        <w:t xml:space="preserve">3. Rank-one динамика</w:t>
      </w:r>
    </w:p>
    <w:p>
      <w:pPr>
        <w:pStyle w:val="FirstParagraph"/>
      </w:pPr>
      <w:r>
        <w:t xml:space="preserve">Пусть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+</m:t>
          </m:r>
          <m:r>
            <m:t>E</m:t>
          </m:r>
          <m:r>
            <m:rPr>
              <m:sty m:val="p"/>
            </m:rPr>
            <m:t>,</m:t>
          </m:r>
          <m:r>
            <m:t>  </m:t>
          </m:r>
          <m:r>
            <m:t>E</m:t>
          </m:r>
          <m:r>
            <m:rPr>
              <m:sty m:val="p"/>
            </m:rPr>
            <m:t>=</m:t>
          </m:r>
          <m:r>
            <m:t>α</m:t>
          </m:r>
          <m:r>
            <m:t>x</m:t>
          </m:r>
          <m:sSup>
            <m:e>
              <m:r>
                <m:t>y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так что</w:t>
      </w:r>
      <w:r>
        <w:t xml:space="preserve"> </w:t>
      </w:r>
      <m:oMath>
        <m:r>
          <m:rPr>
            <m:sty m:val="p"/>
          </m:rPr>
          <m:t>rank</m:t>
        </m:r>
        <m:r>
          <m:t>E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bookmarkStart w:id="27" w:name="теорема-3.1.-критерий-рождения-ранга"/>
    <w:p>
      <w:pPr>
        <w:pStyle w:val="Heading2"/>
      </w:pPr>
      <w:r>
        <w:t xml:space="preserve">Теорема 3.1. Критерий рождения ранга</w:t>
      </w:r>
    </w:p>
    <w:p>
      <w:pPr>
        <w:pStyle w:val="FirstParagraph"/>
      </w:pPr>
      <w:r>
        <w:t xml:space="preserve">Пусть</w:t>
      </w:r>
      <w:r>
        <w:t xml:space="preserve"> </w:t>
      </w:r>
      <m:oMath>
        <m:r>
          <m:rPr>
            <m:sty m:val="p"/>
          </m:rPr>
          <m:t>rank</m:t>
        </m:r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 единичные векторы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и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порождают соответственно</w:t>
      </w:r>
      <w:r>
        <w:t xml:space="preserve"> </w:t>
      </w:r>
      <m:oMath>
        <m:r>
          <m:rPr>
            <m:sty m:val="p"/>
          </m:rPr>
          <m:t>ker</m:t>
        </m:r>
        <m:sSup>
          <m:e>
            <m:r>
              <m:t>M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и</w:t>
      </w:r>
      <w:r>
        <w:t xml:space="preserve"> </w:t>
      </w:r>
      <m:oMath>
        <m:r>
          <m:rPr>
            <m:sty m:val="p"/>
          </m:rPr>
          <m:t>ker</m:t>
        </m:r>
        <m:r>
          <m:t>M</m:t>
        </m:r>
      </m:oMath>
      <w:r>
        <w:t xml:space="preserve">. Тогда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  <m:r>
                <m:rPr>
                  <m:sty m:val="p"/>
                </m:rPr>
                <m:t>+</m:t>
              </m:r>
              <m:r>
                <m:t>α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T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3</m:t>
          </m:r>
        </m:oMath>
      </m:oMathPara>
    </w:p>
    <w:p>
      <w:pPr>
        <w:pStyle w:val="FirstParagraph"/>
      </w:pPr>
      <w:r>
        <w:t xml:space="preserve">тогда и только тогда, когда</w:t>
      </w:r>
    </w:p>
    <w:p>
      <w:pPr>
        <w:pStyle w:val="BodyText"/>
      </w:pPr>
      <m:oMathPara>
        <m:oMathParaPr>
          <m:jc m:val="center"/>
        </m:oMathParaPr>
        <m:oMath>
          <m:r>
            <m:t>α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rPr>
                  <m:sty m:val="p"/>
                </m:rPr>
                <m:t>ℓ</m:t>
              </m:r>
            </m:e>
            <m:sup>
              <m:r>
                <m:t>T</m:t>
              </m:r>
            </m:sup>
          </m:sSup>
          <m:r>
            <m:t>x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y</m:t>
              </m:r>
            </m:e>
            <m:sup>
              <m:r>
                <m:t>T</m:t>
              </m:r>
            </m:sup>
          </m:sSup>
          <m:r>
            <m:t>r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Rank-one обновление увеличивает ранг матрицы ранга два ровно тогда, когда новое левое направление не принадлежит</w:t>
      </w:r>
      <w:r>
        <w:t xml:space="preserve"> </w:t>
      </w:r>
      <m:oMath>
        <m:r>
          <m:rPr>
            <m:sty m:val="p"/>
          </m:rPr>
          <m:t>Col</m:t>
        </m:r>
        <m:r>
          <m:t>M</m:t>
        </m:r>
      </m:oMath>
      <w:r>
        <w:t xml:space="preserve">, а новое правое направление не принадлежит</w:t>
      </w:r>
      <w:r>
        <w:t xml:space="preserve"> </w:t>
      </w:r>
      <m:oMath>
        <m:r>
          <m:rPr>
            <m:sty m:val="p"/>
          </m:rPr>
          <m:t>Row</m:t>
        </m:r>
        <m:r>
          <m:t>M</m:t>
        </m:r>
      </m:oMath>
      <w:r>
        <w:t xml:space="preserve">. Для коразмерности один эти условия эквивалентны указанным ненулевым скалярным произведениям.</w:t>
      </w:r>
      <w:r>
        <w:t xml:space="preserve"> </w:t>
      </w:r>
      <m:oMath>
        <m:r>
          <m:rPr>
            <m:sty m:val="p"/>
          </m:rPr>
          <m:t>▫</m:t>
        </m:r>
      </m:oMath>
    </w:p>
    <w:bookmarkEnd w:id="27"/>
    <w:bookmarkStart w:id="28" w:name="Xb6a9059168e5540b5cf0faf87e40bff53485a09"/>
    <w:p>
      <w:pPr>
        <w:pStyle w:val="Heading2"/>
      </w:pPr>
      <w:r>
        <w:t xml:space="preserve">Теорема 3.2. Ограничение на изменение ранга</w:t>
      </w:r>
    </w:p>
    <w:p>
      <w:pPr>
        <w:pStyle w:val="FirstParagraph"/>
      </w:pPr>
      <w:r>
        <w:t xml:space="preserve">Для rank-one обновления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rank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E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r>
                <m:t>M</m:t>
              </m:r>
            </m:e>
          </m:d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Следовательно один elementary edge update не может перевести rank-one состояние непосредственно в rank-three состояние.</w:t>
      </w:r>
    </w:p>
    <w:bookmarkEnd w:id="28"/>
    <w:bookmarkStart w:id="29" w:name="Xb24bc5d63382ba9f87f0d1bd3342181969ef0ee"/>
    <w:p>
      <w:pPr>
        <w:pStyle w:val="Heading2"/>
      </w:pPr>
      <w:r>
        <w:t xml:space="preserve">Теорема 3.3. Точное rank-one edit distance</w:t>
      </w:r>
    </w:p>
    <w:p>
      <w:pPr>
        <w:pStyle w:val="FirstParagraph"/>
      </w:pPr>
      <w:r>
        <w:t xml:space="preserve">Минимальное число rank-one слагаемых, необходимое для перехода от фиксированной матрицы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к фиксированной матрице</w:t>
      </w:r>
      <w:r>
        <w:t xml:space="preserve"> </w:t>
      </w:r>
      <m:oMath>
        <m:r>
          <m:t>N</m:t>
        </m:r>
      </m:oMath>
      <w:r>
        <w:t xml:space="preserve">, равно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M</m:t>
                  </m:r>
                </m:e>
              </m:d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Сумма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rank-one матриц имеет ранг не более</w:t>
      </w:r>
      <w:r>
        <w:t xml:space="preserve"> </w:t>
      </w:r>
      <m:oMath>
        <m:r>
          <m:t>k</m:t>
        </m:r>
      </m:oMath>
      <w:r>
        <w:t xml:space="preserve">, откуда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rPr>
            <m:sty m:val="p"/>
          </m:rPr>
          <m:t>rank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e>
        </m:d>
      </m:oMath>
      <w:r>
        <w:t xml:space="preserve">. С другой стороны, SVD матрицы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M</m:t>
        </m:r>
      </m:oMath>
      <w:r>
        <w:t xml:space="preserve"> </w:t>
      </w:r>
      <w:r>
        <w:t xml:space="preserve">разлагает ее в сумму ровно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rank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e>
        </m:d>
      </m:oMath>
      <w:r>
        <w:t xml:space="preserve"> </w:t>
      </w:r>
      <w:r>
        <w:t xml:space="preserve">rank-one слагаемых.</w:t>
      </w:r>
      <w:r>
        <w:t xml:space="preserve"> </w:t>
      </w:r>
      <m:oMath>
        <m:r>
          <m:rPr>
            <m:sty m:val="p"/>
          </m:rPr>
          <m:t>▫</m:t>
        </m:r>
      </m:oMath>
    </w:p>
    <w:bookmarkEnd w:id="29"/>
    <w:bookmarkEnd w:id="30"/>
    <w:bookmarkStart w:id="32" w:name="kasvd-стратификация-и-смежность"/>
    <w:p>
      <w:pPr>
        <w:pStyle w:val="Heading1"/>
      </w:pPr>
      <w:r>
        <w:t xml:space="preserve">4. KASVD-стратификация и смежность</w:t>
      </w:r>
    </w:p>
    <w:p>
      <w:pPr>
        <w:pStyle w:val="FirstParagraph"/>
      </w:pPr>
      <w:r>
        <w:t xml:space="preserve">Для ненулевой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матрицы рассматриваются семь страт: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2</m:t>
              </m:r>
              <m:r>
                <m:t>g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2</m:t>
              </m:r>
              <m:r>
                <m:t>e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t>g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rPr>
                  <m:sty m:val="p"/>
                </m:rPr>
                <m:t>,</m:t>
              </m:r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rPr>
                  <m:sty m:val="p"/>
                </m:rPr>
                <m:t>,</m:t>
              </m:r>
              <m:r>
                <m:t>23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где индекс задает ранг,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означает попарно различные положительные сингулярные числа,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- равенство двух положительных сингулярных чисел при rank two, а</w:t>
      </w:r>
      <w:r>
        <w:t xml:space="preserve"> </w:t>
      </w:r>
      <m:oMath>
        <m:r>
          <m:t>12</m:t>
        </m:r>
      </m:oMath>
      <w:r>
        <w:t xml:space="preserve">,</w:t>
      </w:r>
      <w:r>
        <w:t xml:space="preserve"> </w:t>
      </w:r>
      <m:oMath>
        <m:r>
          <m:t>23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- соответствующие кратности в rank three.</w:t>
      </w:r>
    </w:p>
    <w:bookmarkStart w:id="31" w:name="Xc897e3098085b12d2e7854df279f9f6e367312b"/>
    <w:p>
      <w:pPr>
        <w:pStyle w:val="Heading2"/>
      </w:pPr>
      <w:r>
        <w:t xml:space="preserve">Теорема 4.1. Экзистенциальная rank-one смежность</w:t>
      </w:r>
    </w:p>
    <w:p>
      <w:pPr>
        <w:pStyle w:val="FirstParagraph"/>
      </w:pPr>
      <w:r>
        <w:t xml:space="preserve">Для двух KASVD-страт существует хотя бы одна пара представителей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α</m:t>
            </m:r>
          </m:sub>
        </m:sSub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β</m:t>
            </m:r>
          </m:sub>
        </m:sSub>
      </m:oMath>
      <w:r>
        <w:t xml:space="preserve"> </w:t>
      </w:r>
      <w:r>
        <w:t xml:space="preserve">с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−</m:t>
              </m:r>
              <m:r>
                <m:t>M</m:t>
              </m:r>
            </m:e>
          </m:d>
          <m:r>
            <m:rPr>
              <m:sty m:val="p"/>
            </m:rPr>
            <m:t>≤</m:t>
          </m:r>
          <m:r>
            <m:t>1</m:t>
          </m:r>
        </m:oMath>
      </m:oMathPara>
    </w:p>
    <w:p>
      <w:pPr>
        <w:pStyle w:val="FirstParagraph"/>
      </w:pPr>
      <w:r>
        <w:t xml:space="preserve">тогда и только тогда, когда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rank</m:t>
              </m:r>
              <m:sSub>
                <m:e>
                  <m:r>
                    <m:t>S</m:t>
                  </m:r>
                </m:e>
                <m:sub>
                  <m:r>
                    <m:t>α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sSub>
                <m:e>
                  <m:r>
                    <m:t>S</m:t>
                  </m:r>
                </m:e>
                <m:sub>
                  <m:r>
                    <m:t>β</m:t>
                  </m:r>
                </m:sub>
              </m:sSub>
            </m:e>
          </m:d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Необходимость следует из стандартного неравенства рангов. Для достаточности по рангам 1-2 используются диагональные представители</w:t>
      </w:r>
      <w:r>
        <w:t xml:space="preserve"> </w:t>
      </w:r>
      <m:oMath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и</w:t>
      </w:r>
      <w:r>
        <w:t xml:space="preserve"> </w:t>
      </w:r>
      <m:oMath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, включая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при необходимости. Для переходов 2-3 диагональные представители закрывают generic и double strata; переход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  <m:r>
              <m:t>g</m:t>
            </m:r>
          </m:sub>
        </m:sSub>
        <m:r>
          <m:rPr>
            <m:sty m:val="p"/>
          </m:rPr>
          <m:t>→</m:t>
        </m:r>
        <m:sSub>
          <m:e>
            <m:r>
              <m:t>S</m:t>
            </m:r>
          </m:e>
          <m:sub>
            <m:r>
              <m:t>3</m:t>
            </m:r>
            <m:r>
              <m:t>i</m:t>
            </m:r>
          </m:sub>
        </m:sSub>
      </m:oMath>
      <w:r>
        <w:t xml:space="preserve"> </w:t>
      </w:r>
      <w:r>
        <w:t xml:space="preserve">реализуется, например, как</w:t>
      </w:r>
      <w:r>
        <w:t xml:space="preserve"> </w:t>
      </w:r>
      <m:oMath>
        <m:r>
          <m:t>I</m:t>
        </m:r>
        <m:r>
          <m:rPr>
            <m:sty m:val="p"/>
          </m:rPr>
          <m:t>−</m:t>
        </m:r>
        <m:r>
          <m:t>u</m:t>
        </m:r>
        <m:sSup>
          <m:e>
            <m:r>
              <m:t>v</m:t>
            </m:r>
          </m:e>
          <m:sup>
            <m:r>
              <m:t>T</m:t>
            </m:r>
          </m:sup>
        </m:sSup>
        <m:r>
          <m:rPr>
            <m:sty m:val="p"/>
          </m:rPr>
          <m:t>→</m:t>
        </m:r>
        <m:r>
          <m:t>I</m:t>
        </m:r>
      </m:oMath>
      <w:r>
        <w:t xml:space="preserve"> </w:t>
      </w:r>
      <w:r>
        <w:t xml:space="preserve">при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, причем</w:t>
      </w:r>
      <w:r>
        <w:t xml:space="preserve"> </w:t>
      </w:r>
      <m:oMath>
        <m:r>
          <m:t>I</m:t>
        </m:r>
        <m:r>
          <m:rPr>
            <m:sty m:val="p"/>
          </m:rPr>
          <m:t>−</m:t>
        </m:r>
        <m:r>
          <m:t>u</m:t>
        </m:r>
        <m:sSup>
          <m:e>
            <m:r>
              <m:t>v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имеет сингулярные числа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 Внутри rank-three блока прямые rank-one примеры получают изменением одной диагональной координаты; переход</w:t>
      </w:r>
      <w:r>
        <w:t xml:space="preserve"> </w:t>
      </w:r>
      <m:oMath>
        <m:sSub>
          <m:e>
            <m:r>
              <m:t>S</m:t>
            </m:r>
          </m:e>
          <m:sub>
            <m:r>
              <m:t>3</m:t>
            </m:r>
            <m:r>
              <m:t>i</m:t>
            </m:r>
          </m:sub>
        </m:sSub>
        <m:r>
          <m:rPr>
            <m:sty m:val="p"/>
          </m:rPr>
          <m:t>→</m:t>
        </m:r>
        <m:sSub>
          <m:e>
            <m:r>
              <m:t>S</m:t>
            </m:r>
          </m:e>
          <m:sub>
            <m:r>
              <m:t>3</m:t>
            </m:r>
            <m:r>
              <m:t>g</m:t>
            </m:r>
          </m:sub>
        </m:sSub>
      </m:oMath>
      <w:r>
        <w:t xml:space="preserve"> </w:t>
      </w:r>
      <w:r>
        <w:t xml:space="preserve">реализуется матрицей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1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e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e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T</m:t>
            </m:r>
          </m:sup>
        </m:sSup>
      </m:oMath>
      <w:r>
        <w:t xml:space="preserve">, имеющей три различные сингулярные величины. Обратные стрелки получаются заменой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на</w:t>
      </w:r>
      <w:r>
        <w:t xml:space="preserve"> </w:t>
      </w:r>
      <m:oMath>
        <m:r>
          <m:rPr>
            <m:sty m:val="p"/>
          </m:rPr>
          <m:t>−</m:t>
        </m:r>
        <m:r>
          <m:t>E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Теорема является утверждением о существовании представителей. Для конкретных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и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правильным критерием остается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rPr>
            <m:sty m:val="p"/>
          </m:rPr>
          <m:t>=</m:t>
        </m:r>
        <m:r>
          <m:rPr>
            <m:sty m:val="p"/>
          </m:rPr>
          <m:t>rank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e>
        </m:d>
      </m:oMath>
      <w:r>
        <w:t xml:space="preserve">.</w:t>
      </w:r>
    </w:p>
    <w:bookmarkEnd w:id="31"/>
    <w:bookmarkEnd w:id="32"/>
    <w:bookmarkStart w:id="34" w:name="спектральная-устойчивость"/>
    <w:p>
      <w:pPr>
        <w:pStyle w:val="Heading1"/>
      </w:pPr>
      <w:r>
        <w:t xml:space="preserve">5. Спектральная устойчивость</w:t>
      </w:r>
    </w:p>
    <w:p>
      <w:pPr>
        <w:pStyle w:val="FirstParagraph"/>
      </w:pPr>
      <w:r>
        <w:t xml:space="preserve">Для возмущения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E</m:t>
        </m:r>
      </m:oMath>
      <w:r>
        <w:t xml:space="preserve"> </w:t>
      </w:r>
      <w:r>
        <w:t xml:space="preserve">стандартная оценка сингулярных чисел дает [3,4]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σ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′</m:t>
                  </m:r>
                </m:e>
              </m:d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</m:e>
          </m:d>
          <m:r>
            <m:rPr>
              <m:sty m:val="p"/>
            </m:rPr>
            <m:t>≤</m:t>
          </m:r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В generic full-rank страте положим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и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r</m:t>
                  </m:r>
                </m:e>
                <m:sub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e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{</m:t>
              </m:r>
              <m:sSub>
                <m:e>
                  <m:r>
                    <m:t>m</m:t>
                  </m:r>
                </m:e>
                <m:sub>
                  <m:r>
                    <m:t>R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bookmarkStart w:id="33" w:name="следствие-5.1.-safe-radius-гарантия"/>
    <w:p>
      <w:pPr>
        <w:pStyle w:val="Heading2"/>
      </w:pPr>
      <w:r>
        <w:t xml:space="preserve">Следствие 5.1. Safe-radius гарантия</w:t>
      </w:r>
    </w:p>
    <w:p>
      <w:pPr>
        <w:pStyle w:val="FirstParagraph"/>
      </w:pPr>
      <w:r>
        <w:t xml:space="preserve">Если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r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то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E</m:t>
        </m:r>
      </m:oMath>
      <w:r>
        <w:t xml:space="preserve"> </w:t>
      </w:r>
      <w:r>
        <w:t xml:space="preserve">остается full-rank и не пересекает поверхности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и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Для последовательности обновлений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отсутствие промежуточного crossing гарантируется, например, более сильным условием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∥</m:t>
              </m:r>
            </m:e>
          </m:nary>
          <m:sSub>
            <m:e>
              <m:r>
                <m:t>E</m:t>
              </m:r>
            </m:e>
            <m:sub>
              <m:r>
                <m:t>j</m:t>
              </m:r>
            </m:sub>
          </m:sSub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r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поскольку оно контролирует каждый prefix.</w:t>
      </w:r>
    </w:p>
    <w:bookmarkEnd w:id="33"/>
    <w:bookmarkEnd w:id="34"/>
    <w:bookmarkStart w:id="36" w:name="семимерная-антикоммутативная-алгебра"/>
    <w:p>
      <w:pPr>
        <w:pStyle w:val="Heading1"/>
      </w:pPr>
      <w:r>
        <w:t xml:space="preserve">6. Семимерная антикоммутативная алгебра</w:t>
      </w:r>
    </w:p>
    <w:p>
      <w:pPr>
        <w:pStyle w:val="FirstParagraph"/>
      </w:pPr>
      <w:r>
        <w:t xml:space="preserve">Пусть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V</m:t>
          </m:r>
          <m:r>
            <m:rPr>
              <m:sty m:val="p"/>
            </m:rPr>
            <m:t>⊕</m:t>
          </m:r>
          <m:r>
            <m:t>W</m:t>
          </m:r>
          <m:r>
            <m:rPr>
              <m:sty m:val="p"/>
            </m:rPr>
            <m:t>⊕</m:t>
          </m:r>
          <m:r>
            <m:t>L</m:t>
          </m:r>
          <m:r>
            <m:rPr>
              <m:sty m:val="p"/>
            </m:rPr>
            <m:t>,</m:t>
          </m:r>
          <m:r>
            <m:t>  </m:t>
          </m:r>
          <m:r>
            <m:t>V</m:t>
          </m:r>
          <m:r>
            <m:rPr>
              <m:sty m:val="p"/>
            </m:rPr>
            <m:t>≅</m:t>
          </m:r>
          <m:r>
            <m:t>W</m:t>
          </m:r>
          <m:r>
            <m:rPr>
              <m:sty m:val="p"/>
            </m:rPr>
            <m:t>≅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L</m:t>
          </m:r>
          <m:r>
            <m:rPr>
              <m:sty m:val="p"/>
            </m:rPr>
            <m:t>=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и определим антикоммутативное произведение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</m:e>
              </m:d>
              <m:r>
                <m:rPr>
                  <m:sty m:val="p"/>
                </m:rPr>
                <m:t>,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′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  <m:r>
                    <m:rPr>
                      <m:sty m:val="p"/>
                    </m:rPr>
                    <m:t>′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e>
              </m:d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v</m:t>
              </m:r>
              <m:r>
                <m:rPr>
                  <m:sty m:val="p"/>
                </m:rPr>
                <m:t>×</m:t>
              </m:r>
              <m:r>
                <m:t>v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w</m:t>
              </m:r>
              <m:r>
                <m:rPr>
                  <m:sty m:val="p"/>
                </m:rPr>
                <m:t>×</m:t>
              </m:r>
              <m:r>
                <m:t>w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t> </m:t>
              </m:r>
              <m:sSup>
                <m:e>
                  <m:r>
                    <m:t>v</m:t>
                  </m:r>
                </m:e>
                <m:sup>
                  <m:r>
                    <m:t>T</m:t>
                  </m:r>
                </m:sup>
              </m:sSup>
              <m:r>
                <m:t>M</m:t>
              </m:r>
              <m:r>
                <m:t>w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−</m:t>
              </m:r>
              <m:r>
                <m:t>v</m:t>
              </m:r>
              <m:sSup>
                <m:e>
                  <m:r>
                    <m:rPr>
                      <m:sty m:val="p"/>
                    </m:rPr>
                    <m:t>′</m:t>
                  </m:r>
                </m:e>
                <m:sup>
                  <m:r>
                    <m:t>T</m:t>
                  </m:r>
                </m:sup>
              </m:sSup>
              <m:r>
                <m:t>M</m:t>
              </m:r>
              <m:r>
                <m:t>w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Вектор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является центральным аннулятором. При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имеем Lie-алгебру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≅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⊕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⊕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При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смешанный блок, вообще говоря, нарушает Jacobi identity.</w:t>
      </w:r>
    </w:p>
    <w:bookmarkStart w:id="35" w:name="Xd9c68e348ff567a0aef0eb1f859b6a39acc732e"/>
    <w:p>
      <w:pPr>
        <w:pStyle w:val="Heading2"/>
      </w:pPr>
      <w:r>
        <w:t xml:space="preserve">Предложение 6.1. Ориентационно сохраняющая SVD-эквивалентность</w:t>
      </w:r>
    </w:p>
    <w:p>
      <w:pPr>
        <w:pStyle w:val="FirstParagraph"/>
      </w:pPr>
      <w:r>
        <w:t xml:space="preserve">Если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и центральная координата перенормируется ненулевым множителем, то смешанный блок преобразуется в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↦</m:t>
          </m:r>
          <m:r>
            <m:t>c</m:t>
          </m:r>
          <m:r>
            <m:t>A</m:t>
          </m:r>
          <m:r>
            <m:t>M</m:t>
          </m:r>
          <m:sSup>
            <m:e>
              <m:r>
                <m:t>B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c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Следовательно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является инвариантом этой эквивалентности.</w:t>
      </w:r>
    </w:p>
    <w:p>
      <w:pPr>
        <w:pStyle w:val="BodyText"/>
      </w:pPr>
      <w:r>
        <w:t xml:space="preserve">Важно, что Artifact-оператор допускает более широкое действие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, тогда как cross product естественно эквивариантен относительно</w:t>
      </w:r>
      <w:r>
        <w:t xml:space="preserve"> </w:t>
      </w:r>
      <m:oMath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. Поэтому общим объектом двух уровней являются SVD-инварианты, а не тождество полных групп преобразований.</w:t>
      </w:r>
    </w:p>
    <w:bookmarkEnd w:id="35"/>
    <w:bookmarkEnd w:id="36"/>
    <w:bookmarkStart w:id="38" w:name="деривации"/>
    <w:p>
      <w:pPr>
        <w:pStyle w:val="Heading1"/>
      </w:pPr>
      <w:r>
        <w:t xml:space="preserve">7. Деривации</w:t>
      </w:r>
    </w:p>
    <w:bookmarkStart w:id="37" w:name="Xcfbfeb8399fe56cd65c3401f58cc3c0c2233b79"/>
    <w:p>
      <w:pPr>
        <w:pStyle w:val="Heading2"/>
      </w:pPr>
      <w:r>
        <w:t xml:space="preserve">Теорема 7.1. Стабилизатор смешанного блока</w:t>
      </w:r>
    </w:p>
    <w:p>
      <w:pPr>
        <w:pStyle w:val="FirstParagraph"/>
      </w:pPr>
      <w:r>
        <w:t xml:space="preserve">Пусть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. Любая деривация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индуцирует на</w:t>
      </w:r>
      <w:r>
        <w:t xml:space="preserve"> </w:t>
      </w:r>
      <m:oMath>
        <m:r>
          <m:t>V</m:t>
        </m:r>
        <m:r>
          <m:rPr>
            <m:sty m:val="p"/>
          </m:rPr>
          <m:t>⊕</m:t>
        </m:r>
        <m:r>
          <m:t>W</m:t>
        </m:r>
      </m:oMath>
      <w:r>
        <w:t xml:space="preserve"> </w:t>
      </w:r>
      <w:r>
        <w:t xml:space="preserve">блок</w:t>
      </w:r>
      <w:r>
        <w:t xml:space="preserve"> </w:t>
      </w:r>
      <m:oMath>
        <m:r>
          <m:t>P</m:t>
        </m:r>
        <m:r>
          <m:rPr>
            <m:sty m:val="p"/>
          </m:rPr>
          <m:t>⊕</m:t>
        </m:r>
        <m:r>
          <m:t>Q</m:t>
        </m:r>
      </m:oMath>
      <w:r>
        <w:t xml:space="preserve">, где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∈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и выполняется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t>Q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Если положительные сингулярные значения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имеют кратности</w:t>
      </w:r>
      <w:r>
        <w:t xml:space="preserve"> </w:t>
      </w:r>
      <m:oMath>
        <m:sSub>
          <m:e>
            <m:r>
              <m:t>m</m:t>
            </m:r>
          </m:e>
          <m:sub>
            <m:r>
              <m:t>α</m:t>
            </m:r>
          </m:sub>
        </m:sSub>
      </m:oMath>
      <w:r>
        <w:t xml:space="preserve">, а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dim</m:t>
          </m:r>
          <m:r>
            <m:rPr>
              <m:sty m:val="p"/>
            </m:rPr>
            <m:t>ker</m:t>
          </m:r>
          <m:r>
            <m:t>M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то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Der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α</m:t>
                  </m:r>
                </m:sub>
                <m:sup>
                  <m:r>
                    <m:t>​</m:t>
                  </m:r>
                </m: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noBar"/>
                        </m:fPr>
                        <m:num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α</m:t>
                              </m:r>
                            </m:sub>
                          </m:sSub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</m:e>
              </m:nary>
              <m:r>
                <m:rPr>
                  <m:sty m:val="p"/>
                </m:rPr>
                <m:t>+</m:t>
              </m:r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Аннулятор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характеристичен. На факторе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  <m:r>
          <m:rPr>
            <m:sty m:val="p"/>
          </m:rPr>
          <m:t>/</m:t>
        </m:r>
        <m:r>
          <m:t>L</m:t>
        </m:r>
        <m:r>
          <m:rPr>
            <m:sty m:val="p"/>
          </m:rPr>
          <m:t>≅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⊕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индуцированная деривация внутренняя, поэтому задается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∈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. Совместимость с центральной формой имеет вид</w:t>
      </w:r>
      <w:r>
        <w:t xml:space="preserve"> </w:t>
      </w:r>
      <m:oMath>
        <m:r>
          <m:t>c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P</m:t>
        </m:r>
        <m:r>
          <m:t>M</m:t>
        </m:r>
        <m:r>
          <m:rPr>
            <m:sty m:val="p"/>
          </m:rPr>
          <m:t>+</m:t>
        </m:r>
        <m:r>
          <m:t>M</m:t>
        </m:r>
        <m:r>
          <m:t>Q</m:t>
        </m:r>
      </m:oMath>
      <w:r>
        <w:t xml:space="preserve">. Скалярное произведение Фробениуса с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дает</w:t>
      </w:r>
      <w:r>
        <w:t xml:space="preserve"> </w:t>
      </w:r>
      <m:oMath>
        <m:r>
          <m:t>c</m:t>
        </m:r>
        <m:r>
          <m:rPr>
            <m:sty m:val="p"/>
          </m:rPr>
          <m:t>∥</m:t>
        </m:r>
        <m:r>
          <m:t>M</m:t>
        </m:r>
        <m:sSubSup>
          <m:e>
            <m:r>
              <m:rPr>
                <m:sty m:val="p"/>
              </m:rPr>
              <m:t>∥</m:t>
            </m:r>
          </m:e>
          <m:sub>
            <m:r>
              <m:t>F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</m:oMath>
      <w:r>
        <w:t xml:space="preserve">, поскольку следы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T</m:t>
                </m:r>
              </m:sup>
            </m:sSup>
            <m:r>
              <m:t>P</m:t>
            </m:r>
            <m:r>
              <m:t>M</m:t>
            </m:r>
          </m:e>
        </m:d>
      </m:oMath>
      <w:r>
        <w:t xml:space="preserve"> </w:t>
      </w:r>
      <w:r>
        <w:t xml:space="preserve">и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T</m:t>
                </m:r>
              </m:sup>
            </m:sSup>
            <m:r>
              <m:t>M</m:t>
            </m:r>
            <m:r>
              <m:t>Q</m:t>
            </m:r>
          </m:e>
        </m:d>
      </m:oMath>
      <w:r>
        <w:t xml:space="preserve"> </w:t>
      </w:r>
      <w:r>
        <w:t xml:space="preserve">равны нулю для кососимметричных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</m:oMath>
      <w:r>
        <w:t xml:space="preserve">. Значит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После SVD уравнение</w:t>
      </w:r>
      <w:r>
        <w:t xml:space="preserve"> </w:t>
      </w:r>
      <m:oMath>
        <m:r>
          <m:t>P</m:t>
        </m:r>
        <m:r>
          <m:t>M</m:t>
        </m:r>
        <m:r>
          <m:rPr>
            <m:sty m:val="p"/>
          </m:rPr>
          <m:t>=</m:t>
        </m:r>
        <m:r>
          <m:t>M</m:t>
        </m:r>
        <m:r>
          <m:t>Q</m:t>
        </m:r>
      </m:oMath>
      <w:r>
        <w:t xml:space="preserve"> </w:t>
      </w:r>
      <w:r>
        <w:t xml:space="preserve">распадается по блокам равных положительных сингулярных значений и по ядру. Каждый положительный блок кратности</w:t>
      </w:r>
      <w:r>
        <w:t xml:space="preserve"> </w:t>
      </w:r>
      <m:oMath>
        <m:sSub>
          <m:e>
            <m:r>
              <m:t>m</m:t>
            </m:r>
          </m:e>
          <m:sub>
            <m:r>
              <m:t>α</m:t>
            </m:r>
          </m:sub>
        </m:sSub>
      </m:oMath>
      <w:r>
        <w:t xml:space="preserve"> </w:t>
      </w:r>
      <w:r>
        <w:t xml:space="preserve">дает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sSub>
                  <m:e>
                    <m:r>
                      <m:t>m</m:t>
                    </m:r>
                  </m:e>
                  <m:sub>
                    <m:r>
                      <m:t>α</m:t>
                    </m:r>
                  </m:sub>
                </m:sSub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параметров, а два независимых кососимметричных блока в</w:t>
      </w:r>
      <w:r>
        <w:t xml:space="preserve"> </w:t>
      </w:r>
      <m:oMath>
        <m:r>
          <m:t>k</m:t>
        </m:r>
      </m:oMath>
      <w:r>
        <w:t xml:space="preserve">-мерном ядре дают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k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bookmarkEnd w:id="37"/>
    <w:bookmarkEnd w:id="38"/>
    <w:bookmarkStart w:id="42" w:name="Xa8e5c4e64297ec41350e2755fcdc61e253e245e"/>
    <w:p>
      <w:pPr>
        <w:pStyle w:val="Heading1"/>
      </w:pPr>
      <w:r>
        <w:t xml:space="preserve">8. Binary-Lie, Malcev и Sagle: жесткость семейства</w:t>
      </w:r>
    </w:p>
    <w:p>
      <w:pPr>
        <w:pStyle w:val="FirstParagraph"/>
      </w:pPr>
      <w:r>
        <w:t xml:space="preserve">Пусть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x</m:t>
              </m:r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,</m:t>
              </m:r>
              <m:r>
                <m:t>y</m:t>
              </m:r>
            </m:e>
          </m:d>
        </m:oMath>
      </m:oMathPara>
    </w:p>
    <w:p>
      <w:pPr>
        <w:pStyle w:val="FirstParagraph"/>
      </w:pPr>
      <w:r>
        <w:t xml:space="preserve">Эта величина называется якобиатором.</w:t>
      </w:r>
    </w:p>
    <w:bookmarkStart w:id="39" w:name="теорема-8.1.-binary-lie-rigidity"/>
    <w:p>
      <w:pPr>
        <w:pStyle w:val="Heading2"/>
      </w:pPr>
      <w:r>
        <w:t xml:space="preserve">Теорема 8.1. Binary-Lie rigidity</w:t>
      </w:r>
    </w:p>
    <w:p>
      <w:pPr>
        <w:pStyle w:val="FirstParagraph"/>
      </w:pPr>
      <w:r>
        <w:t xml:space="preserve">Для семейства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В антикоммутативной записи Binary-Lie identity эквивалентна [1,2]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Для каждого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</m:oMath>
      <w:r>
        <w:t xml:space="preserve"> </w:t>
      </w:r>
      <w:r>
        <w:t xml:space="preserve">выбираем любой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и полагаем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f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Прямой расчет дает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e>
                  </m:d>
                </m:e>
              </m:d>
              <m:r>
                <m:rPr>
                  <m:sty m:val="p"/>
                </m:rPr>
                <m:t>=</m:t>
              </m:r>
              <m:sSub>
                <m:e>
                  <m:r>
                    <m:t>M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h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t xml:space="preserve">Следовательно все девять коэффициентов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равны нулю. Обратно,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дает Lie-алгебру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а всякая Lie-алгебра является Binary-Lie.</w:t>
      </w:r>
      <w:r>
        <w:t xml:space="preserve"> </w:t>
      </w:r>
      <m:oMath>
        <m:r>
          <m:rPr>
            <m:sty m:val="p"/>
          </m:rPr>
          <m:t>▫</m:t>
        </m:r>
      </m:oMath>
    </w:p>
    <w:bookmarkEnd w:id="39"/>
    <w:bookmarkStart w:id="40" w:name="следствие-8.2.-malcev-rigidity"/>
    <w:p>
      <w:pPr>
        <w:pStyle w:val="Heading2"/>
      </w:pPr>
      <w:r>
        <w:t xml:space="preserve">Следствие 8.2. Malcev rigidity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v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Всякая Malcev-алгебра является Binary-Lie [1,2]. Применяем теорему 8.1; обратное направление следует из Lie-случая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bookmarkEnd w:id="40"/>
    <w:bookmarkStart w:id="41" w:name="теорема-8.3.-sagle-rigidity"/>
    <w:p>
      <w:pPr>
        <w:pStyle w:val="Heading2"/>
      </w:pPr>
      <w:r>
        <w:t xml:space="preserve">Теорема 8.3. Sagle rigidity</w:t>
      </w:r>
    </w:p>
    <w:p>
      <w:pPr>
        <w:pStyle w:val="FirstParagraph"/>
      </w:pPr>
      <w:r>
        <w:t xml:space="preserve">Пусть Sagle identity записано в форме [1]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=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+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+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Тогда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g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Введем Sagle-defect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  <m:scr m:val="script"/>
            </m:rP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Для стандартных базисов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пространства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и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пространства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прямое вычисление дает таблицу: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коэффициент</w:t>
            </w:r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script"/>
                </m:rPr>
                <m:t>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13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31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33</m:t>
                  </m:r>
                </m:sub>
              </m:sSub>
              <m:r>
                <m:t>h</m:t>
              </m:r>
            </m:oMath>
          </w:p>
        </w:tc>
      </w:tr>
    </w:tbl>
    <w:p>
      <w:pPr>
        <w:pStyle w:val="BodyText"/>
      </w:pPr>
      <w:r>
        <w:t xml:space="preserve">Если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является Sagle-алгеброй, каждый дефект равен нулю; следовательно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для всех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</m:oMath>
      <w:r>
        <w:t xml:space="preserve">. Обратно,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дает Lie-алгебру, а Lie-алгебры удовлетворяют Sagle identity.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Таким образом внутри семейства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три более широких неассоциативных класса схлопываются к единственному Lie-слою: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v</m:t>
              </m:r>
              <m:r>
                <m:rPr>
                  <m:sty m:val="p"/>
                </m:rPr>
                <m:t>⇔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g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bookmarkEnd w:id="41"/>
    <w:bookmarkEnd w:id="42"/>
    <w:bookmarkStart w:id="44" w:name="общий-svd-модульный-мост"/>
    <w:p>
      <w:pPr>
        <w:pStyle w:val="Heading1"/>
      </w:pPr>
      <w:r>
        <w:t xml:space="preserve">9. Общий SVD-модульный мост</w:t>
      </w:r>
    </w:p>
    <w:bookmarkStart w:id="43" w:name="теорема-9.1.-artifactkasvd---a_m-bridge"/>
    <w:p>
      <w:pPr>
        <w:pStyle w:val="Heading2"/>
      </w:pPr>
      <w:r>
        <w:t xml:space="preserve">Теорема 9.1. Artifact/KASVD -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bridge</w:t>
      </w:r>
    </w:p>
    <w:p>
      <w:pPr>
        <w:pStyle w:val="FirstParagraph"/>
      </w:pPr>
      <w:r>
        <w:t xml:space="preserve">Пусть одна и та же ненулевая матрица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используется</w:t>
      </w:r>
    </w:p>
    <w:p>
      <w:pPr>
        <w:pStyle w:val="Compact"/>
        <w:numPr>
          <w:ilvl w:val="0"/>
          <w:numId w:val="1001"/>
        </w:numPr>
      </w:pPr>
      <w:r>
        <w:t xml:space="preserve">как матрица Artifact-оператора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как смешанный центральный блок антикоммутативной алгебры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Тогда нормализованный спектр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3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</m:d>
        </m:oMath>
      </m:oMathPara>
    </w:p>
    <w:p>
      <w:pPr>
        <w:pStyle w:val="FirstParagraph"/>
      </w:pPr>
      <w:r>
        <w:t xml:space="preserve">является общим инвариантом ортогонально-масштабной геометрии Artifact-оператора и ориентационно сохраняющей ортогонально-масштабной эквивалентности алгебраического смешанного блока.</w:t>
      </w:r>
    </w:p>
    <w:p>
      <w:pPr>
        <w:pStyle w:val="BodyText"/>
      </w:pPr>
      <w:r>
        <w:rPr>
          <w:b/>
          <w:bCs/>
        </w:rPr>
        <w:t xml:space="preserve">Доказательство.</w:t>
      </w:r>
      <w:r>
        <w:t xml:space="preserve"> </w:t>
      </w:r>
      <w:r>
        <w:t xml:space="preserve">На Artifact-уровне сингулярные отношения инвариантны относительно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и ненулевого общего масштаба. На алгебраическом уровне допустимое непрерывное базисное действие содержит</w:t>
      </w:r>
      <w:r>
        <w:t xml:space="preserve"> </w:t>
      </w:r>
      <m:oMath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и тот же ненулевой масштаб центральной координаты. В обоих случаях сингулярные числа меняются лишь общим множителем, поэтому их отношения совпадают.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Теорема не утверждает, что семантический Artifact является алгеброй. Она утверждает только существование строгого общего матричного инварианта.</w:t>
      </w:r>
    </w:p>
    <w:bookmarkEnd w:id="43"/>
    <w:bookmarkEnd w:id="44"/>
    <w:bookmarkStart w:id="46" w:name="взвешенный-kasvd-и-вариационный-слой"/>
    <w:p>
      <w:pPr>
        <w:pStyle w:val="Heading1"/>
      </w:pPr>
      <w:r>
        <w:t xml:space="preserve">10. Взвешенный KASVD и вариационный слой</w:t>
      </w:r>
    </w:p>
    <w:p>
      <w:pPr>
        <w:pStyle w:val="FirstParagraph"/>
      </w:pPr>
      <w:r>
        <w:t xml:space="preserve">Для фиксированной матрицы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и целевой страты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определим локальную стоимость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M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inf</m:t>
          </m:r>
          <m:r>
            <m:rPr>
              <m:sty m:val="p"/>
            </m:rPr>
            <m:t>{</m:t>
          </m:r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:</m:t>
          </m:r>
          <m:r>
            <m:rPr>
              <m:sty m:val="p"/>
            </m:rPr>
            <m:t>rank</m:t>
          </m:r>
          <m:r>
            <m:t>E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,</m:t>
          </m:r>
          <m:r>
            <m:t> </m:t>
          </m:r>
          <m:r>
            <m:t>M</m:t>
          </m:r>
          <m:r>
            <m:rPr>
              <m:sty m:val="p"/>
            </m:rPr>
            <m:t>+</m:t>
          </m:r>
          <m:r>
            <m:t>E</m:t>
          </m:r>
          <m:r>
            <m:rPr>
              <m:sty m:val="p"/>
            </m:rPr>
            <m:t>∈</m:t>
          </m:r>
          <m:r>
            <m:t>T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Для full-rank матрицы минимальная стоимость потери ранга равна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R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,</m:t>
              </m:r>
            </m:e>
          </m:borderBox>
        </m:oMath>
      </m:oMathPara>
    </w:p>
    <w:p>
      <w:pPr>
        <w:pStyle w:val="FirstParagraph"/>
      </w:pPr>
      <w:r>
        <w:t xml:space="preserve">что достигается при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σ</m:t>
            </m:r>
          </m:e>
          <m:sub>
            <m:r>
              <m:t>3</m:t>
            </m:r>
          </m:sub>
        </m:sSub>
        <m:sSub>
          <m:e>
            <m:r>
              <m:t>u</m:t>
            </m:r>
          </m:e>
          <m:sub>
            <m:r>
              <m:t>3</m:t>
            </m:r>
          </m:sub>
        </m:sSub>
        <m:sSubSup>
          <m:e>
            <m:r>
              <m:t>v</m:t>
            </m:r>
          </m:e>
          <m:sub>
            <m:r>
              <m:t>3</m:t>
            </m:r>
          </m:sub>
          <m:sup>
            <m:r>
              <m:t>T</m:t>
            </m:r>
          </m:sup>
        </m:sSubSup>
      </m:oMath>
      <w:r>
        <w:t xml:space="preserve">. В обратном направлении из rank two в rank three инфимальная стоимость равна нулю: новая независимая мода может быть создана сколь угодно малым ненулевым возмущением, направленным одновременно вне column и row spaces.</w:t>
      </w:r>
    </w:p>
    <w:p>
      <w:pPr>
        <w:pStyle w:val="BodyText"/>
      </w:pPr>
      <w:r>
        <w:t xml:space="preserve">На generic области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t>g</m:t>
              </m:r>
              <m:r>
                <m:t>e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{</m:t>
          </m:r>
          <m:sSub>
            <m:e>
              <m:r>
                <m:t>σ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&gt;</m:t>
          </m:r>
          <m:sSub>
            <m:e>
              <m:r>
                <m:t>σ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&gt;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w:r>
        <w:t xml:space="preserve">введем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α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и авторский математический вариационный функционал Курпишева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rPr>
                      <m:sty m:val="p"/>
                      <m:scr m:val="script"/>
                    </m:rPr>
                    <m:t>J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M</m:t>
                  </m:r>
                </m:e>
              </m:d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m:t>∥</m:t>
                      </m:r>
                      <m:acc>
                        <m:accPr>
                          <m:chr m:val="̇"/>
                        </m:accPr>
                        <m:e>
                          <m:r>
                            <m:t>M</m:t>
                          </m:r>
                        </m:e>
                      </m:acc>
                      <m:sSubSup>
                        <m:e>
                          <m:r>
                            <m:rPr>
                              <m:sty m:val="p"/>
                            </m:rPr>
                            <m:t>∥</m:t>
                          </m:r>
                        </m:e>
                        <m:sub>
                          <m:r>
                            <m:t>F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M</m:t>
                          </m:r>
                        </m:e>
                      </m:d>
                    </m:e>
                  </m:d>
                </m:e>
              </m:nary>
              <m:r>
                <m:t>d</m:t>
              </m:r>
              <m:r>
                <m:t>t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t xml:space="preserve">Для простых сингулярных чисел</w:t>
      </w:r>
      <w:r>
        <w:t xml:space="preserve"> </w:t>
      </w:r>
      <m:oMath>
        <m:r>
          <m:rPr>
            <m:sty m:val="p"/>
          </m:rPr>
          <m:t>∇</m:t>
        </m:r>
        <m:sSub>
          <m:e>
            <m:r>
              <m:t>σ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i</m:t>
            </m:r>
          </m:sub>
        </m:sSub>
        <m:sSubSup>
          <m:e>
            <m:r>
              <m:t>v</m:t>
            </m:r>
          </m:e>
          <m:sub>
            <m:r>
              <m:t>i</m:t>
            </m:r>
          </m:sub>
          <m:sup>
            <m:r>
              <m:t>T</m:t>
            </m:r>
          </m:sup>
        </m:sSubSup>
      </m:oMath>
      <w:r>
        <w:t xml:space="preserve">, поэтому внутри regular stratum формальное уравнение Эйлера-Лагранжа имеет вид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̈"/>
            </m:accPr>
            <m:e>
              <m:r>
                <m:t>M</m:t>
              </m:r>
            </m:e>
          </m:acc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∇</m:t>
              </m:r>
            </m:e>
            <m:sub>
              <m:r>
                <m:t>F</m:t>
              </m:r>
            </m:sub>
          </m:sSub>
          <m:sSub>
            <m:e>
              <m:r>
                <m:t>V</m:t>
              </m:r>
            </m:e>
            <m:sub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.</m:t>
          </m:r>
        </m:oMath>
      </m:oMathPara>
    </w:p>
    <w:bookmarkStart w:id="45" w:name="Xfbaae68bf3ccc2eb5e5702842496249f0b940a1"/>
    <w:p>
      <w:pPr>
        <w:pStyle w:val="Heading2"/>
      </w:pPr>
      <w:r>
        <w:t xml:space="preserve">Предложение 10.1. Корректная existence-постановка</w:t>
      </w:r>
    </w:p>
    <w:p>
      <w:pPr>
        <w:pStyle w:val="FirstParagraph"/>
      </w:pPr>
      <w:r>
        <w:t xml:space="preserve">Сам логарифмический барьер не коэрцитивен на неограниченном пространстве матриц. Однако на компактной безопасной области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t>δ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M</m:t>
          </m:r>
          <m:r>
            <m:rPr>
              <m:sty m:val="p"/>
            </m:rPr>
            <m:t>:</m:t>
          </m:r>
          <m:r>
            <m:rPr>
              <m:sty m:val="p"/>
            </m:rPr>
            <m:t>∥</m:t>
          </m:r>
          <m:r>
            <m:t>M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 </m:t>
          </m:r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≥</m:t>
          </m:r>
          <m:r>
            <m:t>δ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w:r>
        <w:t xml:space="preserve">конечномерный дискретный fixed-endpoint функционал достигает минимума, если множество допустимых траекторий непусто.</w:t>
      </w:r>
    </w:p>
    <w:p>
      <w:pPr>
        <w:pStyle w:val="BodyText"/>
      </w:pPr>
      <w:r>
        <w:rPr>
          <w:b/>
          <w:bCs/>
        </w:rPr>
        <w:t xml:space="preserve">Доказательство.</w:t>
      </w:r>
      <w:r>
        <w:t xml:space="preserve"> </w:t>
      </w:r>
      <m:oMath>
        <m:sSub>
          <m:e>
            <m:r>
              <m:t>Ω</m:t>
            </m:r>
          </m:e>
          <m:sub>
            <m:r>
              <m:t>δ</m:t>
            </m:r>
          </m:sub>
        </m:sSub>
      </m:oMath>
      <w:r>
        <w:t xml:space="preserve"> </w:t>
      </w:r>
      <w:r>
        <w:t xml:space="preserve">компактно, конечное произведение его копий компактно, допустимое fixed-endpoint множество замкнуто, а дискретный функционал непрерывен. Применяется теорема Вейерштрасса.</w:t>
      </w:r>
      <w:r>
        <w:t xml:space="preserve"> </w:t>
      </w:r>
      <m:oMath>
        <m:r>
          <m:rPr>
            <m:sty m:val="p"/>
          </m:rPr>
          <m:t>▫</m:t>
        </m:r>
      </m:oMath>
    </w:p>
    <w:bookmarkEnd w:id="45"/>
    <w:bookmarkEnd w:id="46"/>
    <w:bookmarkStart w:id="47" w:name="Xf9dcfe50950cf598f82a5550bfca1085e87b24c"/>
    <w:p>
      <w:pPr>
        <w:pStyle w:val="Heading1"/>
      </w:pPr>
      <w:r>
        <w:t xml:space="preserve">11. Prospective certificate и граница эмпирических утверждений</w:t>
      </w:r>
    </w:p>
    <w:p>
      <w:pPr>
        <w:pStyle w:val="FirstParagraph"/>
      </w:pPr>
      <w:r>
        <w:t xml:space="preserve">Для KLT-RBD был построен вычислительный контур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Source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Intake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Evidence-D</m:t>
          </m:r>
          <m:r>
            <m:rPr>
              <m:sty m:val="p"/>
            </m:rPr>
            <m:t>→</m:t>
          </m:r>
          <m:sSub>
            <m:e>
              <m:r>
                <m:t>G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M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→</m:t>
          </m:r>
          <m:r>
            <m:rPr>
              <m:sty m:val="p"/>
            </m:rPr>
            <m:t>SVD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Transition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Certificate</m:t>
          </m:r>
          <m:r>
            <m:rPr>
              <m:sty m:val="p"/>
            </m:rPr>
            <m:t>∨</m:t>
          </m:r>
          <m:r>
            <m:rPr>
              <m:nor/>
              <m:sty m:val="p"/>
            </m:rPr>
            <m:t>ABSTAIN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Append-only ledger, hash-bound materialization, blind split и scoring protocol обеспечивают воспроизводимость вычисления, но не являются доказательством предсказательной силы. Synthetic tests в проекте используются как проверка исполнимости модели, а не как замена real holdout. В момент подготовки статьи real prospective validation не выполнена; поэтому все эмпирические claims остаются за пределами доказанного слоя.</w:t>
      </w:r>
    </w:p>
    <w:bookmarkEnd w:id="47"/>
    <w:bookmarkStart w:id="48" w:name="новизна-и-ограничения"/>
    <w:p>
      <w:pPr>
        <w:pStyle w:val="Heading1"/>
      </w:pPr>
      <w:r>
        <w:t xml:space="preserve">12. Новизна и ограничения</w:t>
      </w:r>
    </w:p>
    <w:p>
      <w:pPr>
        <w:pStyle w:val="FirstParagraph"/>
      </w:pPr>
      <w:r>
        <w:t xml:space="preserve">Классическими и не заявляемыми как авторская новизна являются SVD, rank inequalities, Eckart-Young-Mirsky, стандартные perturbation bounds, свойства Lie/Malcev/Binary-Lie/Sagle и компактностные аргументы.</w:t>
      </w:r>
    </w:p>
    <w:p>
      <w:pPr>
        <w:pStyle w:val="BodyText"/>
      </w:pPr>
      <w:r>
        <w:t xml:space="preserve">К авторской математической конструкции И.Б. Курпишева в данной статье относятся:</w:t>
      </w:r>
    </w:p>
    <w:p>
      <w:pPr>
        <w:pStyle w:val="Compact"/>
        <w:numPr>
          <w:ilvl w:val="0"/>
          <w:numId w:val="1002"/>
        </w:numPr>
      </w:pPr>
      <w:r>
        <w:t xml:space="preserve">отображение конечного реперного Artifact-графа в трехканальный оператор</w:t>
      </w:r>
      <w:r>
        <w:t xml:space="preserve"> </w:t>
      </w:r>
      <m:oMath>
        <m:sSub>
          <m:e>
            <m:r>
              <m:t>M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и KASVD-паспорт;</w:t>
      </w:r>
    </w:p>
    <w:p>
      <w:pPr>
        <w:pStyle w:val="Compact"/>
        <w:numPr>
          <w:ilvl w:val="0"/>
          <w:numId w:val="1002"/>
        </w:numPr>
      </w:pPr>
      <w:r>
        <w:t xml:space="preserve">KASVD-стратификация как слой состояния KLT-RBD и ее operational rank-one interpretation;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одной матрицы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как общего модуля Artifact-оператора и семейства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явные rigidity theorems для семейства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, включая девять Binary-Lie и девять Sagle witnesses;</w:t>
      </w:r>
    </w:p>
    <w:p>
      <w:pPr>
        <w:pStyle w:val="Compact"/>
        <w:numPr>
          <w:ilvl w:val="0"/>
          <w:numId w:val="1002"/>
        </w:numPr>
      </w:pPr>
      <w:r>
        <w:t xml:space="preserve">weighted KASVD и функционал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J</m:t>
            </m:r>
          </m:e>
          <m:sub>
            <m:r>
              <m:t>K</m:t>
            </m:r>
          </m:sub>
        </m:sSub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принцип строгого разделения computed certificate и truth-status.</w:t>
      </w:r>
    </w:p>
    <w:p>
      <w:pPr>
        <w:pStyle w:val="FirstParagraph"/>
      </w:pPr>
      <w:r>
        <w:t xml:space="preserve">Открытыми остаются полный isomorphism group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с дискретными компонентами, глобальная геометрия KASVD-модулей около кратных сингулярных значений и независимая реальная проверка prospective prediction layer.</w:t>
      </w:r>
    </w:p>
    <w:bookmarkEnd w:id="48"/>
    <w:bookmarkStart w:id="49" w:name="заключение"/>
    <w:p>
      <w:pPr>
        <w:pStyle w:val="Heading1"/>
      </w:pPr>
      <w:r>
        <w:t xml:space="preserve">13. Заключение</w:t>
      </w:r>
    </w:p>
    <w:p>
      <w:pPr>
        <w:pStyle w:val="FirstParagraph"/>
      </w:pPr>
      <w:r>
        <w:t xml:space="preserve">Получен единый строгий матричный слой, в котором одна и та же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матрица несет две разные структуры: спектральное состояние реперного Artifact-оператора и смешанный центральный блок семимерной антикоммутативной алгебры. SVD-отношения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образуют общий инвариант этих конструкций. Для алгебраического семейства доказана жесткость: любой ненулевой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выводит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одновременно из классов Binary-Lie, Malcev и Sagle. Для Artifact-слоя получены точные rank-one расстояния и безопасные спектральные пороги. Вариационный слой задает математическую модель траекторий, но его эмпирическая интерпретация остается отдельной задачей prospective verification.</w:t>
      </w:r>
    </w:p>
    <w:bookmarkEnd w:id="49"/>
    <w:bookmarkStart w:id="50" w:name="X46a668043f299dfe4e8902e6efa76f24cec69e0"/>
    <w:p>
      <w:pPr>
        <w:pStyle w:val="Heading1"/>
      </w:pPr>
      <w:r>
        <w:t xml:space="preserve">Приложение A. Девять Binary-Lie witnesses</w:t>
      </w:r>
    </w:p>
    <w:p>
      <w:pPr>
        <w:pStyle w:val="FirstParagraph"/>
      </w:pPr>
      <w:r>
        <w:t xml:space="preserve">Для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</m:oMath>
      <w:r>
        <w:t xml:space="preserve"> </w:t>
      </w:r>
      <w:r>
        <w:t xml:space="preserve">выбирается любой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и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f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Тогда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=</m:t>
          </m:r>
          <m:sSub>
            <m:e>
              <m:r>
                <m:t>M</m:t>
              </m:r>
            </m:e>
            <m:sub>
              <m:r>
                <m:t>i</m:t>
              </m:r>
              <m:r>
                <m:t>j</m:t>
              </m:r>
            </m:sub>
          </m:sSub>
          <m:r>
            <m:t>h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Например, можно фиксировать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; это дает девять детерминированных проверок всех элементов</w:t>
      </w:r>
      <w:r>
        <w:t xml:space="preserve"> </w:t>
      </w:r>
      <m:oMath>
        <m:r>
          <m:t>M</m:t>
        </m:r>
      </m:oMath>
      <w:r>
        <w:t xml:space="preserve">.</w:t>
      </w:r>
    </w:p>
    <w:bookmarkEnd w:id="50"/>
    <w:bookmarkStart w:id="51" w:name="приложение-b.-девять-sagle-witnesses"/>
    <w:p>
      <w:pPr>
        <w:pStyle w:val="Heading1"/>
      </w:pPr>
      <w:r>
        <w:t xml:space="preserve">Приложение B. Девять Sagle witnesses</w:t>
      </w:r>
    </w:p>
    <w:p>
      <w:pPr>
        <w:pStyle w:val="FirstParagraph"/>
      </w:pPr>
      <w:r>
        <w:t xml:space="preserve">Обозначим через</w:t>
      </w:r>
      <w:r>
        <w:t xml:space="preserve"> </w:t>
      </w:r>
      <m:oMath>
        <m:r>
          <m:rPr>
            <m:sty m:val="p"/>
            <m:scr m:val="script"/>
          </m:rPr>
          <m:t>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  <m:r>
              <m:rPr>
                <m:sty m:val="p"/>
              </m:rPr>
              <m:t>,</m:t>
            </m:r>
            <m:r>
              <m:t>w</m:t>
            </m:r>
          </m:e>
        </m:d>
      </m:oMath>
      <w:r>
        <w:t xml:space="preserve"> </w:t>
      </w:r>
      <w:r>
        <w:t xml:space="preserve">левую часть Sagle identity, перенесенную в одну сторону. Девять указанных в теореме 8.3 четверок из стандартного базиса дают соответственно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11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13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22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31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32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33</m:t>
              </m:r>
            </m:sub>
          </m:sSub>
        </m:oMath>
      </m:oMathPara>
    </w:p>
    <w:p>
      <w:pPr>
        <w:pStyle w:val="FirstParagraph"/>
      </w:pPr>
      <w:r>
        <w:t xml:space="preserve">в центральной координате</w:t>
      </w:r>
      <w:r>
        <w:t xml:space="preserve"> </w:t>
      </w:r>
      <m:oMath>
        <m:r>
          <m:t>h</m:t>
        </m:r>
      </m:oMath>
      <w:r>
        <w:t xml:space="preserve">. Поэтому Sagle identity уничтожает каждую координату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отдельно.</w:t>
      </w:r>
    </w:p>
    <w:bookmarkEnd w:id="51"/>
    <w:bookmarkStart w:id="52" w:name="литература"/>
    <w:p>
      <w:pPr>
        <w:pStyle w:val="Heading1"/>
      </w:pPr>
      <w:r>
        <w:t xml:space="preserve">Литература</w:t>
      </w:r>
    </w:p>
    <w:p>
      <w:pPr>
        <w:pStyle w:val="Compact"/>
        <w:numPr>
          <w:ilvl w:val="0"/>
          <w:numId w:val="1003"/>
        </w:numPr>
      </w:pPr>
      <w:r>
        <w:t xml:space="preserve">Kaygorodov, I.; Zusmanovich, P. On anticommutative algebras for which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R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is a derivation.</w:t>
      </w:r>
      <w:r>
        <w:t xml:space="preserve"> </w:t>
      </w:r>
      <w:r>
        <w:rPr>
          <w:i/>
          <w:iCs/>
        </w:rPr>
        <w:t xml:space="preserve">Journal of Geometry and Physics</w:t>
      </w:r>
      <w:r>
        <w:t xml:space="preserve"> </w:t>
      </w:r>
      <w:r>
        <w:rPr>
          <w:b/>
          <w:bCs/>
        </w:rPr>
        <w:t xml:space="preserve">166</w:t>
      </w:r>
      <w:r>
        <w:t xml:space="preserve"> </w:t>
      </w:r>
      <w:r>
        <w:t xml:space="preserve">(2021), 104113. DOI: 10.1016/j.geomphys.2021.104113.</w:t>
      </w:r>
    </w:p>
    <w:p>
      <w:pPr>
        <w:pStyle w:val="Compact"/>
        <w:numPr>
          <w:ilvl w:val="0"/>
          <w:numId w:val="1003"/>
        </w:numPr>
      </w:pPr>
      <w:r>
        <w:t xml:space="preserve">Sagle, A. A. On simple extended Lie algebras over fields of characteristic zero.</w:t>
      </w:r>
      <w:r>
        <w:t xml:space="preserve"> </w:t>
      </w:r>
      <w:r>
        <w:rPr>
          <w:i/>
          <w:iCs/>
        </w:rPr>
        <w:t xml:space="preserve">Pacific Journal of Mathematics</w:t>
      </w:r>
      <w:r>
        <w:t xml:space="preserve"> </w:t>
      </w:r>
      <w:r>
        <w:rPr>
          <w:b/>
          <w:bCs/>
        </w:rPr>
        <w:t xml:space="preserve">15</w:t>
      </w:r>
      <w:r>
        <w:t xml:space="preserve">(2) (1965), 621-648.</w:t>
      </w:r>
    </w:p>
    <w:p>
      <w:pPr>
        <w:pStyle w:val="Compact"/>
        <w:numPr>
          <w:ilvl w:val="0"/>
          <w:numId w:val="1003"/>
        </w:numPr>
      </w:pPr>
      <w:r>
        <w:t xml:space="preserve">Stewart, G. W.; Sun, J.-G.</w:t>
      </w:r>
      <w:r>
        <w:t xml:space="preserve"> </w:t>
      </w:r>
      <w:r>
        <w:rPr>
          <w:i/>
          <w:iCs/>
        </w:rPr>
        <w:t xml:space="preserve">Matrix Perturbation Theory</w:t>
      </w:r>
      <w:r>
        <w:t xml:space="preserve">. Academic Press, 1990.</w:t>
      </w:r>
    </w:p>
    <w:p>
      <w:pPr>
        <w:pStyle w:val="Compact"/>
        <w:numPr>
          <w:ilvl w:val="0"/>
          <w:numId w:val="1003"/>
        </w:numPr>
      </w:pPr>
      <w:r>
        <w:t xml:space="preserve">Horn, R. A.; Johnson, C. R.</w:t>
      </w:r>
      <w:r>
        <w:t xml:space="preserve"> </w:t>
      </w:r>
      <w:r>
        <w:rPr>
          <w:i/>
          <w:iCs/>
        </w:rPr>
        <w:t xml:space="preserve">Topics in Matrix Analysis</w:t>
      </w:r>
      <w:r>
        <w:t xml:space="preserve">. Cambridge University Press, 1991.</w:t>
      </w:r>
    </w:p>
    <w:p>
      <w:pPr>
        <w:pStyle w:val="Compact"/>
        <w:numPr>
          <w:ilvl w:val="0"/>
          <w:numId w:val="1003"/>
        </w:numPr>
      </w:pPr>
      <w:r>
        <w:t xml:space="preserve">Eckart, C.; Young, G. The approximation of one matrix by another of lower rank.</w:t>
      </w:r>
      <w:r>
        <w:t xml:space="preserve"> </w:t>
      </w:r>
      <w:r>
        <w:rPr>
          <w:i/>
          <w:iCs/>
        </w:rPr>
        <w:t xml:space="preserve">Psychometrika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(1936), 211-218.</w:t>
      </w:r>
    </w:p>
    <w:p>
      <w:pPr>
        <w:pStyle w:val="Compact"/>
        <w:numPr>
          <w:ilvl w:val="0"/>
          <w:numId w:val="1003"/>
        </w:numPr>
      </w:pPr>
      <w:r>
        <w:t xml:space="preserve">Mirsky, L. Symmetric gauge functions and unitarily invariant norms.</w:t>
      </w:r>
      <w:r>
        <w:t xml:space="preserve"> </w:t>
      </w:r>
      <w:r>
        <w:rPr>
          <w:i/>
          <w:iCs/>
        </w:rPr>
        <w:t xml:space="preserve">Quarterly Journal of Mathematics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(1960), 50-59.</w:t>
      </w:r>
    </w:p>
    <w:p>
      <w:pPr>
        <w:pStyle w:val="Compact"/>
        <w:numPr>
          <w:ilvl w:val="0"/>
          <w:numId w:val="1003"/>
        </w:numPr>
      </w:pPr>
      <w:r>
        <w:t xml:space="preserve">Kurpishev, I. B.</w:t>
      </w:r>
      <w:r>
        <w:t xml:space="preserve"> </w:t>
      </w:r>
      <w:r>
        <w:rPr>
          <w:i/>
          <w:iCs/>
        </w:rPr>
        <w:t xml:space="preserve">Basic Project KLT-RBD, Volume V: typed graph, provenance, versioning and audit mathematics</w:t>
      </w:r>
      <w:r>
        <w:t xml:space="preserve">. Project corpus, 2026.</w:t>
      </w:r>
    </w:p>
    <w:p>
      <w:pPr>
        <w:pStyle w:val="Compact"/>
        <w:numPr>
          <w:ilvl w:val="0"/>
          <w:numId w:val="1003"/>
        </w:numPr>
      </w:pPr>
      <w:r>
        <w:t xml:space="preserve">Kurpishev, I. B.</w:t>
      </w:r>
      <w:r>
        <w:t xml:space="preserve"> </w:t>
      </w:r>
      <w:r>
        <w:rPr>
          <w:i/>
          <w:iCs/>
        </w:rPr>
        <w:t xml:space="preserve">R3-Y Theorematic Consolidation and R4-A/R4-B Rigidity Packages</w:t>
      </w:r>
      <w:r>
        <w:t xml:space="preserve">. LOGIC KURPISHEVA 2 project corpus, 2026.</w:t>
      </w:r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Спектральная геометрия KASVD и семимерные антикоммутативные алгебры</dc:title>
  <dc:creator>Иван Борисович Курпишев</dc:creator>
  <dc:language>ru-RU</dc:language>
  <cp:keywords/>
  <dcterms:created xsi:type="dcterms:W3CDTF">2026-10-01T20:08:59Z</dcterms:created>
  <dcterms:modified xsi:type="dcterms:W3CDTF">2026-10-01T20:08:59Z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Калининград, 2026</vt:lpwstr>
  </property>
  <property fmtid="{D5CDD505-2E9C-101B-9397-08002B2CF9AE}" pid="3" name="subtitle">
    <vt:lpwstr>Матричный мост для реперных артефактов KLT-RBD</vt:lpwstr>
  </property>
</Properties>
</file>