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  <w:spacing w:before="920"/>
      </w:pPr>
      <w:r>
        <w:t xml:space="preserve">Иммануил</w:t>
      </w:r>
      <w:r>
        <w:t xml:space="preserve"> </w:t>
      </w:r>
      <w:r>
        <w:t xml:space="preserve">Кант:</w:t>
      </w:r>
      <w:r>
        <w:t xml:space="preserve"> </w:t>
      </w:r>
      <w:r>
        <w:t xml:space="preserve">реперная</w:t>
      </w:r>
      <w:r>
        <w:t xml:space="preserve"> </w:t>
      </w:r>
      <w:r>
        <w:t xml:space="preserve">реконструкция</w:t>
      </w:r>
      <w:r>
        <w:t xml:space="preserve"> </w:t>
      </w:r>
      <w:r>
        <w:t xml:space="preserve">текстовой</w:t>
      </w:r>
      <w:r>
        <w:t xml:space="preserve"> </w:t>
      </w:r>
      <w:r>
        <w:t xml:space="preserve">концепции</w:t>
      </w:r>
    </w:p>
    <w:p>
      <w:pPr>
        <w:pStyle w:val="Subtitle"/>
      </w:pPr>
      <w:r>
        <w:t xml:space="preserve">Источниковые</w:t>
      </w:r>
      <w:r>
        <w:t xml:space="preserve"> </w:t>
      </w:r>
      <w:r>
        <w:t xml:space="preserve">основания,</w:t>
      </w:r>
      <w:r>
        <w:t xml:space="preserve"> </w:t>
      </w:r>
      <w:r>
        <w:t xml:space="preserve">противоречия</w:t>
      </w:r>
      <w:r>
        <w:t xml:space="preserve"> </w:t>
      </w:r>
      <w:r>
        <w:t xml:space="preserve">и</w:t>
      </w:r>
      <w:r>
        <w:t xml:space="preserve"> </w:t>
      </w:r>
      <w:r>
        <w:t xml:space="preserve">неполнота.</w:t>
      </w:r>
      <w:r>
        <w:t xml:space="preserve"> </w:t>
      </w:r>
      <w:r>
        <w:t xml:space="preserve">Черновик</w:t>
      </w:r>
      <w:r>
        <w:t xml:space="preserve"> </w:t>
      </w:r>
      <w:r>
        <w:t xml:space="preserve">монографии</w:t>
      </w:r>
      <w:r>
        <w:t xml:space="preserve"> </w:t>
      </w:r>
      <w:r>
        <w:t xml:space="preserve">v0.1</w:t>
      </w:r>
    </w:p>
    <w:p>
      <w:pPr>
        <w:pStyle w:val="Author"/>
      </w:pPr>
      <w:r>
        <w:t xml:space="preserve">Курпишев</w:t>
      </w:r>
      <w:r>
        <w:t xml:space="preserve"> </w:t>
      </w:r>
      <w:r>
        <w:t xml:space="preserve">Иван</w:t>
      </w:r>
      <w:r>
        <w:t xml:space="preserve"> </w:t>
      </w:r>
      <w:r>
        <w:t xml:space="preserve">Борисович</w:t>
      </w:r>
    </w:p>
    <w:p>
      <w:pPr>
        <w:pStyle w:val="Date"/>
      </w:pPr>
      <w:r>
        <w:t xml:space="preserve">Калининград</w:t>
      </w:r>
      <w:r>
        <w:t xml:space="preserve"> </w:t>
      </w:r>
      <w:r>
        <w:t xml:space="preserve">·</w:t>
      </w:r>
      <w:r>
        <w:t xml:space="preserve"> </w:t>
      </w:r>
      <w:r>
        <w:t xml:space="preserve">5</w:t>
      </w:r>
      <w:r>
        <w:t xml:space="preserve"> </w:t>
      </w:r>
      <w:r>
        <w:t xml:space="preserve">сентября</w:t>
      </w:r>
      <w:r>
        <w:t xml:space="preserve"> </w:t>
      </w:r>
      <w:r>
        <w:t xml:space="preserve">2026</w:t>
      </w:r>
      <w:r>
        <w:t xml:space="preserve"> </w:t>
      </w:r>
      <w:r>
        <w:t xml:space="preserve">года</w:t>
      </w:r>
    </w:p>
    <w:p>
      <w:r>
        <w:br w:type="page"/>
      </w:r>
    </w:p>
    <w:p>
      <w:pPr>
        <w:pStyle w:val="FirstParagraph"/>
      </w:pPr>
      <w:r>
        <w:t xml:space="preserve">Проект «ЛОГИКА КУРПИШЕВА 2». Вычислительное основание: KLT-RBDv6 / ARBD Build 28, выпуск KANT-B28-R017-AUDIT-001. Автор исследуемых первоисточников — Иммануил Кант. Автор проекта и научной постановки — Курпишев Иван Борисович, независимый исследователь. Текст подготовлен как рабочая редакция для авторского редактирования и независимой экспертизы.</w:t>
      </w:r>
    </w:p>
    <w:p>
      <w:pPr>
        <w:pStyle w:val="BodyText"/>
      </w:pPr>
      <w:r>
        <w:rPr>
          <w:bCs/>
          <w:b/>
        </w:rPr>
        <w:t xml:space="preserve">Доказательный статус:</w:t>
      </w:r>
      <w:r>
        <w:t xml:space="preserve"> </w:t>
      </w:r>
      <w:r>
        <w:t xml:space="preserve">SCIENCE=ABSTAIN; truth_layer_promotion=0; независимая смысловая и философская проверка не проведена. Представленная модель относится к зафиксированным текстовым свидетельствам и аннотациям, а не к внутренним намерениям автора или установленной истинности его положений.</w:t>
      </w:r>
    </w:p>
    <w:bookmarkStart w:id="20" w:name="аннотация"/>
    <w:p>
      <w:pPr>
        <w:pStyle w:val="Heading1"/>
      </w:pPr>
      <w:r>
        <w:t xml:space="preserve">Аннотация</w:t>
      </w:r>
    </w:p>
    <w:p>
      <w:pPr>
        <w:pStyle w:val="FirstParagraph"/>
      </w:pPr>
      <w:r>
        <w:t xml:space="preserve">Предлагается исполнимая минимальная реализация авторской реперной базы ARBD на основе спецификаций Build 28. Её объект — документированная система понятий и утверждений в заданном корпусе произведений. Иерархия автор — семейство произведений — издание — вхождение — реперный кандидат — концептуальный граф позволяет различать повторение мысли в независимых трудах, воспроизведение одного текста в нескольких редакциях и исследовательское сопоставление разных положений.</w:t>
      </w:r>
    </w:p>
    <w:p>
      <w:pPr>
        <w:pStyle w:val="BodyText"/>
      </w:pPr>
      <w:r>
        <w:t xml:space="preserve">Весь KANT-RUN-017 унаследован с сохранением 55 реперов, 145 вхождений, 152 связей принадлежности, 20 записей произведений/изданий и 14 семейств. Для проверки использованы 136 сохранённых страниц электронной транскрипции Akademie-Ausgabe. Повторно воспроизведено расположение 87 из 90 цитатных записей. Обнаружены три недопустимых диапазона строк, три неточные цитатные записи и шесть вхождений с пересекающейся принадлежностью к кластерам. Эти результаты отделены от философских противоречий.</w:t>
      </w:r>
    </w:p>
    <w:p>
      <w:pPr>
        <w:pStyle w:val="BodyText"/>
      </w:pPr>
      <w:r>
        <w:t xml:space="preserve">Вектор ACP описывает семь структурных характеристик без единого балла истины. Четыре группы удовлетворяют операционным условиям AUTHOR_CORE_CANDIDATE; это не устанавливает их исключительную философскую центральность. Пять унаследованных концептуальных напряжений и 43 компонентных пробела сохраняются. Полученный результат представляет воспроизводимое основание для дальнейшей монографии и уточняет границы допустимого машинного вывода.</w:t>
      </w:r>
    </w:p>
    <w:bookmarkEnd w:id="20"/>
    <w:bookmarkStart w:id="21" w:name="X8d1ca2c043a9ddd8396fcb7be918f1d6510c498"/>
    <w:p>
      <w:pPr>
        <w:pStyle w:val="Heading1"/>
      </w:pPr>
      <w:r>
        <w:t xml:space="preserve">Предмет и источниковая организация исследования</w:t>
      </w:r>
    </w:p>
    <w:p>
      <w:pPr>
        <w:pStyle w:val="FirstParagraph"/>
      </w:pPr>
      <w:r>
        <w:t xml:space="preserve">Исследование начинается с различения трёх объектов: текста Канта, редакционного представления текста и модели исследователя. Их смешение особенно опасно при автоматической обработке: предложение, написанное составителем как удобное резюме, может приобрести внешнюю форму цитаты; повторный перевод одного произведения может быть ошибочно засчитан как независимое подтверждение; принадлежность нескольких положений к одному словарному полю может быть принята за их логическое тождество.</w:t>
      </w:r>
    </w:p>
    <w:p>
      <w:pPr>
        <w:pStyle w:val="BodyText"/>
      </w:pPr>
      <w:r>
        <w:t xml:space="preserve">В настоящем корпусе исходные поля quote преимущественно содержали прямо обозначенные пересказы. Новая проекция сохраняет их как legacy_quote и summary. Поле quote заполняется текстом, извлечённым из зафиксированного источника; при нескольких раздельных интервалах сохраняются отдельные фрагменты. Тем самым различаются «так сформулировал исследователь» и «такой текст находится в указанном месте источника». Само совпадение источниковой строки не доказывает, что исследовательский пересказ полностью передаёт её смысл.</w:t>
      </w:r>
    </w:p>
    <w:p>
      <w:pPr>
        <w:pStyle w:val="BodyText"/>
      </w:pPr>
      <w:r>
        <w:t xml:space="preserve">Состав корпуса охватывает «Критику чистого разума» в редакциях A и B и английском переводе, «Пролегомены», «Основоположение к метафизике нравов», «Критику практического разума», «Критику способности суждения», «Религию в пределах только разума», «Метафизику нравов», «Антропологию с прагматической точки зрения», «Спор факультетов», тексты о Просвещении, всеобщей истории, теории и практике, вечном мире и редакционно опосредованную «Логику» Яше. Число 20 относится к каталожным записям, а 14 — к семействам интеллектуальных произведений. Оно не означает двадцати полностью загруженных книг.</w:t>
      </w:r>
    </w:p>
    <w:p>
      <w:pPr>
        <w:pStyle w:val="BodyText"/>
      </w:pPr>
      <w:r>
        <w:t xml:space="preserve">Редакции A и B одной «Критики» сохраняются различимыми вариантами одного семейства. Английская версия не увеличивает число независимых произведений. Материал Яше хранится с отдельным предупреждением об опосредовании; машинное сопоставление не превращает редакционное построение в непосредственную авторскую речь Канта.</w:t>
      </w:r>
    </w:p>
    <w:p>
      <w:pPr>
        <w:pStyle w:val="BodyText"/>
      </w:pPr>
      <w:r>
        <w:t xml:space="preserve">Из 136 снимков страниц 11 унаследованы из RUN-017, 125 получены в новом аудите. Сохраняются исходные HTTP-тела, контрольные суммы и правила извлечения. Полных замороженных произведений по-прежнему нет. Электронная транскрипция AA полезна благодаря стабильным указателям тома, страницы и строки, но её снимок не равен факсимиле печатной страницы или независимому удостоверению издателя.</w:t>
      </w:r>
    </w:p>
    <w:bookmarkEnd w:id="21"/>
    <w:bookmarkStart w:id="22" w:name="Xc1fd3d7b0c49abfc9795c39ea69b363b2a28a8c"/>
    <w:p>
      <w:pPr>
        <w:pStyle w:val="Heading1"/>
      </w:pPr>
      <w:r>
        <w:t xml:space="preserve">Формальная модель и условия корректного переноса</w:t>
      </w:r>
    </w:p>
    <w:p>
      <w:pPr>
        <w:pStyle w:val="FirstParagraph"/>
      </w:pPr>
      <w:r>
        <w:t xml:space="preserve">Для автора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задаётся корпус</w:t>
      </w:r>
      <w:r>
        <w:t xml:space="preserve"> </w:t>
      </w:r>
      <m:oMath>
        <m:sSub>
          <m:e>
            <m:r>
              <m:t>C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{</m:t>
        </m:r>
        <m:sSub>
          <m:e>
            <m:r>
              <m:t>W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sSub>
          <m:e>
            <m:r>
              <m:t>W</m:t>
            </m:r>
          </m:e>
          <m:sub>
            <m:r>
              <m:t>n</m:t>
            </m:r>
          </m:sub>
        </m:sSub>
        <m:r>
          <m:rPr>
            <m:sty m:val="p"/>
          </m:rPr>
          <m:t>}</m:t>
        </m:r>
      </m:oMath>
      <w:r>
        <w:t xml:space="preserve">. Вхождение имеет вид</w:t>
      </w:r>
    </w:p>
    <w:p>
      <w:pPr>
        <w:pStyle w:val="BodyText"/>
      </w:pPr>
      <m:oMathPara>
        <m:oMathParaPr>
          <m:jc m:val="center"/>
        </m:oMathParaPr>
        <m:oMath>
          <m:r>
            <m:t>o</m:t>
          </m:r>
          <m:r>
            <m:rPr>
              <m:sty m:val="p"/>
            </m:rPr>
            <m:t>=</m:t>
          </m:r>
          <m:d>
            <m:dPr>
              <m:begChr m:val="("/>
              <m:endChr m:val=")"/>
              <m:sepChr m:val=""/>
              <m:grow/>
            </m:dPr>
            <m:e>
              <m:r>
                <m:t>A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ℓ</m:t>
              </m:r>
              <m:r>
                <m:rPr>
                  <m:sty m:val="p"/>
                </m:rPr>
                <m:t>,</m:t>
              </m:r>
              <m:r>
                <m:t>q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σ</m:t>
              </m:r>
              <m:r>
                <m:rPr>
                  <m:sty m:val="p"/>
                </m:rPr>
                <m:t>,</m:t>
              </m:r>
              <m:r>
                <m:t>α</m:t>
              </m:r>
              <m:r>
                <m:rPr>
                  <m:sty m:val="p"/>
                </m:rPr>
                <m:t>,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rPr>
                  <m:sty m:val="p"/>
                </m:rPr>
                <m:t>,</m:t>
              </m:r>
              <m:r>
                <m:t>U</m:t>
              </m:r>
              <m:r>
                <m:rPr>
                  <m:sty m:val="p"/>
                </m:rPr>
                <m:t>,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D</m:t>
              </m:r>
              <m:r>
                <m:rPr>
                  <m:sty m:val="p"/>
                </m:rPr>
                <m:t>o</m:t>
              </m:r>
              <m:r>
                <m:rPr>
                  <m:sty m:val="p"/>
                </m:rPr>
                <m:t>m</m:t>
              </m:r>
              <m:r>
                <m:rPr>
                  <m:sty m:val="p"/>
                </m:rPr>
                <m:t>,</m:t>
              </m:r>
              <m:r>
                <m:t>π</m:t>
              </m:r>
            </m:e>
          </m:d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где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— семейство произведения,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— локатор,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— цитатный фрагмент,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— тип высказывания,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— полярность и модальность,</w:t>
      </w:r>
      <w:r>
        <w:t xml:space="preserve"> </w:t>
      </w:r>
      <m:oMath>
        <m:r>
          <m:t>α</m:t>
        </m:r>
      </m:oMath>
      <w:r>
        <w:t xml:space="preserve"> </w:t>
      </w:r>
      <w:r>
        <w:t xml:space="preserve">— атрибуция,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— происхождение. Поля R/I/U/D/Dom наследуются из исследовательской схемы; их наличие не объявляется авторским членением кантовского текста.</w:t>
      </w:r>
    </w:p>
    <w:p>
      <w:pPr>
        <w:pStyle w:val="BodyText"/>
      </w:pPr>
      <w:r>
        <w:t xml:space="preserve">Спецификация описывает репер</w:t>
      </w:r>
      <w:r>
        <w:t xml:space="preserve"> </w:t>
      </w:r>
      <m:oMath>
        <m:r>
          <m:t>ρ</m:t>
        </m:r>
      </m:oMath>
      <w:r>
        <w:t xml:space="preserve"> </w:t>
      </w:r>
      <w:r>
        <w:t xml:space="preserve">как проверяемый класс</w:t>
      </w:r>
      <w:r>
        <w:t xml:space="preserve"> </w:t>
      </w:r>
      <m:oMath>
        <m:sSub>
          <m:e>
            <m:d>
              <m:dPr>
                <m:begChr m:val="["/>
                <m:endChr m:val="]"/>
                <m:sepChr m:val=""/>
                <m:grow/>
              </m:dPr>
              <m:e>
                <m:r>
                  <m:t>o</m:t>
                </m:r>
              </m:e>
            </m:d>
          </m:e>
          <m:sub>
            <m:sSub>
              <m:e>
                <m:r>
                  <m:rPr>
                    <m:sty m:val="p"/>
                  </m:rPr>
                  <m:t>∼</m:t>
                </m:r>
              </m:e>
              <m:sub>
                <m:r>
                  <m:t>A</m:t>
                </m:r>
              </m:sub>
            </m:sSub>
          </m:sub>
        </m:sSub>
      </m:oMath>
      <w:r>
        <w:t xml:space="preserve">. Для этого обозначения отношение</w:t>
      </w:r>
      <w:r>
        <w:t xml:space="preserve"> </w:t>
      </w:r>
      <m:oMath>
        <m:sSub>
          <m:e>
            <m:r>
              <m:rPr>
                <m:sty m:val="p"/>
              </m:rPr>
              <m:t>∼</m:t>
            </m:r>
          </m:e>
          <m:sub>
            <m:r>
              <m:t>A</m:t>
            </m:r>
          </m:sub>
        </m:sSub>
      </m:oMath>
      <w:r>
        <w:t xml:space="preserve"> </w:t>
      </w:r>
      <w:r>
        <w:t xml:space="preserve">должно быть эквивалентностью на объявленном носителе. Простое сходство формулировок не гарантирует транзитивности. Более того, явная принадлежность одного и того же вхождения двум различным классам несовместима с разбиением, если речь идёт о том же уровне объектов.</w:t>
      </w:r>
    </w:p>
    <w:p>
      <w:pPr>
        <w:pStyle w:val="BodyText"/>
      </w:pPr>
      <w:r>
        <w:rPr>
          <w:bCs/>
          <w:b/>
        </w:rPr>
        <w:t xml:space="preserve">Лемма о разбиении.</w:t>
      </w:r>
      <w:r>
        <w:t xml:space="preserve"> </w:t>
      </w:r>
      <w:r>
        <w:t xml:space="preserve">Пусть непустые множества</w:t>
      </w:r>
      <w:r>
        <w:t xml:space="preserve"> </w:t>
      </w:r>
      <m:oMath>
        <m:sSub>
          <m:e>
            <m:r>
              <m:t>M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объявлены классами одной эквивалентности. Тогда для любых</w:t>
      </w:r>
      <w:r>
        <w:t xml:space="preserve"> </w:t>
      </w:r>
      <m:oMath>
        <m:r>
          <m:t>i</m:t>
        </m:r>
        <m:r>
          <m:rPr>
            <m:sty m:val="p"/>
          </m:rPr>
          <m:t>,</m:t>
        </m:r>
        <m:r>
          <m:t>j</m:t>
        </m:r>
      </m:oMath>
      <w:r>
        <w:t xml:space="preserve"> </w:t>
      </w:r>
      <w:r>
        <w:t xml:space="preserve">либо</w:t>
      </w:r>
      <w:r>
        <w:t xml:space="preserve"> </w:t>
      </w:r>
      <m:oMath>
        <m:sSub>
          <m:e>
            <m:r>
              <m:t>M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sSub>
          <m:e>
            <m:r>
              <m:t>M</m:t>
            </m:r>
          </m:e>
          <m:sub>
            <m:r>
              <m:t>j</m:t>
            </m:r>
          </m:sub>
        </m:sSub>
      </m:oMath>
      <w:r>
        <w:t xml:space="preserve">, либо</w:t>
      </w:r>
      <w:r>
        <w:t xml:space="preserve"> </w:t>
      </w:r>
      <m:oMath>
        <m:sSub>
          <m:e>
            <m:r>
              <m:t>M</m:t>
            </m:r>
          </m:e>
          <m:sub>
            <m:r>
              <m:t>i</m:t>
            </m:r>
          </m:sub>
        </m:sSub>
        <m:r>
          <m:rPr>
            <m:sty m:val="p"/>
          </m:rPr>
          <m:t>∩</m:t>
        </m:r>
        <m:sSub>
          <m:e>
            <m:r>
              <m:t>M</m:t>
            </m:r>
          </m:e>
          <m:sub>
            <m:r>
              <m:t>j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⌀</m:t>
        </m:r>
      </m:oMath>
      <w:r>
        <w:t xml:space="preserve">.</w:t>
      </w:r>
    </w:p>
    <w:p>
      <w:pPr>
        <w:pStyle w:val="BodyText"/>
      </w:pPr>
      <w:r>
        <w:rPr>
          <w:bCs/>
          <w:b/>
        </w:rPr>
        <w:t xml:space="preserve">Доказательство.</w:t>
      </w:r>
      <w:r>
        <w:t xml:space="preserve"> </w:t>
      </w:r>
      <w:r>
        <w:t xml:space="preserve">Если</w:t>
      </w:r>
      <w:r>
        <w:t xml:space="preserve"> </w:t>
      </w:r>
      <m:oMath>
        <m:r>
          <m:t>x</m:t>
        </m:r>
        <m:r>
          <m:rPr>
            <m:sty m:val="p"/>
          </m:rPr>
          <m:t>∈</m:t>
        </m:r>
        <m:sSub>
          <m:e>
            <m:r>
              <m:t>M</m:t>
            </m:r>
          </m:e>
          <m:sub>
            <m:r>
              <m:t>i</m:t>
            </m:r>
          </m:sub>
        </m:sSub>
        <m:r>
          <m:rPr>
            <m:sty m:val="p"/>
          </m:rPr>
          <m:t>∩</m:t>
        </m:r>
        <m:sSub>
          <m:e>
            <m:r>
              <m:t>M</m:t>
            </m:r>
          </m:e>
          <m:sub>
            <m:r>
              <m:t>j</m:t>
            </m:r>
          </m:sub>
        </m:sSub>
      </m:oMath>
      <w:r>
        <w:t xml:space="preserve">, то каждый элемент</w:t>
      </w:r>
      <w:r>
        <w:t xml:space="preserve"> </w:t>
      </w:r>
      <m:oMath>
        <m:sSub>
          <m:e>
            <m:r>
              <m:t>M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эквивалентен</w:t>
      </w:r>
      <w:r>
        <w:t xml:space="preserve"> </w:t>
      </w:r>
      <m:oMath>
        <m:r>
          <m:t>x</m:t>
        </m:r>
      </m:oMath>
      <w:r>
        <w:t xml:space="preserve">, а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эквивалентен каждому элементу</w:t>
      </w:r>
      <w:r>
        <w:t xml:space="preserve"> </w:t>
      </w:r>
      <m:oMath>
        <m:sSub>
          <m:e>
            <m:r>
              <m:t>M</m:t>
            </m:r>
          </m:e>
          <m:sub>
            <m:r>
              <m:t>j</m:t>
            </m:r>
          </m:sub>
        </m:sSub>
      </m:oMath>
      <w:r>
        <w:t xml:space="preserve">. По транзитивности оба класса совпадают. Следовательно, различные классы не пересекаются. Это утверждение о структуре отношения, а не доказательство семантического сходства кантовских положений.</w:t>
      </w:r>
    </w:p>
    <w:p>
      <w:pPr>
        <w:pStyle w:val="BodyText"/>
      </w:pPr>
      <w:r>
        <w:t xml:space="preserve">В RUN-017 шесть вхождений имеют более одной принадлежности. Они затрагивают восемь кластеров: KANT-AR-027, 032, 036, 038, 040, 047, 049, 051. Эти группы сохраняются как пересекающиеся редакционные предложения. Возможный будущий ремонт — выделение отдельных смысловых ролей одного фрагмента с обоснованием каждой роли. Автоматическое слияние всех связанных кластеров сейчас недопустимо: оно подменило бы исследование заранее выбранным тождеством понятий.</w:t>
      </w:r>
    </w:p>
    <w:p>
      <w:pPr>
        <w:pStyle w:val="BodyText"/>
      </w:pPr>
      <w:r>
        <w:rPr>
          <w:bCs/>
          <w:b/>
        </w:rPr>
        <w:t xml:space="preserve">Лемма о независимой повторяемости.</w:t>
      </w:r>
      <w:r>
        <w:t xml:space="preserve"> </w:t>
      </w:r>
      <w:r>
        <w:t xml:space="preserve">Пусть число повторений определяется мощностью множества идентификаторов семейств среди допущенных авторских вхождений. Добавление допущенного экземпляра с уже имеющимся идентификатором семейства не увеличивает эту мощность.</w:t>
      </w:r>
    </w:p>
    <w:p>
      <w:pPr>
        <w:pStyle w:val="BodyText"/>
      </w:pPr>
      <w:r>
        <w:rPr>
          <w:bCs/>
          <w:b/>
        </w:rPr>
        <w:t xml:space="preserve">Доказательство.</w:t>
      </w:r>
      <w:r>
        <w:t xml:space="preserve"> </w:t>
      </w:r>
      <w:r>
        <w:t xml:space="preserve">Если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o</m:t>
            </m:r>
          </m:e>
        </m:d>
        <m:r>
          <m:rPr>
            <m:sty m:val="p"/>
          </m:rPr>
          <m:t>∈</m:t>
        </m:r>
        <m:r>
          <m:t>S</m:t>
        </m:r>
      </m:oMath>
      <w:r>
        <w:t xml:space="preserve">, то</w:t>
      </w:r>
      <w:r>
        <w:t xml:space="preserve"> </w:t>
      </w:r>
      <m:oMath>
        <m:r>
          <m:t>S</m:t>
        </m:r>
        <m:r>
          <m:rPr>
            <m:sty m:val="p"/>
          </m:rPr>
          <m:t>∪</m:t>
        </m:r>
        <m:r>
          <m:rPr>
            <m:sty m:val="p"/>
          </m:rPr>
          <m:t>{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o</m:t>
            </m:r>
          </m:e>
        </m:d>
        <m:r>
          <m:rPr>
            <m:sty m:val="p"/>
          </m:rPr>
          <m:t>}</m:t>
        </m:r>
        <m:r>
          <m:rPr>
            <m:sty m:val="p"/>
          </m:rPr>
          <m:t>=</m:t>
        </m:r>
        <m:r>
          <m:t>S</m:t>
        </m:r>
      </m:oMath>
      <w:r>
        <w:t xml:space="preserve">. Другие координаты ACP при добавлении вхождения могут измениться. Непроверенный перевод может также внести новый блокер атрибуции, поэтому инвариантность семейной повторяемости нельзя переносить на весь статус кандидата.</w:t>
      </w:r>
    </w:p>
    <w:p>
      <w:pPr>
        <w:pStyle w:val="BodyText"/>
      </w:pPr>
      <w:r>
        <w:t xml:space="preserve">Текстовая модель записывается как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C</m:t>
              </m:r>
              <m:r>
                <m:rPr>
                  <m:sty m:val="p"/>
                </m:rPr>
                <m:t>T</m:t>
              </m:r>
              <m:r>
                <m:rPr>
                  <m:sty m:val="p"/>
                </m:rPr>
                <m:t>e</m:t>
              </m:r>
              <m:r>
                <m:rPr>
                  <m:sty m:val="p"/>
                </m:rPr>
                <m:t>x</m:t>
              </m:r>
              <m:r>
                <m:rPr>
                  <m:sty m:val="p"/>
                </m:rPr>
                <m:t>t</m:t>
              </m:r>
            </m:e>
            <m:sub>
              <m:r>
                <m:t>A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C</m:t>
                  </m:r>
                </m:e>
                <m:sub>
                  <m:r>
                    <m:t>A</m:t>
                  </m:r>
                </m:sub>
              </m:sSub>
            </m:e>
          </m:d>
          <m:r>
            <m:rPr>
              <m:sty m:val="p"/>
            </m:rPr>
            <m:t>=</m:t>
          </m:r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G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rPr>
                      <m:sty m:val="p"/>
                    </m:rPr>
                    <m:t>C</m:t>
                  </m:r>
                  <m:r>
                    <m:rPr>
                      <m:sty m:val="p"/>
                    </m:rPr>
                    <m:t>o</m:t>
                  </m:r>
                  <m:r>
                    <m:rPr>
                      <m:sty m:val="p"/>
                    </m:rPr>
                    <m:t>r</m:t>
                  </m:r>
                  <m:r>
                    <m:rPr>
                      <m:sty m:val="p"/>
                    </m:rPr>
                    <m:t>e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rPr>
                      <m:sty m:val="p"/>
                    </m:rPr>
                    <m:t>C</m:t>
                  </m:r>
                  <m:r>
                    <m:rPr>
                      <m:sty m:val="p"/>
                    </m:rPr>
                    <m:t>o</m:t>
                  </m:r>
                  <m:r>
                    <m:rPr>
                      <m:sty m:val="p"/>
                    </m:rPr>
                    <m:t>n</m:t>
                  </m:r>
                  <m:r>
                    <m:rPr>
                      <m:sty m:val="p"/>
                    </m:rPr>
                    <m:t>f</m:t>
                  </m:r>
                  <m:r>
                    <m:rPr>
                      <m:sty m:val="p"/>
                    </m:rPr>
                    <m:t>l</m:t>
                  </m:r>
                  <m:r>
                    <m:rPr>
                      <m:sty m:val="p"/>
                    </m:rPr>
                    <m:t>i</m:t>
                  </m:r>
                  <m:r>
                    <m:rPr>
                      <m:sty m:val="p"/>
                    </m:rPr>
                    <m:t>c</m:t>
                  </m:r>
                  <m:r>
                    <m:rPr>
                      <m:sty m:val="p"/>
                    </m:rPr>
                    <m:t>t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rPr>
                      <m:sty m:val="p"/>
                    </m:rPr>
                    <m:t>G</m:t>
                  </m:r>
                  <m:r>
                    <m:rPr>
                      <m:sty m:val="p"/>
                    </m:rPr>
                    <m:t>a</m:t>
                  </m:r>
                  <m:r>
                    <m:rPr>
                      <m:sty m:val="p"/>
                    </m:rPr>
                    <m:t>p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rPr>
                      <m:sty m:val="p"/>
                    </m:rPr>
                    <m:t>E</m:t>
                  </m:r>
                  <m:r>
                    <m:rPr>
                      <m:sty m:val="p"/>
                    </m:rPr>
                    <m:t>v</m:t>
                  </m:r>
                  <m:r>
                    <m:rPr>
                      <m:sty m:val="p"/>
                    </m:rPr>
                    <m:t>o</m:t>
                  </m:r>
                  <m:r>
                    <m:rPr>
                      <m:sty m:val="p"/>
                    </m:rPr>
                    <m:t>l</m:t>
                  </m:r>
                  <m:r>
                    <m:rPr>
                      <m:sty m:val="p"/>
                    </m:rPr>
                    <m:t>u</m:t>
                  </m:r>
                  <m:r>
                    <m:rPr>
                      <m:sty m:val="p"/>
                    </m:rPr>
                    <m:t>t</m:t>
                  </m:r>
                  <m:r>
                    <m:rPr>
                      <m:sty m:val="p"/>
                    </m:rPr>
                    <m:t>i</m:t>
                  </m:r>
                  <m:r>
                    <m:rPr>
                      <m:sty m:val="p"/>
                    </m:rPr>
                    <m:t>o</m:t>
                  </m:r>
                  <m:r>
                    <m:rPr>
                      <m:sty m:val="p"/>
                    </m:rPr>
                    <m:t>n</m:t>
                  </m:r>
                </m:e>
                <m:sub>
                  <m:r>
                    <m:t>A</m:t>
                  </m:r>
                </m:sub>
              </m:sSub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Граф</w:t>
      </w:r>
      <w:r>
        <w:t xml:space="preserve"> </w:t>
      </w:r>
      <m:oMath>
        <m:sSub>
          <m:e>
            <m:r>
              <m:t>G</m:t>
            </m:r>
          </m:e>
          <m:sub>
            <m:r>
              <m:t>A</m:t>
            </m:r>
          </m:sub>
        </m:sSub>
      </m:oMath>
      <w:r>
        <w:t xml:space="preserve"> </w:t>
      </w:r>
      <w:r>
        <w:t xml:space="preserve">содержит реперные кандидаты, типы связей, происхождение и сведения о времени/редакциях. Типы Build 28 — REPEATS, SUPPORTS, DEPENDS_ON, CONTRADICTS, REFINES, GENERALIZES, SUPERSEDES_CANDIDATE, PROJECTS_TO. Тип SUPPORTS обозначает здесь предложенную концептуальную поддержку; без дополнительного исчисления он не является правилом логического вывода.</w:t>
      </w:r>
    </w:p>
    <w:bookmarkEnd w:id="22"/>
    <w:bookmarkStart w:id="23" w:name="атрибуция-и-вектор-acp"/>
    <w:p>
      <w:pPr>
        <w:pStyle w:val="Heading1"/>
      </w:pPr>
      <w:r>
        <w:t xml:space="preserve">Атрибуция и вектор ACP</w:t>
      </w:r>
    </w:p>
    <w:p>
      <w:pPr>
        <w:pStyle w:val="FirstParagraph"/>
      </w:pPr>
      <w:r>
        <w:t xml:space="preserve">Attribution firewall разделяет авторскую речь, цитирование другого автора, редакторский текст, собственную речь переводчика и неизвестную атрибуцию. Вхождение из труда о Канте не пополняет непосредственно фонд высказываний Канта. Перевод кантовского предложения при этом не следует отождествлять с авторским тезисом переводчика: посредничество и голос — разные характеристики.</w:t>
      </w:r>
    </w:p>
    <w:p>
      <w:pPr>
        <w:pStyle w:val="BodyText"/>
      </w:pPr>
      <w:r>
        <w:t xml:space="preserve">В данном аудите 109 немецких вхождений сохраняют унаследованную декларацию AUTHORIAL; новая независимая филологическая экспертиза этой декларации не проведена. 33 переводных и три редакционно опосредованных вхождения требуют отдельной проверки. Из допущенных авторских вхождений 106 имеют воспроизводимую привязку; ещё три содержат ошибочные диапазоны строк.</w:t>
      </w:r>
    </w:p>
    <w:p>
      <w:pPr>
        <w:pStyle w:val="BodyText"/>
      </w:pPr>
      <w:r>
        <w:t xml:space="preserve">Профиль имеет вид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A</m:t>
          </m:r>
          <m:r>
            <m:rPr>
              <m:sty m:val="p"/>
            </m:rPr>
            <m:t>C</m:t>
          </m:r>
          <m:r>
            <m:rPr>
              <m:sty m:val="p"/>
            </m:rPr>
            <m:t>P</m:t>
          </m:r>
          <m:d>
            <m:dPr>
              <m:begChr m:val="("/>
              <m:endChr m:val=")"/>
              <m:sepChr m:val=""/>
              <m:grow/>
            </m:dPr>
            <m:e>
              <m:r>
                <m:t>ρ</m:t>
              </m:r>
            </m:e>
          </m:d>
          <m:r>
            <m:rPr>
              <m:sty m:val="p"/>
            </m:rPr>
            <m:t>=</m:t>
          </m:r>
          <m:d>
            <m:dPr>
              <m:begChr m:val="("/>
              <m:endChr m:val=")"/>
              <m:sepChr m:val=""/>
              <m:grow/>
            </m:dPr>
            <m:e>
              <m:r>
                <m:t>f</m:t>
              </m:r>
              <m:r>
                <m:rPr>
                  <m:sty m:val="p"/>
                </m:rPr>
                <m:t>,</m:t>
              </m:r>
              <m:r>
                <m:t>τ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u</m:t>
              </m:r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Здесь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— число независимых семейств,</w:t>
      </w:r>
      <w:r>
        <w:t xml:space="preserve"> </w:t>
      </w:r>
      <m:oMath>
        <m:r>
          <m:t>τ</m:t>
        </m:r>
      </m:oMath>
      <w:r>
        <w:t xml:space="preserve"> </w:t>
      </w:r>
      <w:r>
        <w:t xml:space="preserve">— интервал годов произведений,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— доля допущенных авторских вхождений,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— доля вхождений с документарным полем D и воспроизведённым источником,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— доля вхождений с одним привязанным ключом области,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— число зарегистрированных прямых незакрытых конфликтов,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— число диагностик неприкреплённого определения или вывода. Знаменатель долей — число уникальных членов группы; для пустой группы результат доли не определён и хранится как null.</w:t>
      </w:r>
    </w:p>
    <w:p>
      <w:pPr>
        <w:pStyle w:val="BodyText"/>
      </w:pPr>
      <w:r>
        <w:t xml:space="preserve">Типизированная область наследуется из компонентной аннотации, связанной с тем же репером и страницей. Её присутствие проверяемо программно, но адекватность области требует смыслового анализа. Год произведения также не является точной датой изменения убеждений Канта. Вектор не скаляризуется: ни сумма координат, ни их среднее не объявляются λ-истинностью или вероятностью истины.</w:t>
      </w:r>
    </w:p>
    <w:p>
      <w:pPr>
        <w:pStyle w:val="BodyText"/>
      </w:pPr>
      <w:r>
        <w:t xml:space="preserve">Операционная реализация отделяет четыре условия спецификации от двух дополнительных ограничений. Сначала проверяются авторская атрибуция, минимум два семейства, отсутствие блокеров атрибуции и прямого незакрытого противоречия в поданном реестре. Затем требуются непересечение авторских вхождений и два семейства с воспроизводимыми источниками. Это консервативная политика реализации; она не выдаётся за дословный дополнительный пункт исходной спецификации.</w:t>
      </w:r>
    </w:p>
    <w:tbl>
      <w:tblPr>
        <w:tblW w:w="9026" w:type="dxa"/>
        <w:tblInd w:w="120" w:type="dxa"/>
        <w:tblBorders>
          <w:top w:val="single" w:sz="4" w:color="CCD3D7"/>
          <w:bottom w:val="single" w:sz="4" w:color="CCD3D7"/>
          <w:left w:val="single" w:sz="4" w:color="CCD3D7"/>
          <w:right w:val="single" w:sz="4" w:color="CCD3D7"/>
          <w:insideH w:val="single" w:sz="4" w:color="CCD3D7"/>
          <w:insideV w:val="single" w:sz="4" w:color="CCD3D7"/>
        </w:tblBorders>
        <w:tblLayout w:type="fixed"/>
        <w:tblCellMar>
          <w:top w:w="80" w:type="dxa"/>
          <w:bottom w:w="80" w:type="dxa"/>
          <w:start w:w="120" w:type="dxa"/>
          <w:end w:w="120" w:type="dxa"/>
        </w:tblCellMar>
        <w:tblLook w:firstColumn="1" w:firstRow="1" w:lastColumn="0" w:lastRow="0" w:noHBand="0" w:noVBand="1" w:val="04A0"/>
      </w:tblPr>
      <w:tblGrid>
        <w:gridCol w:w="1480"/>
        <w:gridCol w:w="2946"/>
        <w:gridCol w:w="1200"/>
        <w:gridCol w:w="1600"/>
        <w:gridCol w:w="900"/>
        <w:gridCol w:w="900"/>
      </w:tblGrid>
      <w:tr>
        <w:trPr>
          <w:cantSplit/>
          <w:tblHeader/>
        </w:trPr>
        <w:tc>
          <w:tcPr>
            <w:tcW w:type="dxa" w:w="148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Репер</w:t>
            </w:r>
          </w:p>
        </w:tc>
        <w:tc>
          <w:tcPr>
            <w:tcW w:type="dxa" w:w="2946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Предложенная тема</w:t>
            </w:r>
          </w:p>
        </w:tc>
        <w:tc>
          <w:tcPr>
            <w:tcW w:type="dxa" w:w="120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f</w:t>
            </w:r>
          </w:p>
        </w:tc>
        <w:tc>
          <w:tcPr>
            <w:tcW w:type="dxa" w:w="160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Годы</w:t>
            </w:r>
          </w:p>
        </w:tc>
        <w:tc>
          <w:tcPr>
            <w:tcW w:type="dxa" w:w="90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D</w:t>
            </w:r>
          </w:p>
        </w:tc>
        <w:tc>
          <w:tcPr>
            <w:tcW w:type="dxa" w:w="90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Dom</w:t>
            </w:r>
          </w:p>
        </w:tc>
      </w:tr>
      <w:tr>
        <w:trPr>
          <w:cantSplit/>
        </w:trPr>
        <w:tc>
          <w:tcPr>
            <w:tcW w:type="dxa" w:w="148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KANT-AR-025</w:t>
            </w:r>
          </w:p>
        </w:tc>
        <w:tc>
          <w:tcPr>
            <w:tcW w:type="dxa" w:w="294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Моральное зло, вменимость и максима</w:t>
            </w:r>
          </w:p>
        </w:tc>
        <w:tc>
          <w:tcPr>
            <w:tcW w:type="dxa" w:w="12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6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1793–1798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4/4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1/4</w:t>
            </w:r>
          </w:p>
        </w:tc>
      </w:tr>
      <w:tr>
        <w:trPr>
          <w:cantSplit/>
        </w:trPr>
        <w:tc>
          <w:tcPr>
            <w:tcW w:type="dxa" w:w="148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KANT-AR-035</w:t>
            </w:r>
          </w:p>
        </w:tc>
        <w:tc>
          <w:tcPr>
            <w:tcW w:type="dxa" w:w="294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Просвещение и самостоятельное употребление рассудка</w:t>
            </w:r>
          </w:p>
        </w:tc>
        <w:tc>
          <w:tcPr>
            <w:tcW w:type="dxa" w:w="12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6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1784–1784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2/2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1/2</w:t>
            </w:r>
          </w:p>
        </w:tc>
      </w:tr>
      <w:tr>
        <w:trPr>
          <w:cantSplit/>
        </w:trPr>
        <w:tc>
          <w:tcPr>
            <w:tcW w:type="dxa" w:w="148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KANT-AR-039</w:t>
            </w:r>
          </w:p>
        </w:tc>
        <w:tc>
          <w:tcPr>
            <w:tcW w:type="dxa" w:w="294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Республиканская конституция и правовая форма</w:t>
            </w:r>
          </w:p>
        </w:tc>
        <w:tc>
          <w:tcPr>
            <w:tcW w:type="dxa" w:w="12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6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1795–1798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2/2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1/2</w:t>
            </w:r>
          </w:p>
        </w:tc>
      </w:tr>
      <w:tr>
        <w:trPr>
          <w:cantSplit/>
        </w:trPr>
        <w:tc>
          <w:tcPr>
            <w:tcW w:type="dxa" w:w="148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KANT-AR-053</w:t>
            </w:r>
          </w:p>
        </w:tc>
        <w:tc>
          <w:tcPr>
            <w:tcW w:type="dxa" w:w="294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Структурированное единство интересов разума</w:t>
            </w:r>
          </w:p>
        </w:tc>
        <w:tc>
          <w:tcPr>
            <w:tcW w:type="dxa" w:w="12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16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1787–1788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3/3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1/3</w:t>
            </w:r>
          </w:p>
        </w:tc>
      </w:tr>
    </w:tbl>
    <w:p>
      <w:pPr>
        <w:pStyle w:val="BodyText"/>
        <w:spacing w:before="80" w:after="80"/>
      </w:pPr>
      <w:r>
        <w:t xml:space="preserve">Источник таблицы — результат исполнения ACP_PROFILES.json. Для всех четырёх доля допущенной атрибуции равна 1; число зарегистрированных прямых конфликтов равно 0. У KANT-AR-025 сохраняется одна диагностика ORPHAN-DEFINITION. Эти значения демонстрируют, что структурный статус ядра совместим с неполнотой аргументационного и доменного описания. Четыре группы не объявляются единственно важными понятиями философии Канта.</w:t>
      </w:r>
    </w:p>
    <w:bookmarkEnd w:id="23"/>
    <w:bookmarkStart w:id="29" w:name="X5371c9b1aa27b3561fd0318ffe9ee7646c045fa"/>
    <w:p>
      <w:pPr>
        <w:pStyle w:val="Heading1"/>
      </w:pPr>
      <w:r>
        <w:t xml:space="preserve">Логическая форма, предмет и границы теоретического знания</w:t>
      </w:r>
    </w:p>
    <w:p>
      <w:pPr>
        <w:pStyle w:val="FirstParagraph"/>
      </w:pPr>
      <w:r>
        <w:t xml:space="preserve">Фрагмент AA III 80 различает соответствие общим формальным правилам мышления и достаточное основание предметной истины. Условие логической согласованности представлено как необходимое, но недостаточное для установления содержательной истины. Для репера KANT-AR-019 это позволяет хранить отдельно logical_form и object_relation; переход от одного к другому требует отдельного основания.</w:t>
      </w:r>
      <w:r>
        <w:t xml:space="preserve"> </w:t>
      </w:r>
      <w:hyperlink r:id="rId24">
        <w:r>
          <w:rPr>
            <w:rStyle w:val="Hyperlink"/>
          </w:rPr>
          <w:t xml:space="preserve">Кант, AA III 80</w:t>
        </w:r>
      </w:hyperlink>
      <w:r>
        <w:t xml:space="preserve">.</w:t>
      </w:r>
    </w:p>
    <w:p>
      <w:pPr>
        <w:pStyle w:val="BodyText"/>
      </w:pPr>
      <w:r>
        <w:t xml:space="preserve">В предисловии редакции A критика направлена на способность разума, источники, объём и границы метафизического познания. Эта постановка поддерживает репер критического самоисследования, однако не даёт права превращать конкретное определение критики в универсальный алгоритм всех наук.</w:t>
      </w:r>
      <w:r>
        <w:t xml:space="preserve"> </w:t>
      </w:r>
      <w:hyperlink r:id="rId25">
        <w:r>
          <w:rPr>
            <w:rStyle w:val="Hyperlink"/>
          </w:rPr>
          <w:t xml:space="preserve">Кант, AA IV 9</w:t>
        </w:r>
      </w:hyperlink>
      <w:r>
        <w:t xml:space="preserve">.</w:t>
      </w:r>
    </w:p>
    <w:p>
      <w:pPr>
        <w:pStyle w:val="BodyText"/>
      </w:pPr>
      <w:r>
        <w:t xml:space="preserve">В рамках проекта KLT указанные места допускают методологическое сопоставление с требованием раздельно проверять формальную согласованность, источник, область и предметную интерпретацию. Это сопоставление принадлежит исследователю. Тождества кантовского критерия истины и λ-истинности Курпишева не установлено; из текстовой аналогии не следует физическое или предсказательное подтверждение KLT.</w:t>
      </w:r>
    </w:p>
    <w:p>
      <w:pPr>
        <w:pStyle w:val="BodyText"/>
      </w:pPr>
      <w:r>
        <w:t xml:space="preserve">Редакции A и B дают разные контексты трансцендентальной дедукции. Сохранённые страницы AA IV 87 и AA III 111–112 позволяют исследовать роль апперцепции и объективной значимости. Сходная тематическая функция не доказывает тождества архитектуры двух дедукций и не создаёт второго независимого произведения. Вопрос о staged-интерпретации трёх синтезов остаётся открытым: перечисление связанных функций не устанавливает универсальный временной порядок вычисления.</w:t>
      </w:r>
      <w:r>
        <w:t xml:space="preserve"> </w:t>
      </w:r>
      <w:hyperlink r:id="rId26">
        <w:r>
          <w:rPr>
            <w:rStyle w:val="Hyperlink"/>
          </w:rPr>
          <w:t xml:space="preserve">Кант, AA IV 87</w:t>
        </w:r>
      </w:hyperlink>
      <w:r>
        <w:t xml:space="preserve">;</w:t>
      </w:r>
      <w:r>
        <w:t xml:space="preserve"> </w:t>
      </w:r>
      <w:hyperlink r:id="rId27">
        <w:r>
          <w:rPr>
            <w:rStyle w:val="Hyperlink"/>
          </w:rPr>
          <w:t xml:space="preserve">AA III 111</w:t>
        </w:r>
      </w:hyperlink>
      <w:r>
        <w:t xml:space="preserve">;</w:t>
      </w:r>
      <w:r>
        <w:t xml:space="preserve"> </w:t>
      </w:r>
      <w:hyperlink r:id="rId28">
        <w:r>
          <w:rPr>
            <w:rStyle w:val="Hyperlink"/>
          </w:rPr>
          <w:t xml:space="preserve">AA III 112</w:t>
        </w:r>
      </w:hyperlink>
      <w:r>
        <w:t xml:space="preserve">.</w:t>
      </w:r>
    </w:p>
    <w:bookmarkEnd w:id="29"/>
    <w:bookmarkStart w:id="37" w:name="пять-случаев-концептуального-напряжения"/>
    <w:p>
      <w:pPr>
        <w:pStyle w:val="Heading1"/>
      </w:pPr>
      <w:r>
        <w:t xml:space="preserve">Пять случаев концептуального напряжения</w:t>
      </w:r>
    </w:p>
    <w:p>
      <w:pPr>
        <w:pStyle w:val="FirstParagraph"/>
      </w:pPr>
      <w:r>
        <w:rPr>
          <w:bCs/>
          <w:b/>
        </w:rPr>
        <w:t xml:space="preserve">Природа и свобода — KANT-C-001.</w:t>
      </w:r>
      <w:r>
        <w:t xml:space="preserve"> </w:t>
      </w:r>
      <w:r>
        <w:t xml:space="preserve">В AA V 195 различаются законодательство рассудка для природы и законодательство разума для свободы; обсуждается их соединение через способность суждения. Это источниковое основание для проверки перехода между областями. Оно не разрешает свести теоретическое познание природы и практическую причинность к одной неразличённой пропозиции. Статус случая сохраняется как TENSION_REVIEW.</w:t>
      </w:r>
      <w:r>
        <w:t xml:space="preserve"> </w:t>
      </w:r>
      <w:hyperlink r:id="rId30">
        <w:r>
          <w:rPr>
            <w:rStyle w:val="Hyperlink"/>
          </w:rPr>
          <w:t xml:space="preserve">Кант, AA V 195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Пределы познания и практическое принятие — KANT-C-002.</w:t>
      </w:r>
      <w:r>
        <w:t xml:space="preserve"> </w:t>
      </w:r>
      <w:r>
        <w:t xml:space="preserve">AA V 4 допускает практическое принятие в определённом отношении, не устанавливая соответствующего теоретического усмотрения. Следовательно, формула «теоретически не познаётся» не является сама по себе отрицанием «принимается в практическом отношении». Для прямого конфликта необходимо показать одинаковые предмет, область употребления, модальность и смысл терминов. Такой полный тест корпуса ещё не завершён.</w:t>
      </w:r>
      <w:r>
        <w:t xml:space="preserve"> </w:t>
      </w:r>
      <w:hyperlink r:id="rId31">
        <w:r>
          <w:rPr>
            <w:rStyle w:val="Hyperlink"/>
          </w:rPr>
          <w:t xml:space="preserve">Кант, AA V 4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Добро и зло в характеристике человека — KANT-C-003.</w:t>
      </w:r>
      <w:r>
        <w:t xml:space="preserve"> </w:t>
      </w:r>
      <w:r>
        <w:t xml:space="preserve">В AA VII 324 текст различает интеллигибельную моральную предрасположенность и чувственно проявляющуюся склонность к запрещённому. Это различение препятствует механическому построению пары P и не-P только из слов «добрый» и «злой». Один конец прежней записи задан источниковым якорем, а не ID репера; новый реестр сохраняет эту разницу типов. Исследовательская задача — проверить, последовательно ли различение работает в сопоставляемых произведениях.</w:t>
      </w:r>
      <w:r>
        <w:t xml:space="preserve"> </w:t>
      </w:r>
      <w:hyperlink r:id="rId32">
        <w:r>
          <w:rPr>
            <w:rStyle w:val="Hyperlink"/>
          </w:rPr>
          <w:t xml:space="preserve">Кант, AA VII 324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Революция как средство и как исторический знак — KANT-C-004.</w:t>
      </w:r>
      <w:r>
        <w:t xml:space="preserve"> </w:t>
      </w:r>
      <w:r>
        <w:t xml:space="preserve">Унаследованный реестр сопоставляет ограничение роли политической революции в преобразовании способа мышления с обсуждением исторического события и реакции на него как знака тенденции человеческого рода. Для монографии это гипотеза различения причинного механизма и свидетельства, а не завершённое устранение противоречия. Предстоит проверить целые контексты Просвещения и «Спора факультетов», а также субъектов соответствующих суждений.</w:t>
      </w:r>
      <w:r>
        <w:t xml:space="preserve"> </w:t>
      </w:r>
      <w:hyperlink r:id="rId33">
        <w:r>
          <w:rPr>
            <w:rStyle w:val="Hyperlink"/>
          </w:rPr>
          <w:t xml:space="preserve">Кант, AA VIII 36</w:t>
        </w:r>
      </w:hyperlink>
      <w:r>
        <w:t xml:space="preserve">;</w:t>
      </w:r>
      <w:r>
        <w:t xml:space="preserve"> </w:t>
      </w:r>
      <w:hyperlink r:id="rId34">
        <w:r>
          <w:rPr>
            <w:rStyle w:val="Hyperlink"/>
          </w:rPr>
          <w:t xml:space="preserve">AA VII 84–85, начало на с. 84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Практическая надежда и эмпирические признаки прогресса — KANT-C-005.</w:t>
      </w:r>
      <w:r>
        <w:t xml:space="preserve"> </w:t>
      </w:r>
      <w:r>
        <w:t xml:space="preserve">Здесь требуется сопоставить текст 1793 года о практической ориентации на улучшение с различением наблюдаемой легальности и внутренней моральной настроенности в тексте 1798 года. Различие даты само по себе не доказывает эволюции учения; одинаковое слово «прогресс» не гарантирует одинакового предиката. Случай остаётся открытым до анализа модальности и критерия свидетельства.</w:t>
      </w:r>
      <w:r>
        <w:t xml:space="preserve"> </w:t>
      </w:r>
      <w:hyperlink r:id="rId35">
        <w:r>
          <w:rPr>
            <w:rStyle w:val="Hyperlink"/>
          </w:rPr>
          <w:t xml:space="preserve">Кант, AA VIII 309</w:t>
        </w:r>
      </w:hyperlink>
      <w:r>
        <w:t xml:space="preserve">;</w:t>
      </w:r>
      <w:r>
        <w:t xml:space="preserve"> </w:t>
      </w:r>
      <w:hyperlink r:id="rId36">
        <w:r>
          <w:rPr>
            <w:rStyle w:val="Hyperlink"/>
          </w:rPr>
          <w:t xml:space="preserve">AA VII 91</w:t>
        </w:r>
      </w:hyperlink>
      <w:r>
        <w:t xml:space="preserve">.</w:t>
      </w:r>
    </w:p>
    <w:p>
      <w:pPr>
        <w:pStyle w:val="BodyText"/>
      </w:pPr>
      <w:r>
        <w:t xml:space="preserve">Эти пять случаев не объявлены ни доказанными противоречиями, ни окончательно разрешёнными трудностями. Для решающего минимального правила нужны две проверенные утвердительные атомарные формулы с совпадающими аргументами, областью, модальностью, значением термина и временной областью, но противоположной полярностью. В 59 унаследованных нормализациях эти предпосылки не удостоверены. Из 1711 попарных сопоставлений 58 включают неутвердительную форму, остальные 1653 выходят за поддерживаемую проверенную логическую форму. Поэтому решающее правило воздерживается от вывода; нуль найденных прямых противоречий здесь не является теоремой о непротиворечивости.</w:t>
      </w:r>
    </w:p>
    <w:bookmarkEnd w:id="37"/>
    <w:bookmarkStart w:id="41" w:name="источниковые-дефекты-и-реестр-неполноты"/>
    <w:p>
      <w:pPr>
        <w:pStyle w:val="Heading1"/>
      </w:pPr>
      <w:r>
        <w:t xml:space="preserve">Источниковые дефекты и реестр неполноты</w:t>
      </w:r>
    </w:p>
    <w:p>
      <w:pPr>
        <w:pStyle w:val="FirstParagraph"/>
      </w:pPr>
      <w:r>
        <w:t xml:space="preserve">Новая проверка выделила три диапазона, требующих исправления. На странице AA VIII 290 нет указанной строки 38; на AA VIII 294 нумерованный основной текст заканчивается строкой 16, тогда как запись запрашивает строки до 20; на AA VIII 313 отсутствуют запрошенные строки 22–24. Диапазоны не были автоматически обрезаны. Такая диагностика относится к локатору, не к истинности исследуемого положения.</w:t>
      </w:r>
    </w:p>
    <w:p>
      <w:pPr>
        <w:pStyle w:val="BodyText"/>
      </w:pPr>
      <w:r>
        <w:t xml:space="preserve">Три цитатные записи не воспроизвелись по объявленным правилам. В KANT-SE-013-016B (AA VI 380:22–24) внутри приведённого текста отсутствует авторская вставка в скобках без явного знака пропуска. KANT-SE-014-021 (AA VIII 290) соединяет пункты перечисления без их исходных обозначений. В KANT-TSE-016-012 (AA VIII 275:16–22) заключительное слово второго фрагмента располагается уже на строке 23. Это разные виды ремонта: обозначение пропуска, разделение цитатных фрагментов и уточнение границы источника.</w:t>
      </w:r>
      <w:r>
        <w:t xml:space="preserve"> </w:t>
      </w:r>
      <w:hyperlink r:id="rId38">
        <w:r>
          <w:rPr>
            <w:rStyle w:val="Hyperlink"/>
          </w:rPr>
          <w:t xml:space="preserve">AA VI 380</w:t>
        </w:r>
      </w:hyperlink>
      <w:r>
        <w:t xml:space="preserve">;</w:t>
      </w:r>
      <w:r>
        <w:t xml:space="preserve"> </w:t>
      </w:r>
      <w:hyperlink r:id="rId39">
        <w:r>
          <w:rPr>
            <w:rStyle w:val="Hyperlink"/>
          </w:rPr>
          <w:t xml:space="preserve">AA VIII 290</w:t>
        </w:r>
      </w:hyperlink>
      <w:r>
        <w:t xml:space="preserve">;</w:t>
      </w:r>
      <w:r>
        <w:t xml:space="preserve"> </w:t>
      </w:r>
      <w:hyperlink r:id="rId40">
        <w:r>
          <w:rPr>
            <w:rStyle w:val="Hyperlink"/>
          </w:rPr>
          <w:t xml:space="preserve">AA VIII 275</w:t>
        </w:r>
      </w:hyperlink>
      <w:r>
        <w:t xml:space="preserve">.</w:t>
      </w:r>
    </w:p>
    <w:p>
      <w:pPr>
        <w:pStyle w:val="BodyText"/>
      </w:pPr>
      <w:r>
        <w:t xml:space="preserve">В результате повторную прямую источниковую привязку получили 106 из 113 компонент, исторически отмеченных как прямые. Семь оставшихся компонент относятся к реперам 046, 047 и 055. Их прежний статус не стирается: рядом записывается новый отрицательный результат проверки привязки. Это не доказывает ложность соответствующих кантовских тезисов и не отрицает возможность исправить цитатную запись.</w:t>
      </w:r>
    </w:p>
    <w:tbl>
      <w:tblPr>
        <w:tblW w:w="9026" w:type="dxa"/>
        <w:tblInd w:w="120" w:type="dxa"/>
        <w:tblBorders>
          <w:top w:val="single" w:sz="4" w:color="CCD3D7"/>
          <w:bottom w:val="single" w:sz="4" w:color="CCD3D7"/>
          <w:left w:val="single" w:sz="4" w:color="CCD3D7"/>
          <w:right w:val="single" w:sz="4" w:color="CCD3D7"/>
          <w:insideH w:val="single" w:sz="4" w:color="CCD3D7"/>
          <w:insideV w:val="single" w:sz="4" w:color="CCD3D7"/>
        </w:tblBorders>
        <w:tblLayout w:type="fixed"/>
        <w:tblCellMar>
          <w:top w:w="80" w:type="dxa"/>
          <w:bottom w:w="80" w:type="dxa"/>
          <w:start w:w="120" w:type="dxa"/>
          <w:end w:w="120" w:type="dxa"/>
        </w:tblCellMar>
        <w:tblLook w:firstColumn="1" w:firstRow="1" w:lastColumn="0" w:lastRow="0" w:noHBand="0" w:noVBand="1" w:val="04A0"/>
      </w:tblPr>
      <w:tblGrid>
        <w:gridCol w:w="3500"/>
        <w:gridCol w:w="900"/>
        <w:gridCol w:w="4626"/>
      </w:tblGrid>
      <w:tr>
        <w:trPr>
          <w:cantSplit/>
          <w:tblHeader/>
        </w:trPr>
        <w:tc>
          <w:tcPr>
            <w:tcW w:type="dxa" w:w="350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Уровень реестра</w:t>
            </w:r>
          </w:p>
        </w:tc>
        <w:tc>
          <w:tcPr>
            <w:tcW w:type="dxa" w:w="900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Объём</w:t>
            </w:r>
          </w:p>
        </w:tc>
        <w:tc>
          <w:tcPr>
            <w:tcW w:type="dxa" w:w="4626"/>
            <w:shd w:fill="E8EEF5"/>
          </w:tcPr>
          <w:p>
            <w:pPr>
              <w:spacing w:before="0" w:after="80" w:line="276" w:lineRule="auto"/>
              <w:jc w:val="left"/>
            </w:pPr>
            <w:r>
              <w:rPr>
                <w:b/>
                <w:sz w:val="20"/>
              </w:rPr>
              <w:t>Интерпретация</w:t>
            </w:r>
          </w:p>
        </w:tc>
      </w:tr>
      <w:tr>
        <w:trPr>
          <w:cantSplit/>
        </w:trPr>
        <w:tc>
          <w:tcPr>
            <w:tcW w:type="dxa" w:w="35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Унаследованные смысловые компоненты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156</w:t>
            </w:r>
          </w:p>
        </w:tc>
        <w:tc>
          <w:tcPr>
            <w:tcW w:type="dxa" w:w="462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Исследовательская декомпозиция; её полнота не доказана</w:t>
            </w:r>
          </w:p>
        </w:tc>
      </w:tr>
      <w:tr>
        <w:trPr>
          <w:cantSplit/>
        </w:trPr>
        <w:tc>
          <w:tcPr>
            <w:tcW w:type="dxa" w:w="35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Старые остаточные компонентные пробелы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type="dxa" w:w="462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23 контекстных и 20 без точной привязки; не объявлены закрытыми</w:t>
            </w:r>
          </w:p>
        </w:tc>
      </w:tr>
      <w:tr>
        <w:trPr>
          <w:cantSplit/>
        </w:trPr>
        <w:tc>
          <w:tcPr>
            <w:tcW w:type="dxa" w:w="35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Новые диагностики Build 28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287</w:t>
            </w:r>
          </w:p>
        </w:tc>
        <w:tc>
          <w:tcPr>
            <w:tcW w:type="dxa" w:w="462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Разные уровни: атрибуция, источник, область, связи и аргументация</w:t>
            </w:r>
          </w:p>
        </w:tc>
      </w:tr>
      <w:tr>
        <w:trPr>
          <w:cantSplit/>
        </w:trPr>
        <w:tc>
          <w:tcPr>
            <w:tcW w:type="dxa" w:w="35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Исторические записи неполноты корпуса</w:t>
            </w:r>
          </w:p>
        </w:tc>
        <w:tc>
          <w:tcPr>
            <w:tcW w:type="dxa" w:w="900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39</w:t>
            </w:r>
          </w:p>
        </w:tc>
        <w:tc>
          <w:tcPr>
            <w:tcW w:type="dxa" w:w="4626"/>
          </w:tcPr>
          <w:p>
            <w:pPr>
              <w:spacing w:before="0" w:after="80" w:line="276" w:lineRule="auto"/>
              <w:jc w:val="left"/>
            </w:pPr>
            <w:r>
              <w:rPr>
                <w:b w:val="0"/>
                <w:sz w:val="20"/>
              </w:rPr>
              <w:t>Сохранённый реестр прежних циклов с прежними статусами</w:t>
            </w:r>
          </w:p>
        </w:tc>
      </w:tr>
    </w:tbl>
    <w:p>
      <w:pPr>
        <w:pStyle w:val="BodyText"/>
      </w:pPr>
      <w:r>
        <w:t xml:space="preserve">Эти числа не складываются в «число недостатков Канта». Одна и та же нерешённая источниковая задача может проявляться на уровне вхождения, компоненты и репера. ORPHAN-DEFINITION означает отсутствие зарегистрированной типизированной связи употребления определения в данном графе; ORPHAN-CONCLUSION — отсутствие зарегистрированной связи основания вывода. Ни то ни другое не доказывает, что соответствующий аргумент отсутствует в полном тексте.</w:t>
      </w:r>
    </w:p>
    <w:bookmarkEnd w:id="41"/>
    <w:bookmarkStart w:id="42" w:name="Xbebb47f6986c1c47c41c7034bbc776d7ec3678c"/>
    <w:p>
      <w:pPr>
        <w:pStyle w:val="Heading1"/>
      </w:pPr>
      <w:r>
        <w:t xml:space="preserve">Исполнение, воспроизводимость и продолжение монографии</w:t>
      </w:r>
    </w:p>
    <w:p>
      <w:pPr>
        <w:pStyle w:val="FirstParagraph"/>
      </w:pPr>
      <w:r>
        <w:t xml:space="preserve">Модуль реализован на Python и SQLite. Все 90 исторических таблиц базы сравниваются по схеме и значениям строк после добавления 15 таблиц нового слоя. Исходный ZIP RUN-017 включён как точка отката. При повторной сборке JSON и HTML совпали побайтово, а SQLite — по схеме и всем значениям строк. Выполнены 34 проверки, включая негативные: подмена исходных байтов, потеря происхождения, смешение автора и редактора, повторное засчитывание семейства, неоднозначная принадлежность, неподдерживаемое отрицание и попытка повышения truth_layer.</w:t>
      </w:r>
    </w:p>
    <w:p>
      <w:pPr>
        <w:pStyle w:val="BodyText"/>
      </w:pPr>
      <w:r>
        <w:t xml:space="preserve">Программный результат готов к подключению через объявленный контракт API/CLI и JSON. Публикация на рабочем сайте KLT-RBDv6, импорт в его действующую базу, перенос в браузерный или Flutter-движок и сборка APK относятся к следующему этапу. Текущий пакет не маркируется как уже развёрнутая версия программы.</w:t>
      </w:r>
    </w:p>
    <w:p>
      <w:pPr>
        <w:pStyle w:val="BodyText"/>
      </w:pPr>
      <w:r>
        <w:t xml:space="preserve">Дальнейшая монография должна развиваться по последовательности проверяемых задач. Сначала необходимо исправить шесть конкретных цитатных/строчных привязок и провести независимую оценку 36 опосредованных атрибуций. Затем — обосновать смысловое членение шести общих вхождений, уточнить области Dom, сопоставить 47 ещё не типизированных связей и документировать основания оставшихся компонент. После этого можно расширять формализованный корпус с отдельным контролем кванторов, модальности, области отрицания и временной отнесённости.</w:t>
      </w:r>
    </w:p>
    <w:p>
      <w:pPr>
        <w:pStyle w:val="BodyText"/>
      </w:pPr>
      <w:r>
        <w:t xml:space="preserve">Переход к предсказательным задачам KLT потребует самостоятельного протокола испытаний. Ни устойчивое повторение репера, ни успешная реконструкция аргумента Канта не заменяют такого протокола. Сохраняется truth_layer_promotion=0: удостоверяются операции над текстовыми свидетельствами, тогда как истинность представленных положений, полнота реконструкции и научная состоятельность дальнейших переносов остаются отдельными обязательствами.</w:t>
      </w:r>
    </w:p>
    <w:bookmarkEnd w:id="42"/>
    <w:bookmarkStart w:id="45" w:name="источники-и-материалы-воспроизводимости"/>
    <w:p>
      <w:pPr>
        <w:pStyle w:val="Heading1"/>
      </w:pPr>
      <w:r>
        <w:t xml:space="preserve">Источники и материалы воспроизводимости</w:t>
      </w:r>
    </w:p>
    <w:p>
      <w:pPr>
        <w:pStyle w:val="FirstParagraph"/>
      </w:pPr>
      <w:r>
        <w:rPr>
          <w:bCs/>
          <w:b/>
        </w:rPr>
        <w:t xml:space="preserve">Кант, первичные тексты.</w:t>
      </w:r>
      <w:r>
        <w:t xml:space="preserve"> </w:t>
      </w:r>
      <w:r>
        <w:t xml:space="preserve">Akademie-Ausgabe: «Критика чистого разума» — AA III–IV; «Пролегомены» и «Основоположение к метафизике нравов» — AA IV; «Критика практического разума» и «Критика способности суждения» — AA V; сочинения по религии и метафизике нравов — AA VI; «Спор факультетов» и «Антропология» — AA VII; историко-политические тексты — AA VIII; редакционно опосредованная «Логика» — AA IX. Использована электронная транскрипция Korpora; конкретные страницы приведены при утверждениях, полный перечень 136 снимков — в SOURCE_AUDIT.json. Современные русские названия здесь служат навигации; новый русский перевод корпуса не создавался.</w:t>
      </w:r>
    </w:p>
    <w:p>
      <w:pPr>
        <w:pStyle w:val="BodyText"/>
      </w:pPr>
      <w:r>
        <w:rPr>
          <w:bCs/>
          <w:b/>
        </w:rPr>
        <w:t xml:space="preserve">Курпишев И. Б., проектные материалы.</w:t>
      </w:r>
      <w:r>
        <w:t xml:space="preserve"> </w:t>
      </w:r>
      <w:r>
        <w:t xml:space="preserve">AUTHOR_REPER_DB_SPEC.md, ARBD v1 / Build 28, экземпляр от 5 сентября 2026 года; FORMAL_MODEL.md, экземпляр той же даты.</w:t>
      </w:r>
      <w:r>
        <w:t xml:space="preserve"> </w:t>
      </w:r>
      <w:hyperlink r:id="rId43">
        <w:r>
          <w:rPr>
            <w:rStyle w:val="Hyperlink"/>
          </w:rPr>
          <w:t xml:space="preserve">Спецификация базы</w:t>
        </w:r>
      </w:hyperlink>
      <w:r>
        <w:t xml:space="preserve">;</w:t>
      </w:r>
      <w:r>
        <w:t xml:space="preserve"> </w:t>
      </w:r>
      <w:hyperlink r:id="rId44">
        <w:r>
          <w:rPr>
            <w:rStyle w:val="Hyperlink"/>
          </w:rPr>
          <w:t xml:space="preserve">формальная модель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Вычислительный корпус.</w:t>
      </w:r>
      <w:r>
        <w:t xml:space="preserve"> </w:t>
      </w:r>
      <w:r>
        <w:t xml:space="preserve">KLT_RBD_ARBD_KANT_RUN_017_2026-09-04.zip; SHA-256: 81479b9dce1ebf7280414f91c2cfaacc49cd534d6f141a00994ce927ad44ff97. Активный смысловой слой родителя: semantic_run017. Настоящий производный выпуск: ARBD_B28_KANT_R017_v1_0. Контрольные суммы входов, отчёт испытаний, неизменённый родитель, исходники, SQLite и JSON включены в пакет.</w:t>
      </w:r>
    </w:p>
    <w:bookmarkEnd w:id="45"/>
    <w:sectPr w:rsidR="00FC693F" w:rsidRPr="0006063C" w:rsidSect="00034616">
      <w:headerReference r:id="rId9" w:type="default"/>
      <w:footerReference r:id="rId10" w:type="default"/>
      <w:pgSz w:h="16838" w:w="11906"/>
      <w:pgMar w:bottom="1440" w:footer="708" w:gutter="0" w:header="708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Кант · ARBD Build 28 · черновик v0.1</w:t>
    </w: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val="bestFit"/>
  <w:proofState w:grammar="clean"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widowControl/>
      <w:spacing w:after="120" w:before="0" w:line="300" w:lineRule="auto"/>
      <w:jc w:val="both"/>
    </w:pPr>
    <w:rPr>
      <w:rFonts w:ascii="Liberation Serif" w:cs="Liberation Serif" w:eastAsia="Liberation Serif" w:hAnsi="Liberation Serif"/>
      <w:color w:val="111111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widowControl/>
      <w:tabs>
        <w:tab w:pos="4680" w:val="center"/>
        <w:tab w:pos="9360" w:val="right"/>
      </w:tabs>
      <w:spacing w:after="0" w:before="0" w:line="240" w:lineRule="auto"/>
    </w:pPr>
    <w:rPr>
      <w:rFonts w:ascii="Liberation Serif" w:cs="Liberation Serif" w:eastAsia="Liberation Serif" w:hAnsi="Liberation Serif"/>
      <w:color w:val="666666"/>
      <w:sz w:val="18"/>
    </w:r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widowControl/>
      <w:tabs>
        <w:tab w:pos="4680" w:val="center"/>
        <w:tab w:pos="9360" w:val="right"/>
      </w:tabs>
      <w:spacing w:after="0" w:before="0" w:line="240" w:lineRule="auto"/>
    </w:pPr>
    <w:rPr>
      <w:rFonts w:ascii="Liberation Serif" w:cs="Liberation Serif" w:eastAsia="Liberation Serif" w:hAnsi="Liberation Serif"/>
      <w:color w:val="666666"/>
      <w:sz w:val="18"/>
    </w:r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after="200" w:before="360" w:line="300" w:lineRule="auto"/>
      <w:jc w:val="left"/>
      <w:outlineLvl w:val="0"/>
    </w:pPr>
    <w:rPr>
      <w:rFonts w:ascii="Liberation Serif" w:cs="Liberation Serif" w:eastAsia="Liberation Serif" w:hAnsi="Liberation Serif"/>
      <w:b/>
      <w:bCs/>
      <w:color w:val="111111"/>
      <w:sz w:val="32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after="140" w:before="280" w:line="300" w:lineRule="auto"/>
      <w:jc w:val="left"/>
      <w:outlineLvl w:val="1"/>
    </w:pPr>
    <w:rPr>
      <w:rFonts w:ascii="Liberation Serif" w:cs="Liberation Serif" w:eastAsia="Liberation Serif" w:hAnsi="Liberation Serif"/>
      <w:b/>
      <w:bCs/>
      <w:color w:val="111111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after="100" w:before="200" w:line="300" w:lineRule="auto"/>
      <w:jc w:val="left"/>
      <w:outlineLvl w:val="2"/>
    </w:pPr>
    <w:rPr>
      <w:rFonts w:ascii="Liberation Serif" w:cs="Liberation Serif" w:eastAsia="Liberation Serif" w:hAnsi="Liberation Serif"/>
      <w:b/>
      <w:bCs/>
      <w:color w:val="111111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widowControl/>
      <w:spacing w:after="200" w:before="0" w:line="300" w:lineRule="auto"/>
      <w:contextualSpacing/>
      <w:jc w:val="center"/>
    </w:pPr>
    <w:rPr>
      <w:rFonts w:ascii="Liberation Serif" w:cs="Liberation Serif" w:eastAsia="Liberation Serif" w:hAnsi="Liberation Serif"/>
      <w:b/>
      <w:color w:val="111111"/>
      <w:spacing w:val="5"/>
      <w:kern w:val="28"/>
      <w:sz w:val="48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after="200" w:before="0" w:line="300" w:lineRule="auto"/>
      <w:jc w:val="center"/>
    </w:pPr>
    <w:rPr>
      <w:rFonts w:ascii="Liberation Serif" w:cs="Liberation Serif" w:eastAsia="Liberation Serif" w:hAnsi="Liberation Serif"/>
      <w:i/>
      <w:iCs/>
      <w:color w:val="111111"/>
      <w:spacing w:val="15"/>
      <w:sz w:val="28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widowControl/>
      <w:spacing w:after="120" w:before="0" w:line="300" w:lineRule="auto"/>
      <w:ind w:left="720"/>
      <w:contextualSpacing/>
    </w:pPr>
    <w:rPr>
      <w:rFonts w:ascii="Liberation Serif" w:cs="Liberation Serif" w:eastAsia="Liberation Serif" w:hAnsi="Liberation Serif"/>
      <w:color w:val="111111"/>
      <w:sz w:val="22"/>
    </w:rPr>
  </w:style>
  <w:style w:styleId="BodyText" w:type="paragraph">
    <w:name w:val="Body Text"/>
    <w:basedOn w:val="Normal"/>
    <w:link w:val="BodyTextChar"/>
    <w:uiPriority w:val="99"/>
    <w:unhideWhenUsed/>
    <w:rsid w:val="00AA1D8D"/>
    <w:pPr>
      <w:widowControl/>
      <w:spacing w:after="120" w:before="0" w:line="300" w:lineRule="auto"/>
      <w:jc w:val="both"/>
    </w:pPr>
    <w:rPr>
      <w:rFonts w:ascii="Liberation Serif" w:cs="Liberation Serif" w:eastAsia="Liberation Serif" w:hAnsi="Liberation Serif"/>
      <w:color w:val="111111"/>
      <w:sz w:val="22"/>
    </w:r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widowControl/>
      <w:spacing w:after="120" w:before="0" w:line="300" w:lineRule="auto"/>
    </w:pPr>
    <w:rPr>
      <w:rFonts w:ascii="Liberation Serif" w:cs="Liberation Serif" w:eastAsia="Liberation Serif" w:hAnsi="Liberation Serif"/>
      <w:b/>
      <w:bCs/>
      <w:color w:val="111111"/>
      <w:sz w:val="22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FirstParagraph" w:type="paragraph">
    <w:name w:val="First Paragraph"/>
    <w:pPr>
      <w:widowControl/>
      <w:spacing w:after="120" w:before="0" w:line="300" w:lineRule="auto"/>
      <w:jc w:val="both"/>
    </w:pPr>
    <w:rPr>
      <w:rFonts w:ascii="Liberation Serif" w:cs="Liberation Serif" w:eastAsia="Liberation Serif" w:hAnsi="Liberation Serif"/>
      <w:color w:val="111111"/>
      <w:sz w:val="22"/>
    </w:rPr>
  </w:style>
  <w:style w:customStyle="1" w:styleId="Author" w:type="paragraph">
    <w:name w:val="Author"/>
    <w:pPr>
      <w:widowControl/>
      <w:spacing w:after="160" w:before="0" w:line="300" w:lineRule="auto"/>
      <w:jc w:val="center"/>
    </w:pPr>
    <w:rPr>
      <w:rFonts w:ascii="Liberation Serif" w:cs="Liberation Serif" w:eastAsia="Liberation Serif" w:hAnsi="Liberation Serif"/>
      <w:color w:val="111111"/>
      <w:sz w:val="24"/>
    </w:rPr>
  </w:style>
  <w:style w:customStyle="1" w:styleId="Date" w:type="paragraph">
    <w:name w:val="Date"/>
    <w:pPr>
      <w:widowControl/>
      <w:spacing w:after="480" w:before="0" w:line="300" w:lineRule="auto"/>
      <w:jc w:val="center"/>
    </w:pPr>
    <w:rPr>
      <w:rFonts w:ascii="Liberation Serif" w:cs="Liberation Serif" w:eastAsia="Liberation Serif" w:hAnsi="Liberation Serif"/>
      <w:color w:val="111111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44" Type="http://schemas.openxmlformats.org/officeDocument/2006/relationships/hyperlink" Target="https://drive.google.com/file/d/1mAvktShsAdOxXt4Dqydbc4od_yWsga_I/view" TargetMode="External"/><Relationship Id="rId43" Type="http://schemas.openxmlformats.org/officeDocument/2006/relationships/hyperlink" Target="https://drive.google.com/file/d/1tnsK0x7PT_xWeoRK5YsZdSzukXcPY2-7/view" TargetMode="External"/><Relationship Id="rId24" Type="http://schemas.openxmlformats.org/officeDocument/2006/relationships/hyperlink" Target="https://www.korpora.org/kant/aa03/080.html" TargetMode="External"/><Relationship Id="rId27" Type="http://schemas.openxmlformats.org/officeDocument/2006/relationships/hyperlink" Target="https://www.korpora.org/kant/aa03/111.html" TargetMode="External"/><Relationship Id="rId28" Type="http://schemas.openxmlformats.org/officeDocument/2006/relationships/hyperlink" Target="https://www.korpora.org/kant/aa03/112.html" TargetMode="External"/><Relationship Id="rId25" Type="http://schemas.openxmlformats.org/officeDocument/2006/relationships/hyperlink" Target="https://www.korpora.org/kant/aa04/009.html" TargetMode="External"/><Relationship Id="rId26" Type="http://schemas.openxmlformats.org/officeDocument/2006/relationships/hyperlink" Target="https://www.korpora.org/kant/aa04/087.html" TargetMode="External"/><Relationship Id="rId31" Type="http://schemas.openxmlformats.org/officeDocument/2006/relationships/hyperlink" Target="https://www.korpora.org/kant/aa05/004.html" TargetMode="External"/><Relationship Id="rId30" Type="http://schemas.openxmlformats.org/officeDocument/2006/relationships/hyperlink" Target="https://www.korpora.org/kant/aa05/195.html" TargetMode="External"/><Relationship Id="rId38" Type="http://schemas.openxmlformats.org/officeDocument/2006/relationships/hyperlink" Target="https://www.korpora.org/kant/aa06/380.html" TargetMode="External"/><Relationship Id="rId34" Type="http://schemas.openxmlformats.org/officeDocument/2006/relationships/hyperlink" Target="https://www.korpora.org/kant/aa07/084.html" TargetMode="External"/><Relationship Id="rId36" Type="http://schemas.openxmlformats.org/officeDocument/2006/relationships/hyperlink" Target="https://www.korpora.org/kant/aa07/091.html" TargetMode="External"/><Relationship Id="rId32" Type="http://schemas.openxmlformats.org/officeDocument/2006/relationships/hyperlink" Target="https://www.korpora.org/kant/aa07/324.html" TargetMode="External"/><Relationship Id="rId33" Type="http://schemas.openxmlformats.org/officeDocument/2006/relationships/hyperlink" Target="https://www.korpora.org/kant/aa08/036.html" TargetMode="External"/><Relationship Id="rId40" Type="http://schemas.openxmlformats.org/officeDocument/2006/relationships/hyperlink" Target="https://www.korpora.org/kant/aa08/275.html" TargetMode="External"/><Relationship Id="rId39" Type="http://schemas.openxmlformats.org/officeDocument/2006/relationships/hyperlink" Target="https://www.korpora.org/kant/aa08/290.html" TargetMode="External"/><Relationship Id="rId35" Type="http://schemas.openxmlformats.org/officeDocument/2006/relationships/hyperlink" Target="https://www.korpora.org/kant/aa08/309.html" TargetMode="External"/></Relationships>
</file>

<file path=word/_rels/footnotes.xml.rels><?xml version='1.0' encoding='UTF-8' standalone='yes'?>
<Relationships xmlns="http://schemas.openxmlformats.org/package/2006/relationships"><Relationship Id="rId44" Type="http://schemas.openxmlformats.org/officeDocument/2006/relationships/hyperlink" Target="https://drive.google.com/file/d/1mAvktShsAdOxXt4Dqydbc4od_yWsga_I/view" TargetMode="External"/><Relationship Id="rId43" Type="http://schemas.openxmlformats.org/officeDocument/2006/relationships/hyperlink" Target="https://drive.google.com/file/d/1tnsK0x7PT_xWeoRK5YsZdSzukXcPY2-7/view" TargetMode="External"/><Relationship Id="rId24" Type="http://schemas.openxmlformats.org/officeDocument/2006/relationships/hyperlink" Target="https://www.korpora.org/kant/aa03/080.html" TargetMode="External"/><Relationship Id="rId27" Type="http://schemas.openxmlformats.org/officeDocument/2006/relationships/hyperlink" Target="https://www.korpora.org/kant/aa03/111.html" TargetMode="External"/><Relationship Id="rId28" Type="http://schemas.openxmlformats.org/officeDocument/2006/relationships/hyperlink" Target="https://www.korpora.org/kant/aa03/112.html" TargetMode="External"/><Relationship Id="rId25" Type="http://schemas.openxmlformats.org/officeDocument/2006/relationships/hyperlink" Target="https://www.korpora.org/kant/aa04/009.html" TargetMode="External"/><Relationship Id="rId26" Type="http://schemas.openxmlformats.org/officeDocument/2006/relationships/hyperlink" Target="https://www.korpora.org/kant/aa04/087.html" TargetMode="External"/><Relationship Id="rId31" Type="http://schemas.openxmlformats.org/officeDocument/2006/relationships/hyperlink" Target="https://www.korpora.org/kant/aa05/004.html" TargetMode="External"/><Relationship Id="rId30" Type="http://schemas.openxmlformats.org/officeDocument/2006/relationships/hyperlink" Target="https://www.korpora.org/kant/aa05/195.html" TargetMode="External"/><Relationship Id="rId38" Type="http://schemas.openxmlformats.org/officeDocument/2006/relationships/hyperlink" Target="https://www.korpora.org/kant/aa06/380.html" TargetMode="External"/><Relationship Id="rId34" Type="http://schemas.openxmlformats.org/officeDocument/2006/relationships/hyperlink" Target="https://www.korpora.org/kant/aa07/084.html" TargetMode="External"/><Relationship Id="rId36" Type="http://schemas.openxmlformats.org/officeDocument/2006/relationships/hyperlink" Target="https://www.korpora.org/kant/aa07/091.html" TargetMode="External"/><Relationship Id="rId32" Type="http://schemas.openxmlformats.org/officeDocument/2006/relationships/hyperlink" Target="https://www.korpora.org/kant/aa07/324.html" TargetMode="External"/><Relationship Id="rId33" Type="http://schemas.openxmlformats.org/officeDocument/2006/relationships/hyperlink" Target="https://www.korpora.org/kant/aa08/036.html" TargetMode="External"/><Relationship Id="rId40" Type="http://schemas.openxmlformats.org/officeDocument/2006/relationships/hyperlink" Target="https://www.korpora.org/kant/aa08/275.html" TargetMode="External"/><Relationship Id="rId39" Type="http://schemas.openxmlformats.org/officeDocument/2006/relationships/hyperlink" Target="https://www.korpora.org/kant/aa08/290.html" TargetMode="External"/><Relationship Id="rId35" Type="http://schemas.openxmlformats.org/officeDocument/2006/relationships/hyperlink" Target="https://www.korpora.org/kant/aa08/30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Иммануил Кант: реперная реконструкция текстовой концепции</dc:title>
  <dc:creator>Курпишев Иван Борисович</dc:creator>
  <dc:language>ru-RU</dc:language>
  <cp:keywords/>
  <dcterms:created xsi:type="dcterms:W3CDTF">2026-09-05T14:17:16Z</dcterms:created>
  <dcterms:modified xsi:type="dcterms:W3CDTF">2026-09-05T14:17:16Z</dcterms:modified>
  <dc:subject>ARBD Build 28; источниковый аудит RUN-017; SCIENCE=ABSTAIN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Калининград · 5 сентября 2026 года</vt:lpwstr>
  </property>
  <property fmtid="{D5CDD505-2E9C-101B-9397-08002B2CF9AE}" pid="3" name="subtitle">
    <vt:lpwstr>Источниковые основания, противоречия и неполнота. Черновик монографии v0.1</vt:lpwstr>
  </property>
</Properties>
</file>